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F6EA9" w14:textId="77777777" w:rsidR="007165A7" w:rsidRPr="002B36BD" w:rsidRDefault="007165A7" w:rsidP="005E325C">
      <w:pPr>
        <w:rPr>
          <w:rFonts w:cstheme="minorHAnsi"/>
          <w:szCs w:val="20"/>
        </w:rPr>
      </w:pPr>
    </w:p>
    <w:p w14:paraId="1C44F335" w14:textId="77777777" w:rsidR="00BB03E8" w:rsidRPr="002B36BD" w:rsidRDefault="00BB03E8" w:rsidP="005E325C">
      <w:pPr>
        <w:rPr>
          <w:rFonts w:cstheme="minorHAnsi"/>
          <w:szCs w:val="20"/>
        </w:rPr>
      </w:pPr>
    </w:p>
    <w:p w14:paraId="1C32F95F" w14:textId="77777777" w:rsidR="00BB03E8" w:rsidRPr="002B36BD" w:rsidRDefault="00BB03E8" w:rsidP="005E325C">
      <w:pPr>
        <w:rPr>
          <w:rFonts w:cstheme="minorHAnsi"/>
          <w:b/>
          <w:szCs w:val="20"/>
        </w:rPr>
      </w:pPr>
    </w:p>
    <w:p w14:paraId="6A957612" w14:textId="77777777" w:rsidR="00BB03E8" w:rsidRPr="00FC2211" w:rsidRDefault="00EC49E6" w:rsidP="00743579">
      <w:pPr>
        <w:tabs>
          <w:tab w:val="left" w:pos="0"/>
        </w:tabs>
        <w:jc w:val="center"/>
        <w:rPr>
          <w:rFonts w:cstheme="minorHAnsi"/>
          <w:szCs w:val="20"/>
        </w:rPr>
      </w:pPr>
      <w:r w:rsidRPr="00FC2211">
        <w:rPr>
          <w:rFonts w:cstheme="minorHAnsi"/>
          <w:noProof/>
          <w:szCs w:val="20"/>
        </w:rPr>
        <w:drawing>
          <wp:inline distT="0" distB="0" distL="0" distR="0" wp14:anchorId="1C75FB12" wp14:editId="752D929D">
            <wp:extent cx="3983182" cy="1752600"/>
            <wp:effectExtent l="0" t="0" r="0" b="0"/>
            <wp:docPr id="448428477" name="Picture 2" descr="P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983182" cy="1752600"/>
                    </a:xfrm>
                    <a:prstGeom prst="rect">
                      <a:avLst/>
                    </a:prstGeom>
                  </pic:spPr>
                </pic:pic>
              </a:graphicData>
            </a:graphic>
          </wp:inline>
        </w:drawing>
      </w:r>
    </w:p>
    <w:p w14:paraId="02DF721A" w14:textId="77777777" w:rsidR="0018348F" w:rsidRPr="00FC2211" w:rsidRDefault="0018348F" w:rsidP="005E325C">
      <w:pPr>
        <w:pBdr>
          <w:bottom w:val="single" w:sz="12" w:space="1" w:color="auto"/>
        </w:pBdr>
        <w:tabs>
          <w:tab w:val="left" w:pos="180"/>
          <w:tab w:val="left" w:pos="270"/>
        </w:tabs>
        <w:jc w:val="center"/>
        <w:rPr>
          <w:rFonts w:cstheme="minorHAnsi"/>
          <w:b/>
          <w:szCs w:val="20"/>
        </w:rPr>
      </w:pPr>
    </w:p>
    <w:p w14:paraId="5128EF97" w14:textId="77777777" w:rsidR="00EC49E6" w:rsidRPr="00FC2211" w:rsidRDefault="00EC49E6" w:rsidP="005E325C">
      <w:pPr>
        <w:tabs>
          <w:tab w:val="left" w:pos="180"/>
          <w:tab w:val="left" w:pos="270"/>
        </w:tabs>
        <w:jc w:val="center"/>
        <w:rPr>
          <w:rFonts w:cstheme="minorHAnsi"/>
          <w:b/>
          <w:szCs w:val="20"/>
        </w:rPr>
      </w:pPr>
    </w:p>
    <w:p w14:paraId="2A7C4AC7" w14:textId="77777777" w:rsidR="00580679" w:rsidRPr="00FC2211" w:rsidRDefault="0014729B" w:rsidP="005E325C">
      <w:pPr>
        <w:tabs>
          <w:tab w:val="left" w:pos="180"/>
          <w:tab w:val="left" w:pos="270"/>
        </w:tabs>
        <w:jc w:val="center"/>
        <w:rPr>
          <w:rFonts w:cstheme="minorHAnsi"/>
          <w:b/>
          <w:sz w:val="36"/>
          <w:szCs w:val="36"/>
        </w:rPr>
      </w:pPr>
      <w:r w:rsidRPr="00FC2211">
        <w:rPr>
          <w:rFonts w:cstheme="minorHAnsi"/>
          <w:b/>
          <w:sz w:val="36"/>
          <w:szCs w:val="36"/>
        </w:rPr>
        <w:t xml:space="preserve">INEO </w:t>
      </w:r>
      <w:r w:rsidR="00580679" w:rsidRPr="00FC2211">
        <w:rPr>
          <w:rFonts w:cstheme="minorHAnsi"/>
          <w:b/>
          <w:sz w:val="36"/>
          <w:szCs w:val="36"/>
        </w:rPr>
        <w:t>Tech Corp</w:t>
      </w:r>
      <w:r w:rsidRPr="00FC2211">
        <w:rPr>
          <w:rFonts w:cstheme="minorHAnsi"/>
          <w:b/>
          <w:sz w:val="36"/>
          <w:szCs w:val="36"/>
        </w:rPr>
        <w:t>.</w:t>
      </w:r>
      <w:r w:rsidR="003B06D8" w:rsidRPr="00FC2211">
        <w:rPr>
          <w:rFonts w:cstheme="minorHAnsi"/>
          <w:b/>
          <w:sz w:val="36"/>
          <w:szCs w:val="36"/>
        </w:rPr>
        <w:t xml:space="preserve"> </w:t>
      </w:r>
    </w:p>
    <w:p w14:paraId="7D4D7361" w14:textId="77777777" w:rsidR="00EB2284" w:rsidRPr="00FC2211" w:rsidRDefault="00EB2284" w:rsidP="005E325C">
      <w:pPr>
        <w:tabs>
          <w:tab w:val="left" w:pos="180"/>
          <w:tab w:val="left" w:pos="270"/>
        </w:tabs>
        <w:jc w:val="center"/>
        <w:rPr>
          <w:rFonts w:cstheme="minorHAnsi"/>
          <w:b/>
          <w:szCs w:val="20"/>
        </w:rPr>
      </w:pPr>
    </w:p>
    <w:p w14:paraId="1F504E32" w14:textId="610CD938" w:rsidR="0042259E" w:rsidRPr="00FC2211" w:rsidRDefault="00366BC7" w:rsidP="005E325C">
      <w:pPr>
        <w:tabs>
          <w:tab w:val="left" w:pos="180"/>
          <w:tab w:val="left" w:pos="270"/>
        </w:tabs>
        <w:jc w:val="center"/>
        <w:rPr>
          <w:rFonts w:cstheme="minorHAnsi"/>
          <w:b/>
          <w:sz w:val="28"/>
          <w:szCs w:val="28"/>
        </w:rPr>
      </w:pPr>
      <w:r w:rsidRPr="00FC2211">
        <w:rPr>
          <w:rFonts w:cstheme="minorHAnsi"/>
          <w:b/>
          <w:sz w:val="28"/>
          <w:szCs w:val="28"/>
        </w:rPr>
        <w:t xml:space="preserve">Interim Condensed </w:t>
      </w:r>
      <w:r w:rsidR="00675D0F" w:rsidRPr="00FC2211">
        <w:rPr>
          <w:rFonts w:cstheme="minorHAnsi"/>
          <w:b/>
          <w:sz w:val="28"/>
          <w:szCs w:val="28"/>
        </w:rPr>
        <w:t xml:space="preserve">Consolidated </w:t>
      </w:r>
      <w:r w:rsidR="001937C9" w:rsidRPr="00FC2211">
        <w:rPr>
          <w:rFonts w:cstheme="minorHAnsi"/>
          <w:b/>
          <w:sz w:val="28"/>
          <w:szCs w:val="28"/>
        </w:rPr>
        <w:t>Financial Statements</w:t>
      </w:r>
    </w:p>
    <w:p w14:paraId="66D494AD" w14:textId="77777777" w:rsidR="00D02370" w:rsidRPr="00FC2211" w:rsidRDefault="00D02370" w:rsidP="005E325C">
      <w:pPr>
        <w:tabs>
          <w:tab w:val="left" w:pos="180"/>
          <w:tab w:val="left" w:pos="270"/>
        </w:tabs>
        <w:jc w:val="center"/>
        <w:rPr>
          <w:rFonts w:cstheme="minorHAnsi"/>
          <w:szCs w:val="20"/>
        </w:rPr>
      </w:pPr>
    </w:p>
    <w:p w14:paraId="045899C0" w14:textId="5797376F" w:rsidR="0042259E" w:rsidRPr="00FC2211" w:rsidRDefault="00680902" w:rsidP="005E325C">
      <w:pPr>
        <w:jc w:val="center"/>
        <w:rPr>
          <w:rFonts w:cstheme="minorHAnsi"/>
          <w:sz w:val="28"/>
          <w:szCs w:val="28"/>
        </w:rPr>
      </w:pPr>
      <w:r w:rsidRPr="00FC2211">
        <w:rPr>
          <w:rFonts w:cstheme="minorHAnsi"/>
          <w:sz w:val="28"/>
          <w:szCs w:val="28"/>
        </w:rPr>
        <w:t xml:space="preserve">As at </w:t>
      </w:r>
      <w:r w:rsidR="009B3E3A" w:rsidRPr="00FC2211">
        <w:rPr>
          <w:rFonts w:cstheme="minorHAnsi"/>
          <w:sz w:val="28"/>
          <w:szCs w:val="28"/>
        </w:rPr>
        <w:t xml:space="preserve">and </w:t>
      </w:r>
      <w:r w:rsidRPr="00FC2211">
        <w:rPr>
          <w:rFonts w:cstheme="minorHAnsi"/>
          <w:sz w:val="28"/>
          <w:szCs w:val="28"/>
        </w:rPr>
        <w:t>f</w:t>
      </w:r>
      <w:r w:rsidR="002502C8" w:rsidRPr="00FC2211">
        <w:rPr>
          <w:rFonts w:cstheme="minorHAnsi"/>
          <w:sz w:val="28"/>
          <w:szCs w:val="28"/>
        </w:rPr>
        <w:t xml:space="preserve">or the </w:t>
      </w:r>
      <w:r w:rsidR="0004667D">
        <w:rPr>
          <w:rFonts w:cstheme="minorHAnsi"/>
          <w:sz w:val="28"/>
          <w:szCs w:val="28"/>
        </w:rPr>
        <w:t>nine</w:t>
      </w:r>
      <w:r w:rsidR="00377CF0" w:rsidRPr="00FC2211">
        <w:rPr>
          <w:rFonts w:cstheme="minorHAnsi"/>
          <w:sz w:val="28"/>
          <w:szCs w:val="28"/>
        </w:rPr>
        <w:t xml:space="preserve"> </w:t>
      </w:r>
      <w:r w:rsidR="00A047F2" w:rsidRPr="00FC2211">
        <w:rPr>
          <w:rFonts w:cstheme="minorHAnsi"/>
          <w:sz w:val="28"/>
          <w:szCs w:val="28"/>
        </w:rPr>
        <w:t>months</w:t>
      </w:r>
      <w:r w:rsidR="00D245CD" w:rsidRPr="00FC2211">
        <w:rPr>
          <w:rFonts w:cstheme="minorHAnsi"/>
          <w:sz w:val="28"/>
          <w:szCs w:val="28"/>
        </w:rPr>
        <w:t xml:space="preserve"> </w:t>
      </w:r>
      <w:r w:rsidR="009B3E3A" w:rsidRPr="00FC2211">
        <w:rPr>
          <w:rFonts w:cstheme="minorHAnsi"/>
          <w:sz w:val="28"/>
          <w:szCs w:val="28"/>
        </w:rPr>
        <w:t xml:space="preserve">ended </w:t>
      </w:r>
      <w:r w:rsidR="0004667D">
        <w:rPr>
          <w:rFonts w:cstheme="minorHAnsi"/>
          <w:sz w:val="28"/>
          <w:szCs w:val="28"/>
        </w:rPr>
        <w:t>March</w:t>
      </w:r>
      <w:r w:rsidR="00D245CD" w:rsidRPr="00FC2211">
        <w:rPr>
          <w:rFonts w:cstheme="minorHAnsi"/>
          <w:sz w:val="28"/>
          <w:szCs w:val="28"/>
        </w:rPr>
        <w:t xml:space="preserve"> </w:t>
      </w:r>
      <w:r w:rsidR="00260EC3" w:rsidRPr="00FC2211">
        <w:rPr>
          <w:rFonts w:cstheme="minorHAnsi"/>
          <w:sz w:val="28"/>
          <w:szCs w:val="28"/>
        </w:rPr>
        <w:t>3</w:t>
      </w:r>
      <w:r w:rsidR="007B56DE" w:rsidRPr="00FC2211">
        <w:rPr>
          <w:rFonts w:cstheme="minorHAnsi"/>
          <w:sz w:val="28"/>
          <w:szCs w:val="28"/>
        </w:rPr>
        <w:t>1</w:t>
      </w:r>
      <w:r w:rsidR="00FB780D" w:rsidRPr="00FC2211">
        <w:rPr>
          <w:rFonts w:cstheme="minorHAnsi"/>
          <w:sz w:val="28"/>
          <w:szCs w:val="28"/>
        </w:rPr>
        <w:t>, 202</w:t>
      </w:r>
      <w:r w:rsidR="0004667D">
        <w:rPr>
          <w:rFonts w:cstheme="minorHAnsi"/>
          <w:sz w:val="28"/>
          <w:szCs w:val="28"/>
        </w:rPr>
        <w:t>4</w:t>
      </w:r>
      <w:r w:rsidR="00B850C4" w:rsidRPr="00FC2211">
        <w:rPr>
          <w:rFonts w:cstheme="minorHAnsi"/>
          <w:sz w:val="28"/>
          <w:szCs w:val="28"/>
        </w:rPr>
        <w:t>,</w:t>
      </w:r>
      <w:r w:rsidR="00260EC3" w:rsidRPr="00FC2211">
        <w:rPr>
          <w:rFonts w:cstheme="minorHAnsi"/>
          <w:sz w:val="28"/>
          <w:szCs w:val="28"/>
        </w:rPr>
        <w:t xml:space="preserve"> and 202</w:t>
      </w:r>
      <w:r w:rsidR="0004667D">
        <w:rPr>
          <w:rFonts w:cstheme="minorHAnsi"/>
          <w:sz w:val="28"/>
          <w:szCs w:val="28"/>
        </w:rPr>
        <w:t>3</w:t>
      </w:r>
    </w:p>
    <w:p w14:paraId="560F199D" w14:textId="77777777" w:rsidR="00627BEF" w:rsidRPr="00FC2211" w:rsidRDefault="00627BEF" w:rsidP="005E325C">
      <w:pPr>
        <w:jc w:val="center"/>
        <w:rPr>
          <w:rFonts w:cstheme="minorHAnsi"/>
          <w:szCs w:val="20"/>
        </w:rPr>
      </w:pPr>
    </w:p>
    <w:p w14:paraId="1C568516" w14:textId="09DBD08A" w:rsidR="00627BEF" w:rsidRPr="00FC2211" w:rsidRDefault="00627BEF" w:rsidP="005E325C">
      <w:pPr>
        <w:pBdr>
          <w:bottom w:val="single" w:sz="12" w:space="1" w:color="auto"/>
        </w:pBdr>
        <w:jc w:val="center"/>
        <w:rPr>
          <w:rFonts w:cstheme="minorHAnsi"/>
          <w:sz w:val="28"/>
          <w:szCs w:val="28"/>
        </w:rPr>
      </w:pPr>
      <w:r w:rsidRPr="00FC2211">
        <w:rPr>
          <w:rFonts w:cstheme="minorHAnsi"/>
          <w:sz w:val="28"/>
          <w:szCs w:val="28"/>
        </w:rPr>
        <w:t>(</w:t>
      </w:r>
      <w:r w:rsidR="00C45B34" w:rsidRPr="00FC2211">
        <w:rPr>
          <w:rFonts w:cstheme="minorHAnsi"/>
          <w:sz w:val="28"/>
          <w:szCs w:val="28"/>
        </w:rPr>
        <w:t xml:space="preserve">Unaudited - </w:t>
      </w:r>
      <w:r w:rsidRPr="00FC2211">
        <w:rPr>
          <w:rFonts w:cstheme="minorHAnsi"/>
          <w:sz w:val="28"/>
          <w:szCs w:val="28"/>
        </w:rPr>
        <w:t>Expressed in Canadian Dollars)</w:t>
      </w:r>
    </w:p>
    <w:p w14:paraId="3E3C69CB" w14:textId="77777777" w:rsidR="00EC49E6" w:rsidRPr="00FC2211" w:rsidRDefault="00EC49E6" w:rsidP="005E325C">
      <w:pPr>
        <w:pBdr>
          <w:bottom w:val="single" w:sz="12" w:space="1" w:color="auto"/>
        </w:pBdr>
        <w:jc w:val="center"/>
        <w:rPr>
          <w:rFonts w:cstheme="minorHAnsi"/>
          <w:szCs w:val="20"/>
        </w:rPr>
      </w:pPr>
    </w:p>
    <w:p w14:paraId="2EB3718E" w14:textId="77777777" w:rsidR="00EC49E6" w:rsidRPr="00FC2211" w:rsidRDefault="00EC49E6" w:rsidP="005E325C">
      <w:pPr>
        <w:jc w:val="center"/>
        <w:rPr>
          <w:rFonts w:cstheme="minorHAnsi"/>
          <w:szCs w:val="20"/>
        </w:rPr>
      </w:pPr>
    </w:p>
    <w:p w14:paraId="35182223" w14:textId="77777777" w:rsidR="008D73BE" w:rsidRPr="00FC2211" w:rsidRDefault="008D73BE">
      <w:pPr>
        <w:rPr>
          <w:rFonts w:cstheme="minorHAnsi"/>
          <w:szCs w:val="20"/>
        </w:rPr>
        <w:sectPr w:rsidR="008D73BE" w:rsidRPr="00FC2211" w:rsidSect="00A71F06">
          <w:headerReference w:type="default" r:id="rId12"/>
          <w:footerReference w:type="even" r:id="rId13"/>
          <w:footerReference w:type="default" r:id="rId14"/>
          <w:headerReference w:type="first" r:id="rId15"/>
          <w:footerReference w:type="first" r:id="rId16"/>
          <w:pgSz w:w="11906" w:h="16838" w:code="9"/>
          <w:pgMar w:top="1080" w:right="1080" w:bottom="1080" w:left="1080" w:header="720" w:footer="720" w:gutter="0"/>
          <w:cols w:space="720"/>
          <w:docGrid w:linePitch="360"/>
        </w:sectPr>
      </w:pPr>
    </w:p>
    <w:p w14:paraId="79E2727A" w14:textId="77777777" w:rsidR="0002386E" w:rsidRPr="00FC2211" w:rsidRDefault="0002386E" w:rsidP="001B1F1C">
      <w:pPr>
        <w:jc w:val="center"/>
        <w:rPr>
          <w:rFonts w:cstheme="minorHAnsi"/>
          <w:szCs w:val="20"/>
        </w:rPr>
      </w:pPr>
    </w:p>
    <w:p w14:paraId="7F4EA362" w14:textId="77777777" w:rsidR="00F90EEA" w:rsidRPr="00FC2211" w:rsidRDefault="00F90EEA" w:rsidP="001B1F1C">
      <w:pPr>
        <w:jc w:val="center"/>
        <w:rPr>
          <w:rFonts w:cstheme="minorHAnsi"/>
          <w:szCs w:val="20"/>
        </w:rPr>
      </w:pPr>
    </w:p>
    <w:p w14:paraId="06DEEA8E" w14:textId="44EF3FFA" w:rsidR="00F90EEA" w:rsidRPr="00FC2211" w:rsidRDefault="00EB2C08" w:rsidP="00F90EEA">
      <w:pPr>
        <w:autoSpaceDE w:val="0"/>
        <w:autoSpaceDN w:val="0"/>
        <w:adjustRightInd w:val="0"/>
        <w:jc w:val="center"/>
        <w:rPr>
          <w:rFonts w:cstheme="minorHAnsi"/>
          <w:color w:val="000000"/>
          <w:sz w:val="22"/>
          <w:szCs w:val="22"/>
        </w:rPr>
      </w:pPr>
      <w:r w:rsidRPr="00FC2211">
        <w:rPr>
          <w:rFonts w:cstheme="minorHAnsi"/>
          <w:b/>
          <w:bCs/>
          <w:color w:val="000000"/>
          <w:sz w:val="28"/>
          <w:szCs w:val="28"/>
        </w:rPr>
        <w:t>MANAGEMENT’S RESPONSIBILITY FOR FINANCIAL REPORTING</w:t>
      </w:r>
    </w:p>
    <w:p w14:paraId="36E7E939" w14:textId="77777777" w:rsidR="003209CD" w:rsidRPr="00FC2211" w:rsidRDefault="003209CD" w:rsidP="00F90EEA">
      <w:pPr>
        <w:rPr>
          <w:rFonts w:ascii="Calibri" w:hAnsi="Calibri"/>
          <w:szCs w:val="20"/>
        </w:rPr>
      </w:pPr>
    </w:p>
    <w:p w14:paraId="46B22A5D" w14:textId="77777777" w:rsidR="00EB2C08" w:rsidRPr="00FC2211" w:rsidRDefault="00EB2C08" w:rsidP="00F90EEA">
      <w:pPr>
        <w:rPr>
          <w:rFonts w:ascii="Calibri" w:hAnsi="Calibri"/>
          <w:szCs w:val="20"/>
        </w:rPr>
      </w:pPr>
    </w:p>
    <w:p w14:paraId="12D6B0DB" w14:textId="77777777" w:rsidR="00F05EDA" w:rsidRPr="00FC2211" w:rsidRDefault="00F05EDA" w:rsidP="00F05EDA">
      <w:pPr>
        <w:rPr>
          <w:rFonts w:ascii="Calibri" w:hAnsi="Calibri"/>
          <w:szCs w:val="20"/>
        </w:rPr>
      </w:pPr>
      <w:r w:rsidRPr="00FC2211">
        <w:rPr>
          <w:rFonts w:ascii="Calibri" w:hAnsi="Calibri"/>
          <w:szCs w:val="20"/>
        </w:rPr>
        <w:t xml:space="preserve">Management of the Company is responsible for the preparation of the accompanying unaudited interim condensed consolidated financial statements. The unaudited interim condensed consolidated financial statements have been prepared using accounting policies in compliance with International Financial Reporting Standards (“IFRS”) for the preparation of interim condensed financial statements and are in accordance with </w:t>
      </w:r>
      <w:r w:rsidRPr="00FC2211">
        <w:rPr>
          <w:rFonts w:ascii="Calibri" w:hAnsi="Calibri"/>
          <w:i/>
          <w:iCs/>
          <w:szCs w:val="20"/>
        </w:rPr>
        <w:t xml:space="preserve">International Accounting Standard (“IAS”) 34 – Interim Financial Reporting. </w:t>
      </w:r>
    </w:p>
    <w:p w14:paraId="514B8E49" w14:textId="77777777" w:rsidR="00F05EDA" w:rsidRPr="00FC2211" w:rsidRDefault="00F05EDA" w:rsidP="00F05EDA">
      <w:pPr>
        <w:rPr>
          <w:rFonts w:ascii="Calibri" w:hAnsi="Calibri"/>
          <w:szCs w:val="20"/>
        </w:rPr>
      </w:pPr>
    </w:p>
    <w:p w14:paraId="30D8F81E" w14:textId="5A9E605B" w:rsidR="00EB2C08" w:rsidRPr="00FC2211" w:rsidRDefault="00F05EDA" w:rsidP="00F05EDA">
      <w:pPr>
        <w:rPr>
          <w:rFonts w:ascii="Calibri" w:hAnsi="Calibri"/>
          <w:szCs w:val="20"/>
        </w:rPr>
        <w:sectPr w:rsidR="00EB2C08" w:rsidRPr="00FC2211" w:rsidSect="00A71F06">
          <w:footerReference w:type="even" r:id="rId17"/>
          <w:headerReference w:type="first" r:id="rId18"/>
          <w:footerReference w:type="first" r:id="rId19"/>
          <w:pgSz w:w="11906" w:h="16838" w:code="9"/>
          <w:pgMar w:top="2160" w:right="1440" w:bottom="1440" w:left="1440" w:header="720" w:footer="720" w:gutter="0"/>
          <w:cols w:space="720"/>
          <w:docGrid w:linePitch="360"/>
        </w:sectPr>
      </w:pPr>
      <w:r w:rsidRPr="00FC2211">
        <w:rPr>
          <w:rFonts w:ascii="Calibri" w:hAnsi="Calibri"/>
          <w:szCs w:val="20"/>
        </w:rPr>
        <w:t>The Company’s auditor has not performed a review of these interim condensed consolidated financial statements in accordance with the standards established by the Canadian Institute of Chartered Professional Accountants for a review of interim financial statements by an entity’s auditor.</w:t>
      </w:r>
    </w:p>
    <w:tbl>
      <w:tblPr>
        <w:tblW w:w="8647" w:type="dxa"/>
        <w:jc w:val="center"/>
        <w:tblLook w:val="04A0" w:firstRow="1" w:lastRow="0" w:firstColumn="1" w:lastColumn="0" w:noHBand="0" w:noVBand="1"/>
      </w:tblPr>
      <w:tblGrid>
        <w:gridCol w:w="4536"/>
        <w:gridCol w:w="851"/>
        <w:gridCol w:w="1701"/>
        <w:gridCol w:w="1559"/>
      </w:tblGrid>
      <w:tr w:rsidR="00380423" w:rsidRPr="00380423" w14:paraId="2471BCBA"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28750AA2" w14:textId="77777777"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lastRenderedPageBreak/>
              <w:t> </w:t>
            </w:r>
          </w:p>
        </w:tc>
        <w:tc>
          <w:tcPr>
            <w:tcW w:w="851" w:type="dxa"/>
            <w:tcBorders>
              <w:top w:val="nil"/>
              <w:left w:val="nil"/>
              <w:bottom w:val="single" w:sz="8" w:space="0" w:color="auto"/>
              <w:right w:val="nil"/>
            </w:tcBorders>
            <w:shd w:val="clear" w:color="auto" w:fill="auto"/>
            <w:noWrap/>
            <w:vAlign w:val="center"/>
            <w:hideMark/>
          </w:tcPr>
          <w:p w14:paraId="2D25A971" w14:textId="77777777" w:rsidR="00380423" w:rsidRPr="00380423" w:rsidRDefault="00380423" w:rsidP="009A40BF">
            <w:pPr>
              <w:jc w:val="center"/>
              <w:rPr>
                <w:rFonts w:ascii="Calibri" w:hAnsi="Calibri" w:cs="Calibri"/>
                <w:b/>
                <w:bCs/>
                <w:i/>
                <w:iCs/>
                <w:color w:val="000000"/>
                <w:szCs w:val="20"/>
                <w:lang w:val="en-CA" w:eastAsia="en-CA"/>
              </w:rPr>
            </w:pPr>
            <w:r w:rsidRPr="00380423">
              <w:rPr>
                <w:rFonts w:ascii="Calibri" w:hAnsi="Calibri" w:cs="Calibri"/>
                <w:b/>
                <w:bCs/>
                <w:i/>
                <w:iCs/>
                <w:color w:val="000000"/>
                <w:szCs w:val="20"/>
                <w:lang w:val="en-CA" w:eastAsia="en-CA"/>
              </w:rPr>
              <w:t>Notes</w:t>
            </w:r>
          </w:p>
        </w:tc>
        <w:tc>
          <w:tcPr>
            <w:tcW w:w="1701" w:type="dxa"/>
            <w:tcBorders>
              <w:top w:val="nil"/>
              <w:left w:val="nil"/>
              <w:bottom w:val="single" w:sz="8" w:space="0" w:color="auto"/>
              <w:right w:val="nil"/>
            </w:tcBorders>
            <w:shd w:val="clear" w:color="auto" w:fill="auto"/>
            <w:vAlign w:val="center"/>
            <w:hideMark/>
          </w:tcPr>
          <w:p w14:paraId="18E21D8F" w14:textId="77777777"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March 31, 2024</w:t>
            </w:r>
          </w:p>
        </w:tc>
        <w:tc>
          <w:tcPr>
            <w:tcW w:w="1559" w:type="dxa"/>
            <w:tcBorders>
              <w:top w:val="nil"/>
              <w:left w:val="nil"/>
              <w:bottom w:val="single" w:sz="8" w:space="0" w:color="auto"/>
              <w:right w:val="nil"/>
            </w:tcBorders>
            <w:shd w:val="clear" w:color="auto" w:fill="auto"/>
            <w:vAlign w:val="center"/>
            <w:hideMark/>
          </w:tcPr>
          <w:p w14:paraId="3594B1B2" w14:textId="77777777"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June 30, 2023</w:t>
            </w:r>
          </w:p>
        </w:tc>
      </w:tr>
      <w:tr w:rsidR="00380423" w:rsidRPr="00380423" w14:paraId="3B4E0BF3"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3A61F4DA"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Assets </w:t>
            </w:r>
          </w:p>
        </w:tc>
        <w:tc>
          <w:tcPr>
            <w:tcW w:w="851" w:type="dxa"/>
            <w:tcBorders>
              <w:top w:val="nil"/>
              <w:left w:val="nil"/>
              <w:bottom w:val="nil"/>
              <w:right w:val="nil"/>
            </w:tcBorders>
            <w:shd w:val="clear" w:color="auto" w:fill="auto"/>
            <w:noWrap/>
            <w:vAlign w:val="center"/>
            <w:hideMark/>
          </w:tcPr>
          <w:p w14:paraId="5AFB1B65" w14:textId="77777777" w:rsidR="00380423" w:rsidRPr="00380423" w:rsidRDefault="00380423" w:rsidP="009A40BF">
            <w:pPr>
              <w:rPr>
                <w:rFonts w:ascii="Calibri" w:hAnsi="Calibri" w:cs="Calibri"/>
                <w:b/>
                <w:bCs/>
                <w:color w:val="000000"/>
                <w:szCs w:val="20"/>
                <w:lang w:val="en-CA" w:eastAsia="en-CA"/>
              </w:rPr>
            </w:pPr>
          </w:p>
        </w:tc>
        <w:tc>
          <w:tcPr>
            <w:tcW w:w="1701" w:type="dxa"/>
            <w:tcBorders>
              <w:top w:val="nil"/>
              <w:left w:val="nil"/>
              <w:bottom w:val="nil"/>
              <w:right w:val="nil"/>
            </w:tcBorders>
            <w:shd w:val="clear" w:color="auto" w:fill="auto"/>
            <w:vAlign w:val="center"/>
            <w:hideMark/>
          </w:tcPr>
          <w:p w14:paraId="6E56E77A" w14:textId="77777777" w:rsidR="00380423" w:rsidRPr="00380423" w:rsidRDefault="00380423" w:rsidP="009A40BF">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16FB21D8" w14:textId="77777777" w:rsidR="00380423" w:rsidRPr="00380423" w:rsidRDefault="00380423" w:rsidP="009A40BF">
            <w:pPr>
              <w:jc w:val="right"/>
              <w:rPr>
                <w:rFonts w:ascii="Times New Roman" w:hAnsi="Times New Roman"/>
                <w:szCs w:val="20"/>
                <w:lang w:val="en-CA" w:eastAsia="en-CA"/>
              </w:rPr>
            </w:pPr>
          </w:p>
        </w:tc>
      </w:tr>
      <w:tr w:rsidR="00380423" w:rsidRPr="00380423" w14:paraId="621B0EC9"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3C2D30C2"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Current assets </w:t>
            </w:r>
          </w:p>
        </w:tc>
        <w:tc>
          <w:tcPr>
            <w:tcW w:w="851" w:type="dxa"/>
            <w:tcBorders>
              <w:top w:val="nil"/>
              <w:left w:val="nil"/>
              <w:bottom w:val="nil"/>
              <w:right w:val="nil"/>
            </w:tcBorders>
            <w:shd w:val="clear" w:color="auto" w:fill="auto"/>
            <w:noWrap/>
            <w:vAlign w:val="center"/>
            <w:hideMark/>
          </w:tcPr>
          <w:p w14:paraId="2CB46742" w14:textId="77777777" w:rsidR="00380423" w:rsidRPr="00380423" w:rsidRDefault="00380423" w:rsidP="009A40BF">
            <w:pPr>
              <w:rPr>
                <w:rFonts w:ascii="Calibri" w:hAnsi="Calibri" w:cs="Calibri"/>
                <w:b/>
                <w:bCs/>
                <w:color w:val="000000"/>
                <w:szCs w:val="20"/>
                <w:lang w:val="en-CA" w:eastAsia="en-CA"/>
              </w:rPr>
            </w:pPr>
          </w:p>
        </w:tc>
        <w:tc>
          <w:tcPr>
            <w:tcW w:w="1701" w:type="dxa"/>
            <w:tcBorders>
              <w:top w:val="nil"/>
              <w:left w:val="nil"/>
              <w:bottom w:val="nil"/>
              <w:right w:val="nil"/>
            </w:tcBorders>
            <w:shd w:val="clear" w:color="auto" w:fill="auto"/>
            <w:vAlign w:val="center"/>
            <w:hideMark/>
          </w:tcPr>
          <w:p w14:paraId="1FEA0E38" w14:textId="77777777" w:rsidR="00380423" w:rsidRPr="00380423" w:rsidRDefault="00380423" w:rsidP="009A40BF">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71303981" w14:textId="77777777" w:rsidR="00380423" w:rsidRPr="00380423" w:rsidRDefault="00380423" w:rsidP="009A40BF">
            <w:pPr>
              <w:jc w:val="right"/>
              <w:rPr>
                <w:rFonts w:ascii="Times New Roman" w:hAnsi="Times New Roman"/>
                <w:szCs w:val="20"/>
                <w:lang w:val="en-CA" w:eastAsia="en-CA"/>
              </w:rPr>
            </w:pPr>
          </w:p>
        </w:tc>
      </w:tr>
      <w:tr w:rsidR="00380423" w:rsidRPr="00380423" w14:paraId="12C2E897"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431317DA"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Cash   </w:t>
            </w:r>
          </w:p>
        </w:tc>
        <w:tc>
          <w:tcPr>
            <w:tcW w:w="851" w:type="dxa"/>
            <w:tcBorders>
              <w:top w:val="nil"/>
              <w:left w:val="nil"/>
              <w:bottom w:val="nil"/>
              <w:right w:val="nil"/>
            </w:tcBorders>
            <w:shd w:val="clear" w:color="auto" w:fill="auto"/>
            <w:noWrap/>
            <w:vAlign w:val="center"/>
            <w:hideMark/>
          </w:tcPr>
          <w:p w14:paraId="4E86D013" w14:textId="77777777" w:rsidR="00380423" w:rsidRPr="00380423" w:rsidRDefault="00380423" w:rsidP="009A40BF">
            <w:pPr>
              <w:ind w:firstLineChars="100" w:firstLine="2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vAlign w:val="center"/>
            <w:hideMark/>
          </w:tcPr>
          <w:p w14:paraId="24E9467D" w14:textId="388DD371"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$ 49,116 </w:t>
            </w:r>
          </w:p>
        </w:tc>
        <w:tc>
          <w:tcPr>
            <w:tcW w:w="1559" w:type="dxa"/>
            <w:tcBorders>
              <w:top w:val="nil"/>
              <w:left w:val="nil"/>
              <w:bottom w:val="nil"/>
              <w:right w:val="nil"/>
            </w:tcBorders>
            <w:shd w:val="clear" w:color="auto" w:fill="auto"/>
            <w:noWrap/>
            <w:vAlign w:val="center"/>
            <w:hideMark/>
          </w:tcPr>
          <w:p w14:paraId="2441FE3B" w14:textId="578F01EF"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$ 362,510 </w:t>
            </w:r>
          </w:p>
        </w:tc>
      </w:tr>
      <w:tr w:rsidR="00380423" w:rsidRPr="00380423" w14:paraId="52BB0F25"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5A61A373"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Accounts receivable  </w:t>
            </w:r>
          </w:p>
        </w:tc>
        <w:tc>
          <w:tcPr>
            <w:tcW w:w="851" w:type="dxa"/>
            <w:tcBorders>
              <w:top w:val="nil"/>
              <w:left w:val="nil"/>
              <w:bottom w:val="nil"/>
              <w:right w:val="nil"/>
            </w:tcBorders>
            <w:shd w:val="clear" w:color="auto" w:fill="auto"/>
            <w:noWrap/>
            <w:vAlign w:val="center"/>
            <w:hideMark/>
          </w:tcPr>
          <w:p w14:paraId="6EC84E43"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5</w:t>
            </w:r>
          </w:p>
        </w:tc>
        <w:tc>
          <w:tcPr>
            <w:tcW w:w="1701" w:type="dxa"/>
            <w:tcBorders>
              <w:top w:val="nil"/>
              <w:left w:val="nil"/>
              <w:bottom w:val="nil"/>
              <w:right w:val="nil"/>
            </w:tcBorders>
            <w:shd w:val="clear" w:color="auto" w:fill="auto"/>
            <w:vAlign w:val="center"/>
            <w:hideMark/>
          </w:tcPr>
          <w:p w14:paraId="156F583A" w14:textId="3449FAE3"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145,729 </w:t>
            </w:r>
          </w:p>
        </w:tc>
        <w:tc>
          <w:tcPr>
            <w:tcW w:w="1559" w:type="dxa"/>
            <w:tcBorders>
              <w:top w:val="nil"/>
              <w:left w:val="nil"/>
              <w:bottom w:val="nil"/>
              <w:right w:val="nil"/>
            </w:tcBorders>
            <w:shd w:val="clear" w:color="auto" w:fill="auto"/>
            <w:noWrap/>
            <w:vAlign w:val="center"/>
            <w:hideMark/>
          </w:tcPr>
          <w:p w14:paraId="6B987485" w14:textId="69100F83"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252,599 </w:t>
            </w:r>
          </w:p>
        </w:tc>
      </w:tr>
      <w:tr w:rsidR="00380423" w:rsidRPr="00380423" w14:paraId="616365BB"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6D40EFF5"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Inventory  </w:t>
            </w:r>
          </w:p>
        </w:tc>
        <w:tc>
          <w:tcPr>
            <w:tcW w:w="851" w:type="dxa"/>
            <w:tcBorders>
              <w:top w:val="nil"/>
              <w:left w:val="nil"/>
              <w:bottom w:val="nil"/>
              <w:right w:val="nil"/>
            </w:tcBorders>
            <w:shd w:val="clear" w:color="auto" w:fill="auto"/>
            <w:noWrap/>
            <w:vAlign w:val="center"/>
            <w:hideMark/>
          </w:tcPr>
          <w:p w14:paraId="6F426AF5"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6</w:t>
            </w:r>
          </w:p>
        </w:tc>
        <w:tc>
          <w:tcPr>
            <w:tcW w:w="1701" w:type="dxa"/>
            <w:tcBorders>
              <w:top w:val="nil"/>
              <w:left w:val="nil"/>
              <w:bottom w:val="nil"/>
              <w:right w:val="nil"/>
            </w:tcBorders>
            <w:shd w:val="clear" w:color="auto" w:fill="auto"/>
            <w:vAlign w:val="center"/>
            <w:hideMark/>
          </w:tcPr>
          <w:p w14:paraId="620E3B01" w14:textId="152AB002"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214,800 </w:t>
            </w:r>
          </w:p>
        </w:tc>
        <w:tc>
          <w:tcPr>
            <w:tcW w:w="1559" w:type="dxa"/>
            <w:tcBorders>
              <w:top w:val="nil"/>
              <w:left w:val="nil"/>
              <w:bottom w:val="nil"/>
              <w:right w:val="nil"/>
            </w:tcBorders>
            <w:shd w:val="clear" w:color="auto" w:fill="auto"/>
            <w:noWrap/>
            <w:vAlign w:val="center"/>
            <w:hideMark/>
          </w:tcPr>
          <w:p w14:paraId="56FA74E5" w14:textId="1EA98996"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263,962 </w:t>
            </w:r>
          </w:p>
        </w:tc>
      </w:tr>
      <w:tr w:rsidR="00380423" w:rsidRPr="00380423" w14:paraId="64CF300F"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3D42B065"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Prepaid expenses  </w:t>
            </w:r>
          </w:p>
        </w:tc>
        <w:tc>
          <w:tcPr>
            <w:tcW w:w="851" w:type="dxa"/>
            <w:tcBorders>
              <w:top w:val="nil"/>
              <w:left w:val="nil"/>
              <w:bottom w:val="nil"/>
              <w:right w:val="nil"/>
            </w:tcBorders>
            <w:shd w:val="clear" w:color="auto" w:fill="auto"/>
            <w:noWrap/>
            <w:vAlign w:val="center"/>
            <w:hideMark/>
          </w:tcPr>
          <w:p w14:paraId="4275D707"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7</w:t>
            </w:r>
          </w:p>
        </w:tc>
        <w:tc>
          <w:tcPr>
            <w:tcW w:w="1701" w:type="dxa"/>
            <w:tcBorders>
              <w:top w:val="nil"/>
              <w:left w:val="nil"/>
              <w:bottom w:val="nil"/>
              <w:right w:val="nil"/>
            </w:tcBorders>
            <w:shd w:val="clear" w:color="auto" w:fill="auto"/>
            <w:vAlign w:val="center"/>
            <w:hideMark/>
          </w:tcPr>
          <w:p w14:paraId="3DC6F432" w14:textId="21AEF287"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62,146 </w:t>
            </w:r>
          </w:p>
        </w:tc>
        <w:tc>
          <w:tcPr>
            <w:tcW w:w="1559" w:type="dxa"/>
            <w:tcBorders>
              <w:top w:val="nil"/>
              <w:left w:val="nil"/>
              <w:bottom w:val="nil"/>
              <w:right w:val="nil"/>
            </w:tcBorders>
            <w:shd w:val="clear" w:color="auto" w:fill="auto"/>
            <w:noWrap/>
            <w:vAlign w:val="center"/>
            <w:hideMark/>
          </w:tcPr>
          <w:p w14:paraId="1492F50A" w14:textId="16F06042"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96,380 </w:t>
            </w:r>
          </w:p>
        </w:tc>
      </w:tr>
      <w:tr w:rsidR="00380423" w:rsidRPr="00380423" w14:paraId="0B300FDF"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7B73AED3"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Notes Receivable </w:t>
            </w:r>
          </w:p>
        </w:tc>
        <w:tc>
          <w:tcPr>
            <w:tcW w:w="851" w:type="dxa"/>
            <w:tcBorders>
              <w:top w:val="nil"/>
              <w:left w:val="nil"/>
              <w:bottom w:val="nil"/>
              <w:right w:val="nil"/>
            </w:tcBorders>
            <w:shd w:val="clear" w:color="auto" w:fill="auto"/>
            <w:noWrap/>
            <w:vAlign w:val="center"/>
            <w:hideMark/>
          </w:tcPr>
          <w:p w14:paraId="2006CCC4"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8</w:t>
            </w:r>
          </w:p>
        </w:tc>
        <w:tc>
          <w:tcPr>
            <w:tcW w:w="1701" w:type="dxa"/>
            <w:tcBorders>
              <w:top w:val="nil"/>
              <w:left w:val="nil"/>
              <w:bottom w:val="nil"/>
              <w:right w:val="nil"/>
            </w:tcBorders>
            <w:shd w:val="clear" w:color="auto" w:fill="auto"/>
            <w:vAlign w:val="center"/>
            <w:hideMark/>
          </w:tcPr>
          <w:p w14:paraId="3FEA3546" w14:textId="4F9AE88E"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27,643 </w:t>
            </w:r>
          </w:p>
        </w:tc>
        <w:tc>
          <w:tcPr>
            <w:tcW w:w="1559" w:type="dxa"/>
            <w:tcBorders>
              <w:top w:val="nil"/>
              <w:left w:val="nil"/>
              <w:bottom w:val="nil"/>
              <w:right w:val="nil"/>
            </w:tcBorders>
            <w:shd w:val="clear" w:color="auto" w:fill="auto"/>
            <w:noWrap/>
            <w:vAlign w:val="center"/>
            <w:hideMark/>
          </w:tcPr>
          <w:p w14:paraId="170A8F81" w14:textId="33747D1C"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25,393 </w:t>
            </w:r>
          </w:p>
        </w:tc>
      </w:tr>
      <w:tr w:rsidR="00380423" w:rsidRPr="00380423" w14:paraId="5EF124E9"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4DDDA6D7"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GST Recoverable </w:t>
            </w:r>
          </w:p>
        </w:tc>
        <w:tc>
          <w:tcPr>
            <w:tcW w:w="851" w:type="dxa"/>
            <w:tcBorders>
              <w:top w:val="nil"/>
              <w:left w:val="nil"/>
              <w:bottom w:val="single" w:sz="8" w:space="0" w:color="auto"/>
              <w:right w:val="nil"/>
            </w:tcBorders>
            <w:shd w:val="clear" w:color="auto" w:fill="auto"/>
            <w:noWrap/>
            <w:vAlign w:val="center"/>
            <w:hideMark/>
          </w:tcPr>
          <w:p w14:paraId="4B567539"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4EDBF3DB" w14:textId="04D85C51"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5,137 </w:t>
            </w:r>
          </w:p>
        </w:tc>
        <w:tc>
          <w:tcPr>
            <w:tcW w:w="1559" w:type="dxa"/>
            <w:tcBorders>
              <w:top w:val="nil"/>
              <w:left w:val="nil"/>
              <w:bottom w:val="single" w:sz="8" w:space="0" w:color="auto"/>
              <w:right w:val="nil"/>
            </w:tcBorders>
            <w:shd w:val="clear" w:color="auto" w:fill="auto"/>
            <w:noWrap/>
            <w:vAlign w:val="center"/>
            <w:hideMark/>
          </w:tcPr>
          <w:p w14:paraId="672704D4" w14:textId="1E40B535"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14,415 </w:t>
            </w:r>
          </w:p>
        </w:tc>
      </w:tr>
      <w:tr w:rsidR="00380423" w:rsidRPr="00380423" w14:paraId="60823A34"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6421EE10" w14:textId="77777777" w:rsidR="00380423" w:rsidRPr="00380423" w:rsidRDefault="00380423" w:rsidP="009A40BF">
            <w:pPr>
              <w:rPr>
                <w:rFonts w:ascii="Calibri" w:hAnsi="Calibri" w:cs="Calibri"/>
                <w:color w:val="000000"/>
                <w:szCs w:val="20"/>
                <w:lang w:val="en-CA" w:eastAsia="en-CA"/>
              </w:rPr>
            </w:pPr>
          </w:p>
        </w:tc>
        <w:tc>
          <w:tcPr>
            <w:tcW w:w="851" w:type="dxa"/>
            <w:tcBorders>
              <w:top w:val="nil"/>
              <w:left w:val="nil"/>
              <w:bottom w:val="nil"/>
              <w:right w:val="nil"/>
            </w:tcBorders>
            <w:shd w:val="clear" w:color="auto" w:fill="auto"/>
            <w:noWrap/>
            <w:vAlign w:val="center"/>
            <w:hideMark/>
          </w:tcPr>
          <w:p w14:paraId="04B6B97A" w14:textId="77777777" w:rsidR="00380423" w:rsidRPr="00380423" w:rsidRDefault="00380423" w:rsidP="009A40BF">
            <w:pPr>
              <w:ind w:firstLineChars="100" w:firstLine="200"/>
              <w:rPr>
                <w:rFonts w:ascii="Times New Roman" w:hAnsi="Times New Roman"/>
                <w:szCs w:val="20"/>
                <w:lang w:val="en-CA" w:eastAsia="en-CA"/>
              </w:rPr>
            </w:pPr>
          </w:p>
        </w:tc>
        <w:tc>
          <w:tcPr>
            <w:tcW w:w="1701" w:type="dxa"/>
            <w:tcBorders>
              <w:top w:val="nil"/>
              <w:left w:val="nil"/>
              <w:bottom w:val="nil"/>
              <w:right w:val="nil"/>
            </w:tcBorders>
            <w:shd w:val="clear" w:color="auto" w:fill="auto"/>
            <w:vAlign w:val="center"/>
            <w:hideMark/>
          </w:tcPr>
          <w:p w14:paraId="70F632BE" w14:textId="50C56997"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504,571 </w:t>
            </w:r>
          </w:p>
        </w:tc>
        <w:tc>
          <w:tcPr>
            <w:tcW w:w="1559" w:type="dxa"/>
            <w:tcBorders>
              <w:top w:val="nil"/>
              <w:left w:val="nil"/>
              <w:bottom w:val="nil"/>
              <w:right w:val="nil"/>
            </w:tcBorders>
            <w:shd w:val="clear" w:color="auto" w:fill="auto"/>
            <w:noWrap/>
            <w:vAlign w:val="center"/>
            <w:hideMark/>
          </w:tcPr>
          <w:p w14:paraId="3005906C" w14:textId="798C8113"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1,015,259 </w:t>
            </w:r>
          </w:p>
        </w:tc>
      </w:tr>
      <w:tr w:rsidR="00380423" w:rsidRPr="00380423" w14:paraId="370F1C08"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7EFFB4DA"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Non-current assets </w:t>
            </w:r>
          </w:p>
        </w:tc>
        <w:tc>
          <w:tcPr>
            <w:tcW w:w="851" w:type="dxa"/>
            <w:tcBorders>
              <w:top w:val="nil"/>
              <w:left w:val="nil"/>
              <w:bottom w:val="nil"/>
              <w:right w:val="nil"/>
            </w:tcBorders>
            <w:shd w:val="clear" w:color="auto" w:fill="auto"/>
            <w:noWrap/>
            <w:vAlign w:val="center"/>
            <w:hideMark/>
          </w:tcPr>
          <w:p w14:paraId="32CA18D7" w14:textId="77777777" w:rsidR="00380423" w:rsidRPr="00380423" w:rsidRDefault="00380423" w:rsidP="009A40BF">
            <w:pPr>
              <w:rPr>
                <w:rFonts w:ascii="Calibri" w:hAnsi="Calibri" w:cs="Calibri"/>
                <w:b/>
                <w:bCs/>
                <w:color w:val="000000"/>
                <w:szCs w:val="20"/>
                <w:lang w:val="en-CA" w:eastAsia="en-CA"/>
              </w:rPr>
            </w:pPr>
          </w:p>
        </w:tc>
        <w:tc>
          <w:tcPr>
            <w:tcW w:w="1701" w:type="dxa"/>
            <w:tcBorders>
              <w:top w:val="nil"/>
              <w:left w:val="nil"/>
              <w:bottom w:val="nil"/>
              <w:right w:val="nil"/>
            </w:tcBorders>
            <w:shd w:val="clear" w:color="auto" w:fill="auto"/>
            <w:vAlign w:val="center"/>
            <w:hideMark/>
          </w:tcPr>
          <w:p w14:paraId="0E27BD82" w14:textId="77777777" w:rsidR="00380423" w:rsidRPr="00380423" w:rsidRDefault="00380423" w:rsidP="009A40BF">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259DF00E" w14:textId="77777777" w:rsidR="00380423" w:rsidRPr="00380423" w:rsidRDefault="00380423" w:rsidP="009A40BF">
            <w:pPr>
              <w:jc w:val="right"/>
              <w:rPr>
                <w:rFonts w:ascii="Times New Roman" w:hAnsi="Times New Roman"/>
                <w:szCs w:val="20"/>
                <w:lang w:val="en-CA" w:eastAsia="en-CA"/>
              </w:rPr>
            </w:pPr>
          </w:p>
        </w:tc>
      </w:tr>
      <w:tr w:rsidR="00380423" w:rsidRPr="00380423" w14:paraId="595B4B19"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59B33BAB"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Equipment</w:t>
            </w:r>
          </w:p>
        </w:tc>
        <w:tc>
          <w:tcPr>
            <w:tcW w:w="851" w:type="dxa"/>
            <w:tcBorders>
              <w:top w:val="nil"/>
              <w:left w:val="nil"/>
              <w:bottom w:val="nil"/>
              <w:right w:val="nil"/>
            </w:tcBorders>
            <w:shd w:val="clear" w:color="auto" w:fill="auto"/>
            <w:noWrap/>
            <w:vAlign w:val="center"/>
            <w:hideMark/>
          </w:tcPr>
          <w:p w14:paraId="4C04E404"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9</w:t>
            </w:r>
          </w:p>
        </w:tc>
        <w:tc>
          <w:tcPr>
            <w:tcW w:w="1701" w:type="dxa"/>
            <w:tcBorders>
              <w:top w:val="nil"/>
              <w:left w:val="nil"/>
              <w:bottom w:val="nil"/>
              <w:right w:val="nil"/>
            </w:tcBorders>
            <w:shd w:val="clear" w:color="auto" w:fill="auto"/>
            <w:vAlign w:val="center"/>
            <w:hideMark/>
          </w:tcPr>
          <w:p w14:paraId="72AC3F92" w14:textId="40709F65"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1,578,267 </w:t>
            </w:r>
          </w:p>
        </w:tc>
        <w:tc>
          <w:tcPr>
            <w:tcW w:w="1559" w:type="dxa"/>
            <w:tcBorders>
              <w:top w:val="nil"/>
              <w:left w:val="nil"/>
              <w:bottom w:val="nil"/>
              <w:right w:val="nil"/>
            </w:tcBorders>
            <w:shd w:val="clear" w:color="auto" w:fill="auto"/>
            <w:noWrap/>
            <w:vAlign w:val="center"/>
            <w:hideMark/>
          </w:tcPr>
          <w:p w14:paraId="550FC73D" w14:textId="73B81F0F"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1,509,388 </w:t>
            </w:r>
          </w:p>
        </w:tc>
      </w:tr>
      <w:tr w:rsidR="00380423" w:rsidRPr="00380423" w14:paraId="29A9DB76"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1E5CD30E"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Right-of-use asset </w:t>
            </w:r>
          </w:p>
        </w:tc>
        <w:tc>
          <w:tcPr>
            <w:tcW w:w="851" w:type="dxa"/>
            <w:tcBorders>
              <w:top w:val="nil"/>
              <w:left w:val="nil"/>
              <w:bottom w:val="nil"/>
              <w:right w:val="nil"/>
            </w:tcBorders>
            <w:shd w:val="clear" w:color="auto" w:fill="auto"/>
            <w:noWrap/>
            <w:vAlign w:val="center"/>
            <w:hideMark/>
          </w:tcPr>
          <w:p w14:paraId="6A1972CF"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21</w:t>
            </w:r>
          </w:p>
        </w:tc>
        <w:tc>
          <w:tcPr>
            <w:tcW w:w="1701" w:type="dxa"/>
            <w:tcBorders>
              <w:top w:val="nil"/>
              <w:left w:val="nil"/>
              <w:bottom w:val="nil"/>
              <w:right w:val="nil"/>
            </w:tcBorders>
            <w:shd w:val="clear" w:color="auto" w:fill="auto"/>
            <w:vAlign w:val="center"/>
            <w:hideMark/>
          </w:tcPr>
          <w:p w14:paraId="6D566E46" w14:textId="5952840A"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28,464 </w:t>
            </w:r>
          </w:p>
        </w:tc>
        <w:tc>
          <w:tcPr>
            <w:tcW w:w="1559" w:type="dxa"/>
            <w:tcBorders>
              <w:top w:val="nil"/>
              <w:left w:val="nil"/>
              <w:bottom w:val="nil"/>
              <w:right w:val="nil"/>
            </w:tcBorders>
            <w:shd w:val="clear" w:color="auto" w:fill="auto"/>
            <w:noWrap/>
            <w:vAlign w:val="center"/>
            <w:hideMark/>
          </w:tcPr>
          <w:p w14:paraId="27D17608" w14:textId="1F2F46B4"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51,753 </w:t>
            </w:r>
          </w:p>
        </w:tc>
      </w:tr>
      <w:tr w:rsidR="00380423" w:rsidRPr="00380423" w14:paraId="01AC84AE"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74550D70"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Intangibles </w:t>
            </w:r>
          </w:p>
        </w:tc>
        <w:tc>
          <w:tcPr>
            <w:tcW w:w="851" w:type="dxa"/>
            <w:tcBorders>
              <w:top w:val="nil"/>
              <w:left w:val="nil"/>
              <w:bottom w:val="single" w:sz="8" w:space="0" w:color="auto"/>
              <w:right w:val="nil"/>
            </w:tcBorders>
            <w:shd w:val="clear" w:color="auto" w:fill="auto"/>
            <w:noWrap/>
            <w:vAlign w:val="center"/>
            <w:hideMark/>
          </w:tcPr>
          <w:p w14:paraId="7DF17E24"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4</w:t>
            </w:r>
          </w:p>
        </w:tc>
        <w:tc>
          <w:tcPr>
            <w:tcW w:w="1701" w:type="dxa"/>
            <w:tcBorders>
              <w:top w:val="nil"/>
              <w:left w:val="nil"/>
              <w:bottom w:val="single" w:sz="8" w:space="0" w:color="auto"/>
              <w:right w:val="nil"/>
            </w:tcBorders>
            <w:shd w:val="clear" w:color="auto" w:fill="auto"/>
            <w:vAlign w:val="center"/>
            <w:hideMark/>
          </w:tcPr>
          <w:p w14:paraId="3481200B" w14:textId="1B9A97AE"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1,627 </w:t>
            </w:r>
          </w:p>
        </w:tc>
        <w:tc>
          <w:tcPr>
            <w:tcW w:w="1559" w:type="dxa"/>
            <w:tcBorders>
              <w:top w:val="nil"/>
              <w:left w:val="nil"/>
              <w:bottom w:val="single" w:sz="8" w:space="0" w:color="auto"/>
              <w:right w:val="nil"/>
            </w:tcBorders>
            <w:shd w:val="clear" w:color="auto" w:fill="auto"/>
            <w:noWrap/>
            <w:vAlign w:val="center"/>
            <w:hideMark/>
          </w:tcPr>
          <w:p w14:paraId="58B70E4D" w14:textId="58506493"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3,254 </w:t>
            </w:r>
          </w:p>
        </w:tc>
      </w:tr>
      <w:tr w:rsidR="00380423" w:rsidRPr="00380423" w14:paraId="6F3A5C6F"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526ABF7B" w14:textId="77777777" w:rsidR="00380423" w:rsidRPr="00380423" w:rsidRDefault="00380423" w:rsidP="009A40BF">
            <w:pPr>
              <w:rPr>
                <w:rFonts w:ascii="Calibri" w:hAnsi="Calibri" w:cs="Calibri"/>
                <w:color w:val="000000"/>
                <w:szCs w:val="20"/>
                <w:lang w:val="en-CA" w:eastAsia="en-CA"/>
              </w:rPr>
            </w:pPr>
            <w:r w:rsidRPr="00380423">
              <w:rPr>
                <w:rFonts w:ascii="Calibri" w:hAnsi="Calibri" w:cs="Calibri"/>
                <w:color w:val="000000"/>
                <w:szCs w:val="20"/>
                <w:lang w:val="en-CA" w:eastAsia="en-CA"/>
              </w:rPr>
              <w:t> </w:t>
            </w:r>
          </w:p>
        </w:tc>
        <w:tc>
          <w:tcPr>
            <w:tcW w:w="851" w:type="dxa"/>
            <w:tcBorders>
              <w:top w:val="nil"/>
              <w:left w:val="nil"/>
              <w:bottom w:val="single" w:sz="8" w:space="0" w:color="auto"/>
              <w:right w:val="nil"/>
            </w:tcBorders>
            <w:shd w:val="clear" w:color="auto" w:fill="auto"/>
            <w:noWrap/>
            <w:vAlign w:val="center"/>
            <w:hideMark/>
          </w:tcPr>
          <w:p w14:paraId="6440BB55"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225FA112" w14:textId="14B9B82B"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1,608,358 </w:t>
            </w:r>
          </w:p>
        </w:tc>
        <w:tc>
          <w:tcPr>
            <w:tcW w:w="1559" w:type="dxa"/>
            <w:tcBorders>
              <w:top w:val="nil"/>
              <w:left w:val="nil"/>
              <w:bottom w:val="single" w:sz="8" w:space="0" w:color="auto"/>
              <w:right w:val="nil"/>
            </w:tcBorders>
            <w:shd w:val="clear" w:color="auto" w:fill="auto"/>
            <w:noWrap/>
            <w:vAlign w:val="center"/>
            <w:hideMark/>
          </w:tcPr>
          <w:p w14:paraId="49B2E650" w14:textId="77777777" w:rsidR="00380423" w:rsidRPr="00380423" w:rsidRDefault="00380423" w:rsidP="009A40BF">
            <w:pPr>
              <w:ind w:firstLineChars="100" w:firstLine="200"/>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1,564,395 </w:t>
            </w:r>
          </w:p>
        </w:tc>
      </w:tr>
      <w:tr w:rsidR="00380423" w:rsidRPr="00380423" w14:paraId="02AFCAA4"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2CF8F235"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Total assets </w:t>
            </w:r>
          </w:p>
        </w:tc>
        <w:tc>
          <w:tcPr>
            <w:tcW w:w="851" w:type="dxa"/>
            <w:tcBorders>
              <w:top w:val="nil"/>
              <w:left w:val="nil"/>
              <w:bottom w:val="single" w:sz="8" w:space="0" w:color="auto"/>
              <w:right w:val="nil"/>
            </w:tcBorders>
            <w:shd w:val="clear" w:color="auto" w:fill="auto"/>
            <w:noWrap/>
            <w:vAlign w:val="center"/>
            <w:hideMark/>
          </w:tcPr>
          <w:p w14:paraId="657093AC" w14:textId="77777777" w:rsidR="00380423" w:rsidRPr="00380423" w:rsidRDefault="00380423" w:rsidP="009A40BF">
            <w:pPr>
              <w:jc w:val="center"/>
              <w:rPr>
                <w:rFonts w:ascii="Calibri" w:hAnsi="Calibri" w:cs="Calibri"/>
                <w:b/>
                <w:bCs/>
                <w:i/>
                <w:iCs/>
                <w:color w:val="000000"/>
                <w:szCs w:val="20"/>
                <w:lang w:val="en-CA" w:eastAsia="en-CA"/>
              </w:rPr>
            </w:pPr>
            <w:r w:rsidRPr="00380423">
              <w:rPr>
                <w:rFonts w:ascii="Calibri" w:hAnsi="Calibri" w:cs="Calibri"/>
                <w:b/>
                <w:bCs/>
                <w:i/>
                <w:iCs/>
                <w:color w:val="00000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2ADE2512" w14:textId="33DB07D0"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$ 2,112,929 </w:t>
            </w:r>
          </w:p>
        </w:tc>
        <w:tc>
          <w:tcPr>
            <w:tcW w:w="1559" w:type="dxa"/>
            <w:tcBorders>
              <w:top w:val="nil"/>
              <w:left w:val="nil"/>
              <w:bottom w:val="single" w:sz="8" w:space="0" w:color="auto"/>
              <w:right w:val="nil"/>
            </w:tcBorders>
            <w:shd w:val="clear" w:color="auto" w:fill="auto"/>
            <w:noWrap/>
            <w:vAlign w:val="center"/>
            <w:hideMark/>
          </w:tcPr>
          <w:p w14:paraId="2740F97C" w14:textId="4DABF12F"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$ 2,579,654 </w:t>
            </w:r>
          </w:p>
        </w:tc>
      </w:tr>
      <w:tr w:rsidR="00380423" w:rsidRPr="00380423" w14:paraId="7CA98B31"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2CFD98B9"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Liabilities and Shareholders' Equity (Deficiency) </w:t>
            </w:r>
          </w:p>
        </w:tc>
        <w:tc>
          <w:tcPr>
            <w:tcW w:w="851" w:type="dxa"/>
            <w:tcBorders>
              <w:top w:val="nil"/>
              <w:left w:val="nil"/>
              <w:bottom w:val="nil"/>
              <w:right w:val="nil"/>
            </w:tcBorders>
            <w:shd w:val="clear" w:color="auto" w:fill="auto"/>
            <w:noWrap/>
            <w:vAlign w:val="center"/>
            <w:hideMark/>
          </w:tcPr>
          <w:p w14:paraId="17D8ABF5" w14:textId="77777777" w:rsidR="00380423" w:rsidRPr="00380423" w:rsidRDefault="00380423" w:rsidP="009A40BF">
            <w:pPr>
              <w:rPr>
                <w:rFonts w:ascii="Calibri" w:hAnsi="Calibri" w:cs="Calibri"/>
                <w:b/>
                <w:bCs/>
                <w:color w:val="000000"/>
                <w:szCs w:val="20"/>
                <w:lang w:val="en-CA" w:eastAsia="en-CA"/>
              </w:rPr>
            </w:pPr>
          </w:p>
        </w:tc>
        <w:tc>
          <w:tcPr>
            <w:tcW w:w="1701" w:type="dxa"/>
            <w:tcBorders>
              <w:top w:val="nil"/>
              <w:left w:val="nil"/>
              <w:bottom w:val="nil"/>
              <w:right w:val="nil"/>
            </w:tcBorders>
            <w:shd w:val="clear" w:color="auto" w:fill="auto"/>
            <w:vAlign w:val="center"/>
            <w:hideMark/>
          </w:tcPr>
          <w:p w14:paraId="6E4989B4" w14:textId="77777777" w:rsidR="00380423" w:rsidRPr="00380423" w:rsidRDefault="00380423" w:rsidP="009A40BF">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1634A4F8" w14:textId="77777777" w:rsidR="00380423" w:rsidRPr="00380423" w:rsidRDefault="00380423" w:rsidP="009A40BF">
            <w:pPr>
              <w:jc w:val="right"/>
              <w:rPr>
                <w:rFonts w:ascii="Times New Roman" w:hAnsi="Times New Roman"/>
                <w:szCs w:val="20"/>
                <w:lang w:val="en-CA" w:eastAsia="en-CA"/>
              </w:rPr>
            </w:pPr>
          </w:p>
        </w:tc>
      </w:tr>
      <w:tr w:rsidR="00380423" w:rsidRPr="00380423" w14:paraId="317AB32C"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0F4DD37C"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Current liabilities </w:t>
            </w:r>
          </w:p>
        </w:tc>
        <w:tc>
          <w:tcPr>
            <w:tcW w:w="851" w:type="dxa"/>
            <w:tcBorders>
              <w:top w:val="nil"/>
              <w:left w:val="nil"/>
              <w:bottom w:val="nil"/>
              <w:right w:val="nil"/>
            </w:tcBorders>
            <w:shd w:val="clear" w:color="auto" w:fill="auto"/>
            <w:noWrap/>
            <w:vAlign w:val="center"/>
            <w:hideMark/>
          </w:tcPr>
          <w:p w14:paraId="37B6F91D" w14:textId="77777777" w:rsidR="00380423" w:rsidRPr="00380423" w:rsidRDefault="00380423" w:rsidP="009A40BF">
            <w:pPr>
              <w:rPr>
                <w:rFonts w:ascii="Calibri" w:hAnsi="Calibri" w:cs="Calibri"/>
                <w:b/>
                <w:bCs/>
                <w:color w:val="000000"/>
                <w:szCs w:val="20"/>
                <w:lang w:val="en-CA" w:eastAsia="en-CA"/>
              </w:rPr>
            </w:pPr>
          </w:p>
        </w:tc>
        <w:tc>
          <w:tcPr>
            <w:tcW w:w="1701" w:type="dxa"/>
            <w:tcBorders>
              <w:top w:val="nil"/>
              <w:left w:val="nil"/>
              <w:bottom w:val="nil"/>
              <w:right w:val="nil"/>
            </w:tcBorders>
            <w:shd w:val="clear" w:color="auto" w:fill="auto"/>
            <w:vAlign w:val="center"/>
            <w:hideMark/>
          </w:tcPr>
          <w:p w14:paraId="017FA8CD" w14:textId="77777777" w:rsidR="00380423" w:rsidRPr="00380423" w:rsidRDefault="00380423" w:rsidP="009A40BF">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197B7D18" w14:textId="77777777" w:rsidR="00380423" w:rsidRPr="00380423" w:rsidRDefault="00380423" w:rsidP="009A40BF">
            <w:pPr>
              <w:jc w:val="right"/>
              <w:rPr>
                <w:rFonts w:ascii="Times New Roman" w:hAnsi="Times New Roman"/>
                <w:szCs w:val="20"/>
                <w:lang w:val="en-CA" w:eastAsia="en-CA"/>
              </w:rPr>
            </w:pPr>
          </w:p>
        </w:tc>
      </w:tr>
      <w:tr w:rsidR="00380423" w:rsidRPr="00380423" w14:paraId="42874C04"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4B387FD4"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Accounts payable and accrued liabilities  </w:t>
            </w:r>
          </w:p>
        </w:tc>
        <w:tc>
          <w:tcPr>
            <w:tcW w:w="851" w:type="dxa"/>
            <w:tcBorders>
              <w:top w:val="nil"/>
              <w:left w:val="nil"/>
              <w:bottom w:val="nil"/>
              <w:right w:val="nil"/>
            </w:tcBorders>
            <w:shd w:val="clear" w:color="auto" w:fill="auto"/>
            <w:noWrap/>
            <w:vAlign w:val="center"/>
            <w:hideMark/>
          </w:tcPr>
          <w:p w14:paraId="518CCC3B"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10</w:t>
            </w:r>
          </w:p>
        </w:tc>
        <w:tc>
          <w:tcPr>
            <w:tcW w:w="1701" w:type="dxa"/>
            <w:tcBorders>
              <w:top w:val="nil"/>
              <w:left w:val="nil"/>
              <w:bottom w:val="nil"/>
              <w:right w:val="nil"/>
            </w:tcBorders>
            <w:shd w:val="clear" w:color="auto" w:fill="auto"/>
            <w:vAlign w:val="center"/>
            <w:hideMark/>
          </w:tcPr>
          <w:p w14:paraId="2183DE49" w14:textId="74C78742"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$ 1,174,644 </w:t>
            </w:r>
          </w:p>
        </w:tc>
        <w:tc>
          <w:tcPr>
            <w:tcW w:w="1559" w:type="dxa"/>
            <w:tcBorders>
              <w:top w:val="nil"/>
              <w:left w:val="nil"/>
              <w:bottom w:val="nil"/>
              <w:right w:val="nil"/>
            </w:tcBorders>
            <w:shd w:val="clear" w:color="auto" w:fill="auto"/>
            <w:noWrap/>
            <w:vAlign w:val="center"/>
            <w:hideMark/>
          </w:tcPr>
          <w:p w14:paraId="5AF34ABE" w14:textId="1D5B87B8"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  674,537 </w:t>
            </w:r>
          </w:p>
        </w:tc>
      </w:tr>
      <w:tr w:rsidR="00380423" w:rsidRPr="00380423" w14:paraId="2DFEF3B2"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5B7C0BFE"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Loans payable </w:t>
            </w:r>
          </w:p>
        </w:tc>
        <w:tc>
          <w:tcPr>
            <w:tcW w:w="851" w:type="dxa"/>
            <w:tcBorders>
              <w:top w:val="nil"/>
              <w:left w:val="nil"/>
              <w:bottom w:val="nil"/>
              <w:right w:val="nil"/>
            </w:tcBorders>
            <w:shd w:val="clear" w:color="auto" w:fill="auto"/>
            <w:noWrap/>
            <w:vAlign w:val="center"/>
            <w:hideMark/>
          </w:tcPr>
          <w:p w14:paraId="40E5079C"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11</w:t>
            </w:r>
          </w:p>
        </w:tc>
        <w:tc>
          <w:tcPr>
            <w:tcW w:w="1701" w:type="dxa"/>
            <w:tcBorders>
              <w:top w:val="nil"/>
              <w:left w:val="nil"/>
              <w:bottom w:val="nil"/>
              <w:right w:val="nil"/>
            </w:tcBorders>
            <w:shd w:val="clear" w:color="auto" w:fill="auto"/>
            <w:vAlign w:val="center"/>
            <w:hideMark/>
          </w:tcPr>
          <w:p w14:paraId="2D61BA93" w14:textId="259CE0DF"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190,625 </w:t>
            </w:r>
          </w:p>
        </w:tc>
        <w:tc>
          <w:tcPr>
            <w:tcW w:w="1559" w:type="dxa"/>
            <w:tcBorders>
              <w:top w:val="nil"/>
              <w:left w:val="nil"/>
              <w:bottom w:val="nil"/>
              <w:right w:val="nil"/>
            </w:tcBorders>
            <w:shd w:val="clear" w:color="auto" w:fill="auto"/>
            <w:noWrap/>
            <w:vAlign w:val="center"/>
            <w:hideMark/>
          </w:tcPr>
          <w:p w14:paraId="193F5725" w14:textId="7F4BE34A"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181,250 </w:t>
            </w:r>
          </w:p>
        </w:tc>
      </w:tr>
      <w:tr w:rsidR="00380423" w:rsidRPr="00380423" w14:paraId="2C782F61"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28D7B18E"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Interest payable </w:t>
            </w:r>
          </w:p>
        </w:tc>
        <w:tc>
          <w:tcPr>
            <w:tcW w:w="851" w:type="dxa"/>
            <w:tcBorders>
              <w:top w:val="nil"/>
              <w:left w:val="nil"/>
              <w:bottom w:val="nil"/>
              <w:right w:val="nil"/>
            </w:tcBorders>
            <w:shd w:val="clear" w:color="auto" w:fill="auto"/>
            <w:noWrap/>
            <w:vAlign w:val="center"/>
            <w:hideMark/>
          </w:tcPr>
          <w:p w14:paraId="75C36FC5"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12, 15</w:t>
            </w:r>
          </w:p>
        </w:tc>
        <w:tc>
          <w:tcPr>
            <w:tcW w:w="1701" w:type="dxa"/>
            <w:tcBorders>
              <w:top w:val="nil"/>
              <w:left w:val="nil"/>
              <w:bottom w:val="nil"/>
              <w:right w:val="nil"/>
            </w:tcBorders>
            <w:shd w:val="clear" w:color="auto" w:fill="auto"/>
            <w:vAlign w:val="center"/>
            <w:hideMark/>
          </w:tcPr>
          <w:p w14:paraId="65A3DAF1" w14:textId="0E6B8216"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105,526 </w:t>
            </w:r>
          </w:p>
        </w:tc>
        <w:tc>
          <w:tcPr>
            <w:tcW w:w="1559" w:type="dxa"/>
            <w:tcBorders>
              <w:top w:val="nil"/>
              <w:left w:val="nil"/>
              <w:bottom w:val="nil"/>
              <w:right w:val="nil"/>
            </w:tcBorders>
            <w:shd w:val="clear" w:color="auto" w:fill="auto"/>
            <w:noWrap/>
            <w:vAlign w:val="center"/>
            <w:hideMark/>
          </w:tcPr>
          <w:p w14:paraId="5A132B7D" w14:textId="125FC66C"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13,973 </w:t>
            </w:r>
          </w:p>
        </w:tc>
      </w:tr>
      <w:tr w:rsidR="00380423" w:rsidRPr="00380423" w14:paraId="308C5756"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19BE7555"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Current portion of lease liability </w:t>
            </w:r>
          </w:p>
        </w:tc>
        <w:tc>
          <w:tcPr>
            <w:tcW w:w="851" w:type="dxa"/>
            <w:tcBorders>
              <w:top w:val="nil"/>
              <w:left w:val="nil"/>
              <w:bottom w:val="nil"/>
              <w:right w:val="nil"/>
            </w:tcBorders>
            <w:shd w:val="clear" w:color="auto" w:fill="auto"/>
            <w:noWrap/>
            <w:vAlign w:val="center"/>
            <w:hideMark/>
          </w:tcPr>
          <w:p w14:paraId="3AA7F03B"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22</w:t>
            </w:r>
          </w:p>
        </w:tc>
        <w:tc>
          <w:tcPr>
            <w:tcW w:w="1701" w:type="dxa"/>
            <w:tcBorders>
              <w:top w:val="nil"/>
              <w:left w:val="nil"/>
              <w:bottom w:val="nil"/>
              <w:right w:val="nil"/>
            </w:tcBorders>
            <w:shd w:val="clear" w:color="auto" w:fill="auto"/>
            <w:vAlign w:val="center"/>
            <w:hideMark/>
          </w:tcPr>
          <w:p w14:paraId="57B7E3AB" w14:textId="4D6A4CE0"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36,922 </w:t>
            </w:r>
          </w:p>
        </w:tc>
        <w:tc>
          <w:tcPr>
            <w:tcW w:w="1559" w:type="dxa"/>
            <w:tcBorders>
              <w:top w:val="nil"/>
              <w:left w:val="nil"/>
              <w:bottom w:val="nil"/>
              <w:right w:val="nil"/>
            </w:tcBorders>
            <w:shd w:val="clear" w:color="auto" w:fill="auto"/>
            <w:noWrap/>
            <w:vAlign w:val="center"/>
            <w:hideMark/>
          </w:tcPr>
          <w:p w14:paraId="44A607F7" w14:textId="75D54909" w:rsidR="00380423" w:rsidRPr="00380423" w:rsidRDefault="00380423" w:rsidP="009A40BF">
            <w:pPr>
              <w:ind w:firstLineChars="100" w:firstLine="200"/>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36,352 </w:t>
            </w:r>
          </w:p>
        </w:tc>
      </w:tr>
      <w:tr w:rsidR="00380423" w:rsidRPr="00380423" w14:paraId="057FDFB1"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12FF5875" w14:textId="64963F81"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Current portion of </w:t>
            </w:r>
            <w:r w:rsidR="007620BD" w:rsidRPr="00380423">
              <w:rPr>
                <w:rFonts w:ascii="Calibri" w:hAnsi="Calibri" w:cs="Calibri"/>
                <w:color w:val="000000"/>
                <w:szCs w:val="20"/>
                <w:lang w:val="en-CA" w:eastAsia="en-CA"/>
              </w:rPr>
              <w:t>long-term</w:t>
            </w:r>
            <w:r w:rsidRPr="00380423">
              <w:rPr>
                <w:rFonts w:ascii="Calibri" w:hAnsi="Calibri" w:cs="Calibri"/>
                <w:color w:val="000000"/>
                <w:szCs w:val="20"/>
                <w:lang w:val="en-CA" w:eastAsia="en-CA"/>
              </w:rPr>
              <w:t xml:space="preserve"> debt</w:t>
            </w:r>
          </w:p>
        </w:tc>
        <w:tc>
          <w:tcPr>
            <w:tcW w:w="851" w:type="dxa"/>
            <w:tcBorders>
              <w:top w:val="nil"/>
              <w:left w:val="nil"/>
              <w:bottom w:val="nil"/>
              <w:right w:val="nil"/>
            </w:tcBorders>
            <w:shd w:val="clear" w:color="auto" w:fill="auto"/>
            <w:noWrap/>
            <w:vAlign w:val="center"/>
            <w:hideMark/>
          </w:tcPr>
          <w:p w14:paraId="68F14EA7"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13</w:t>
            </w:r>
          </w:p>
        </w:tc>
        <w:tc>
          <w:tcPr>
            <w:tcW w:w="1701" w:type="dxa"/>
            <w:tcBorders>
              <w:top w:val="nil"/>
              <w:left w:val="nil"/>
              <w:bottom w:val="nil"/>
              <w:right w:val="nil"/>
            </w:tcBorders>
            <w:shd w:val="clear" w:color="auto" w:fill="auto"/>
            <w:vAlign w:val="center"/>
            <w:hideMark/>
          </w:tcPr>
          <w:p w14:paraId="0C6347D2" w14:textId="021400C6"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10,898 </w:t>
            </w:r>
          </w:p>
        </w:tc>
        <w:tc>
          <w:tcPr>
            <w:tcW w:w="1559" w:type="dxa"/>
            <w:tcBorders>
              <w:top w:val="nil"/>
              <w:left w:val="nil"/>
              <w:bottom w:val="nil"/>
              <w:right w:val="nil"/>
            </w:tcBorders>
            <w:shd w:val="clear" w:color="auto" w:fill="auto"/>
            <w:noWrap/>
            <w:vAlign w:val="center"/>
            <w:hideMark/>
          </w:tcPr>
          <w:p w14:paraId="57C6ED06" w14:textId="0FE8ECE8" w:rsidR="00380423" w:rsidRPr="00380423" w:rsidRDefault="00380423" w:rsidP="009A40BF">
            <w:pPr>
              <w:ind w:right="125" w:firstLineChars="100" w:firstLine="200"/>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   </w:t>
            </w:r>
          </w:p>
        </w:tc>
      </w:tr>
      <w:tr w:rsidR="00380423" w:rsidRPr="00380423" w14:paraId="4A0ACD4E"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15B53AFB"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Government grant </w:t>
            </w:r>
          </w:p>
        </w:tc>
        <w:tc>
          <w:tcPr>
            <w:tcW w:w="851" w:type="dxa"/>
            <w:tcBorders>
              <w:top w:val="nil"/>
              <w:left w:val="nil"/>
              <w:bottom w:val="nil"/>
              <w:right w:val="nil"/>
            </w:tcBorders>
            <w:shd w:val="clear" w:color="auto" w:fill="auto"/>
            <w:noWrap/>
            <w:vAlign w:val="center"/>
            <w:hideMark/>
          </w:tcPr>
          <w:p w14:paraId="64A47311"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15</w:t>
            </w:r>
          </w:p>
        </w:tc>
        <w:tc>
          <w:tcPr>
            <w:tcW w:w="1701" w:type="dxa"/>
            <w:tcBorders>
              <w:top w:val="nil"/>
              <w:left w:val="nil"/>
              <w:bottom w:val="nil"/>
              <w:right w:val="nil"/>
            </w:tcBorders>
            <w:shd w:val="clear" w:color="auto" w:fill="auto"/>
            <w:vAlign w:val="center"/>
            <w:hideMark/>
          </w:tcPr>
          <w:p w14:paraId="13DF42BF" w14:textId="546E65C6" w:rsidR="00380423" w:rsidRPr="00380423" w:rsidRDefault="00380423" w:rsidP="009A40BF">
            <w:pPr>
              <w:ind w:right="125"/>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   </w:t>
            </w:r>
          </w:p>
        </w:tc>
        <w:tc>
          <w:tcPr>
            <w:tcW w:w="1559" w:type="dxa"/>
            <w:tcBorders>
              <w:top w:val="nil"/>
              <w:left w:val="nil"/>
              <w:bottom w:val="nil"/>
              <w:right w:val="nil"/>
            </w:tcBorders>
            <w:shd w:val="clear" w:color="auto" w:fill="auto"/>
            <w:vAlign w:val="center"/>
            <w:hideMark/>
          </w:tcPr>
          <w:p w14:paraId="77105E9E" w14:textId="40956D11"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111,380 </w:t>
            </w:r>
          </w:p>
        </w:tc>
      </w:tr>
      <w:tr w:rsidR="00380423" w:rsidRPr="00380423" w14:paraId="0E85D5CE"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1B73178F"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Due to related parties </w:t>
            </w:r>
          </w:p>
        </w:tc>
        <w:tc>
          <w:tcPr>
            <w:tcW w:w="851" w:type="dxa"/>
            <w:tcBorders>
              <w:top w:val="nil"/>
              <w:left w:val="nil"/>
              <w:bottom w:val="single" w:sz="8" w:space="0" w:color="auto"/>
              <w:right w:val="nil"/>
            </w:tcBorders>
            <w:shd w:val="clear" w:color="auto" w:fill="auto"/>
            <w:noWrap/>
            <w:vAlign w:val="center"/>
            <w:hideMark/>
          </w:tcPr>
          <w:p w14:paraId="295B83D8"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18</w:t>
            </w:r>
          </w:p>
        </w:tc>
        <w:tc>
          <w:tcPr>
            <w:tcW w:w="1701" w:type="dxa"/>
            <w:tcBorders>
              <w:top w:val="nil"/>
              <w:left w:val="nil"/>
              <w:bottom w:val="single" w:sz="8" w:space="0" w:color="auto"/>
              <w:right w:val="nil"/>
            </w:tcBorders>
            <w:shd w:val="clear" w:color="auto" w:fill="auto"/>
            <w:vAlign w:val="center"/>
            <w:hideMark/>
          </w:tcPr>
          <w:p w14:paraId="36DDC678" w14:textId="2A433F77" w:rsidR="00380423" w:rsidRPr="00380423" w:rsidRDefault="00380423" w:rsidP="009A40BF">
            <w:pPr>
              <w:ind w:right="125"/>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   </w:t>
            </w:r>
          </w:p>
        </w:tc>
        <w:tc>
          <w:tcPr>
            <w:tcW w:w="1559" w:type="dxa"/>
            <w:tcBorders>
              <w:top w:val="nil"/>
              <w:left w:val="nil"/>
              <w:bottom w:val="single" w:sz="8" w:space="0" w:color="auto"/>
              <w:right w:val="nil"/>
            </w:tcBorders>
            <w:shd w:val="clear" w:color="auto" w:fill="auto"/>
            <w:noWrap/>
            <w:vAlign w:val="center"/>
            <w:hideMark/>
          </w:tcPr>
          <w:p w14:paraId="7513AAA1" w14:textId="3F85ED2F"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9,950 </w:t>
            </w:r>
          </w:p>
        </w:tc>
      </w:tr>
      <w:tr w:rsidR="00380423" w:rsidRPr="00380423" w14:paraId="0902B255"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3F68084B" w14:textId="77777777" w:rsidR="00380423" w:rsidRPr="00380423" w:rsidRDefault="00380423" w:rsidP="009A40BF">
            <w:pPr>
              <w:rPr>
                <w:rFonts w:ascii="Calibri" w:hAnsi="Calibri" w:cs="Calibri"/>
                <w:color w:val="000000"/>
                <w:szCs w:val="20"/>
                <w:lang w:val="en-CA" w:eastAsia="en-CA"/>
              </w:rPr>
            </w:pPr>
          </w:p>
        </w:tc>
        <w:tc>
          <w:tcPr>
            <w:tcW w:w="851" w:type="dxa"/>
            <w:tcBorders>
              <w:top w:val="nil"/>
              <w:left w:val="nil"/>
              <w:bottom w:val="nil"/>
              <w:right w:val="nil"/>
            </w:tcBorders>
            <w:shd w:val="clear" w:color="auto" w:fill="auto"/>
            <w:noWrap/>
            <w:vAlign w:val="center"/>
            <w:hideMark/>
          </w:tcPr>
          <w:p w14:paraId="1512F187" w14:textId="77777777" w:rsidR="00380423" w:rsidRPr="00380423" w:rsidRDefault="00380423" w:rsidP="009A40BF">
            <w:pPr>
              <w:ind w:firstLineChars="100" w:firstLine="200"/>
              <w:rPr>
                <w:rFonts w:ascii="Times New Roman" w:hAnsi="Times New Roman"/>
                <w:szCs w:val="20"/>
                <w:lang w:val="en-CA" w:eastAsia="en-CA"/>
              </w:rPr>
            </w:pPr>
          </w:p>
        </w:tc>
        <w:tc>
          <w:tcPr>
            <w:tcW w:w="1701" w:type="dxa"/>
            <w:tcBorders>
              <w:top w:val="nil"/>
              <w:left w:val="nil"/>
              <w:bottom w:val="nil"/>
              <w:right w:val="nil"/>
            </w:tcBorders>
            <w:shd w:val="clear" w:color="auto" w:fill="auto"/>
            <w:vAlign w:val="center"/>
            <w:hideMark/>
          </w:tcPr>
          <w:p w14:paraId="12C87813" w14:textId="70E67D3D"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1,518,615 </w:t>
            </w:r>
          </w:p>
        </w:tc>
        <w:tc>
          <w:tcPr>
            <w:tcW w:w="1559" w:type="dxa"/>
            <w:tcBorders>
              <w:top w:val="nil"/>
              <w:left w:val="nil"/>
              <w:bottom w:val="nil"/>
              <w:right w:val="nil"/>
            </w:tcBorders>
            <w:shd w:val="clear" w:color="auto" w:fill="auto"/>
            <w:noWrap/>
            <w:vAlign w:val="center"/>
            <w:hideMark/>
          </w:tcPr>
          <w:p w14:paraId="2FB334F0" w14:textId="5D508368"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1,027,442 </w:t>
            </w:r>
          </w:p>
        </w:tc>
      </w:tr>
      <w:tr w:rsidR="00380423" w:rsidRPr="00380423" w14:paraId="552F47DA"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478023DF"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Non-current liabilities </w:t>
            </w:r>
          </w:p>
        </w:tc>
        <w:tc>
          <w:tcPr>
            <w:tcW w:w="851" w:type="dxa"/>
            <w:tcBorders>
              <w:top w:val="nil"/>
              <w:left w:val="nil"/>
              <w:bottom w:val="nil"/>
              <w:right w:val="nil"/>
            </w:tcBorders>
            <w:shd w:val="clear" w:color="auto" w:fill="auto"/>
            <w:noWrap/>
            <w:vAlign w:val="center"/>
            <w:hideMark/>
          </w:tcPr>
          <w:p w14:paraId="19ECF64F" w14:textId="77777777" w:rsidR="00380423" w:rsidRPr="00380423" w:rsidRDefault="00380423" w:rsidP="009A40BF">
            <w:pPr>
              <w:rPr>
                <w:rFonts w:ascii="Calibri" w:hAnsi="Calibri" w:cs="Calibri"/>
                <w:b/>
                <w:bCs/>
                <w:color w:val="000000"/>
                <w:szCs w:val="20"/>
                <w:lang w:val="en-CA" w:eastAsia="en-CA"/>
              </w:rPr>
            </w:pPr>
          </w:p>
        </w:tc>
        <w:tc>
          <w:tcPr>
            <w:tcW w:w="1701" w:type="dxa"/>
            <w:tcBorders>
              <w:top w:val="nil"/>
              <w:left w:val="nil"/>
              <w:bottom w:val="nil"/>
              <w:right w:val="nil"/>
            </w:tcBorders>
            <w:shd w:val="clear" w:color="auto" w:fill="auto"/>
            <w:vAlign w:val="center"/>
            <w:hideMark/>
          </w:tcPr>
          <w:p w14:paraId="32B1F570" w14:textId="77777777" w:rsidR="00380423" w:rsidRPr="00380423" w:rsidRDefault="00380423" w:rsidP="009A40BF">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7021A120" w14:textId="77777777" w:rsidR="00380423" w:rsidRPr="00380423" w:rsidRDefault="00380423" w:rsidP="009A40BF">
            <w:pPr>
              <w:jc w:val="right"/>
              <w:rPr>
                <w:rFonts w:ascii="Times New Roman" w:hAnsi="Times New Roman"/>
                <w:szCs w:val="20"/>
                <w:lang w:val="en-CA" w:eastAsia="en-CA"/>
              </w:rPr>
            </w:pPr>
          </w:p>
        </w:tc>
      </w:tr>
      <w:tr w:rsidR="00380423" w:rsidRPr="00380423" w14:paraId="27C665BA"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11E46086"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Notes Payable  </w:t>
            </w:r>
          </w:p>
        </w:tc>
        <w:tc>
          <w:tcPr>
            <w:tcW w:w="851" w:type="dxa"/>
            <w:tcBorders>
              <w:top w:val="nil"/>
              <w:left w:val="nil"/>
              <w:bottom w:val="nil"/>
              <w:right w:val="nil"/>
            </w:tcBorders>
            <w:shd w:val="clear" w:color="auto" w:fill="auto"/>
            <w:noWrap/>
            <w:vAlign w:val="center"/>
            <w:hideMark/>
          </w:tcPr>
          <w:p w14:paraId="01579E7E"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12</w:t>
            </w:r>
          </w:p>
        </w:tc>
        <w:tc>
          <w:tcPr>
            <w:tcW w:w="1701" w:type="dxa"/>
            <w:tcBorders>
              <w:top w:val="nil"/>
              <w:left w:val="nil"/>
              <w:bottom w:val="nil"/>
              <w:right w:val="nil"/>
            </w:tcBorders>
            <w:shd w:val="clear" w:color="auto" w:fill="auto"/>
            <w:vAlign w:val="center"/>
            <w:hideMark/>
          </w:tcPr>
          <w:p w14:paraId="196808E4" w14:textId="555F722A"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894,576 </w:t>
            </w:r>
          </w:p>
        </w:tc>
        <w:tc>
          <w:tcPr>
            <w:tcW w:w="1559" w:type="dxa"/>
            <w:tcBorders>
              <w:top w:val="nil"/>
              <w:left w:val="nil"/>
              <w:bottom w:val="nil"/>
              <w:right w:val="nil"/>
            </w:tcBorders>
            <w:shd w:val="clear" w:color="auto" w:fill="auto"/>
            <w:noWrap/>
            <w:vAlign w:val="center"/>
            <w:hideMark/>
          </w:tcPr>
          <w:p w14:paraId="4729C063" w14:textId="74CE0A83"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856,112 </w:t>
            </w:r>
          </w:p>
        </w:tc>
      </w:tr>
      <w:tr w:rsidR="00380423" w:rsidRPr="00380423" w14:paraId="31803FA2"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013964F2"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Long term debt </w:t>
            </w:r>
          </w:p>
        </w:tc>
        <w:tc>
          <w:tcPr>
            <w:tcW w:w="851" w:type="dxa"/>
            <w:tcBorders>
              <w:top w:val="nil"/>
              <w:left w:val="nil"/>
              <w:bottom w:val="nil"/>
              <w:right w:val="nil"/>
            </w:tcBorders>
            <w:shd w:val="clear" w:color="auto" w:fill="auto"/>
            <w:noWrap/>
            <w:vAlign w:val="center"/>
            <w:hideMark/>
          </w:tcPr>
          <w:p w14:paraId="11E23943"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13</w:t>
            </w:r>
          </w:p>
        </w:tc>
        <w:tc>
          <w:tcPr>
            <w:tcW w:w="1701" w:type="dxa"/>
            <w:tcBorders>
              <w:top w:val="nil"/>
              <w:left w:val="nil"/>
              <w:bottom w:val="nil"/>
              <w:right w:val="nil"/>
            </w:tcBorders>
            <w:shd w:val="clear" w:color="auto" w:fill="auto"/>
            <w:vAlign w:val="center"/>
            <w:hideMark/>
          </w:tcPr>
          <w:p w14:paraId="2EBB6C4D" w14:textId="49AB8967"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526,069 </w:t>
            </w:r>
          </w:p>
        </w:tc>
        <w:tc>
          <w:tcPr>
            <w:tcW w:w="1559" w:type="dxa"/>
            <w:tcBorders>
              <w:top w:val="nil"/>
              <w:left w:val="nil"/>
              <w:bottom w:val="nil"/>
              <w:right w:val="nil"/>
            </w:tcBorders>
            <w:shd w:val="clear" w:color="auto" w:fill="auto"/>
            <w:noWrap/>
            <w:vAlign w:val="center"/>
            <w:hideMark/>
          </w:tcPr>
          <w:p w14:paraId="67368459" w14:textId="1F764CB6" w:rsidR="00380423" w:rsidRPr="00380423" w:rsidRDefault="00380423" w:rsidP="009A40BF">
            <w:pPr>
              <w:ind w:right="125"/>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w:t>
            </w:r>
          </w:p>
        </w:tc>
      </w:tr>
      <w:tr w:rsidR="00380423" w:rsidRPr="00380423" w14:paraId="308C1F44"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2015FE39"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Bank Loan Payable </w:t>
            </w:r>
          </w:p>
        </w:tc>
        <w:tc>
          <w:tcPr>
            <w:tcW w:w="851" w:type="dxa"/>
            <w:tcBorders>
              <w:top w:val="nil"/>
              <w:left w:val="nil"/>
              <w:bottom w:val="nil"/>
              <w:right w:val="nil"/>
            </w:tcBorders>
            <w:shd w:val="clear" w:color="auto" w:fill="auto"/>
            <w:noWrap/>
            <w:vAlign w:val="center"/>
            <w:hideMark/>
          </w:tcPr>
          <w:p w14:paraId="06C6986B"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14</w:t>
            </w:r>
          </w:p>
        </w:tc>
        <w:tc>
          <w:tcPr>
            <w:tcW w:w="1701" w:type="dxa"/>
            <w:tcBorders>
              <w:top w:val="nil"/>
              <w:left w:val="nil"/>
              <w:bottom w:val="nil"/>
              <w:right w:val="nil"/>
            </w:tcBorders>
            <w:shd w:val="clear" w:color="auto" w:fill="auto"/>
            <w:vAlign w:val="center"/>
            <w:hideMark/>
          </w:tcPr>
          <w:p w14:paraId="0BD1EDD5" w14:textId="54C30D95"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350,000 </w:t>
            </w:r>
          </w:p>
        </w:tc>
        <w:tc>
          <w:tcPr>
            <w:tcW w:w="1559" w:type="dxa"/>
            <w:tcBorders>
              <w:top w:val="nil"/>
              <w:left w:val="nil"/>
              <w:bottom w:val="nil"/>
              <w:right w:val="nil"/>
            </w:tcBorders>
            <w:shd w:val="clear" w:color="auto" w:fill="auto"/>
            <w:noWrap/>
            <w:vAlign w:val="center"/>
            <w:hideMark/>
          </w:tcPr>
          <w:p w14:paraId="0F9DB742" w14:textId="1869A52E" w:rsidR="00380423" w:rsidRPr="00380423" w:rsidRDefault="00380423" w:rsidP="009A40BF">
            <w:pPr>
              <w:ind w:right="125"/>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w:t>
            </w:r>
          </w:p>
        </w:tc>
      </w:tr>
      <w:tr w:rsidR="00380423" w:rsidRPr="00380423" w14:paraId="07BCEB67"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0A9847B4"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Government Grant </w:t>
            </w:r>
          </w:p>
        </w:tc>
        <w:tc>
          <w:tcPr>
            <w:tcW w:w="851" w:type="dxa"/>
            <w:tcBorders>
              <w:top w:val="nil"/>
              <w:left w:val="nil"/>
              <w:bottom w:val="nil"/>
              <w:right w:val="nil"/>
            </w:tcBorders>
            <w:shd w:val="clear" w:color="auto" w:fill="auto"/>
            <w:noWrap/>
            <w:vAlign w:val="center"/>
            <w:hideMark/>
          </w:tcPr>
          <w:p w14:paraId="0F036942"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15</w:t>
            </w:r>
          </w:p>
        </w:tc>
        <w:tc>
          <w:tcPr>
            <w:tcW w:w="1701" w:type="dxa"/>
            <w:tcBorders>
              <w:top w:val="nil"/>
              <w:left w:val="nil"/>
              <w:bottom w:val="nil"/>
              <w:right w:val="nil"/>
            </w:tcBorders>
            <w:shd w:val="clear" w:color="auto" w:fill="auto"/>
            <w:vAlign w:val="center"/>
            <w:hideMark/>
          </w:tcPr>
          <w:p w14:paraId="10E9CA8B" w14:textId="59ECECD0"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120,000 </w:t>
            </w:r>
          </w:p>
        </w:tc>
        <w:tc>
          <w:tcPr>
            <w:tcW w:w="1559" w:type="dxa"/>
            <w:tcBorders>
              <w:top w:val="nil"/>
              <w:left w:val="nil"/>
              <w:bottom w:val="nil"/>
              <w:right w:val="nil"/>
            </w:tcBorders>
            <w:shd w:val="clear" w:color="auto" w:fill="auto"/>
            <w:noWrap/>
            <w:vAlign w:val="center"/>
            <w:hideMark/>
          </w:tcPr>
          <w:p w14:paraId="740BE77F" w14:textId="27F29EFE" w:rsidR="00380423" w:rsidRPr="00380423" w:rsidRDefault="00380423" w:rsidP="009A40BF">
            <w:pPr>
              <w:ind w:right="125"/>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w:t>
            </w:r>
          </w:p>
        </w:tc>
      </w:tr>
      <w:tr w:rsidR="00380423" w:rsidRPr="00380423" w14:paraId="52684F4C"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759F700F"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Non-current portion of lease liability  </w:t>
            </w:r>
          </w:p>
        </w:tc>
        <w:tc>
          <w:tcPr>
            <w:tcW w:w="851" w:type="dxa"/>
            <w:tcBorders>
              <w:top w:val="nil"/>
              <w:left w:val="nil"/>
              <w:bottom w:val="single" w:sz="8" w:space="0" w:color="auto"/>
              <w:right w:val="nil"/>
            </w:tcBorders>
            <w:shd w:val="clear" w:color="auto" w:fill="auto"/>
            <w:noWrap/>
            <w:vAlign w:val="center"/>
            <w:hideMark/>
          </w:tcPr>
          <w:p w14:paraId="009ADEA6"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22</w:t>
            </w:r>
          </w:p>
        </w:tc>
        <w:tc>
          <w:tcPr>
            <w:tcW w:w="1701" w:type="dxa"/>
            <w:tcBorders>
              <w:top w:val="nil"/>
              <w:left w:val="nil"/>
              <w:bottom w:val="single" w:sz="8" w:space="0" w:color="auto"/>
              <w:right w:val="nil"/>
            </w:tcBorders>
            <w:shd w:val="clear" w:color="auto" w:fill="auto"/>
            <w:vAlign w:val="center"/>
            <w:hideMark/>
          </w:tcPr>
          <w:p w14:paraId="505C28B2" w14:textId="7145BFAD" w:rsidR="00380423" w:rsidRPr="00380423" w:rsidRDefault="00380423" w:rsidP="009A40BF">
            <w:pPr>
              <w:ind w:right="125"/>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   </w:t>
            </w:r>
          </w:p>
        </w:tc>
        <w:tc>
          <w:tcPr>
            <w:tcW w:w="1559" w:type="dxa"/>
            <w:tcBorders>
              <w:top w:val="nil"/>
              <w:left w:val="nil"/>
              <w:bottom w:val="single" w:sz="8" w:space="0" w:color="auto"/>
              <w:right w:val="nil"/>
            </w:tcBorders>
            <w:shd w:val="clear" w:color="auto" w:fill="auto"/>
            <w:noWrap/>
            <w:vAlign w:val="center"/>
            <w:hideMark/>
          </w:tcPr>
          <w:p w14:paraId="7A921CD0" w14:textId="21CA427A"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27,266 </w:t>
            </w:r>
          </w:p>
        </w:tc>
      </w:tr>
      <w:tr w:rsidR="00380423" w:rsidRPr="00380423" w14:paraId="4BBF4BC4"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06B6FAA4" w14:textId="77777777" w:rsidR="00380423" w:rsidRPr="00380423" w:rsidRDefault="00380423" w:rsidP="009A40BF">
            <w:pPr>
              <w:rPr>
                <w:rFonts w:ascii="Calibri" w:hAnsi="Calibri" w:cs="Calibri"/>
                <w:color w:val="000000"/>
                <w:szCs w:val="20"/>
                <w:lang w:val="en-CA" w:eastAsia="en-CA"/>
              </w:rPr>
            </w:pPr>
            <w:r w:rsidRPr="00380423">
              <w:rPr>
                <w:rFonts w:ascii="Calibri" w:hAnsi="Calibri" w:cs="Calibri"/>
                <w:color w:val="000000"/>
                <w:szCs w:val="20"/>
                <w:lang w:val="en-CA" w:eastAsia="en-CA"/>
              </w:rPr>
              <w:t> </w:t>
            </w:r>
          </w:p>
        </w:tc>
        <w:tc>
          <w:tcPr>
            <w:tcW w:w="851" w:type="dxa"/>
            <w:tcBorders>
              <w:top w:val="nil"/>
              <w:left w:val="nil"/>
              <w:bottom w:val="single" w:sz="8" w:space="0" w:color="auto"/>
              <w:right w:val="nil"/>
            </w:tcBorders>
            <w:shd w:val="clear" w:color="auto" w:fill="auto"/>
            <w:noWrap/>
            <w:vAlign w:val="center"/>
            <w:hideMark/>
          </w:tcPr>
          <w:p w14:paraId="34BA2BDD"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65317F4C" w14:textId="1BD74111"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1,890,645 </w:t>
            </w:r>
          </w:p>
        </w:tc>
        <w:tc>
          <w:tcPr>
            <w:tcW w:w="1559" w:type="dxa"/>
            <w:tcBorders>
              <w:top w:val="nil"/>
              <w:left w:val="nil"/>
              <w:bottom w:val="single" w:sz="8" w:space="0" w:color="auto"/>
              <w:right w:val="nil"/>
            </w:tcBorders>
            <w:shd w:val="clear" w:color="auto" w:fill="auto"/>
            <w:vAlign w:val="center"/>
            <w:hideMark/>
          </w:tcPr>
          <w:p w14:paraId="36ED616C" w14:textId="676511BE"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883,378 </w:t>
            </w:r>
          </w:p>
        </w:tc>
      </w:tr>
      <w:tr w:rsidR="00380423" w:rsidRPr="00380423" w14:paraId="672BA57B"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04CA8EC0"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Total liabilities </w:t>
            </w:r>
          </w:p>
        </w:tc>
        <w:tc>
          <w:tcPr>
            <w:tcW w:w="851" w:type="dxa"/>
            <w:tcBorders>
              <w:top w:val="nil"/>
              <w:left w:val="nil"/>
              <w:bottom w:val="single" w:sz="8" w:space="0" w:color="auto"/>
              <w:right w:val="nil"/>
            </w:tcBorders>
            <w:shd w:val="clear" w:color="auto" w:fill="auto"/>
            <w:noWrap/>
            <w:vAlign w:val="center"/>
            <w:hideMark/>
          </w:tcPr>
          <w:p w14:paraId="69D3087B" w14:textId="77777777" w:rsidR="00380423" w:rsidRPr="00380423" w:rsidRDefault="00380423" w:rsidP="009A40BF">
            <w:pPr>
              <w:jc w:val="center"/>
              <w:rPr>
                <w:rFonts w:ascii="Calibri" w:hAnsi="Calibri" w:cs="Calibri"/>
                <w:b/>
                <w:bCs/>
                <w:i/>
                <w:iCs/>
                <w:color w:val="000000"/>
                <w:szCs w:val="20"/>
                <w:lang w:val="en-CA" w:eastAsia="en-CA"/>
              </w:rPr>
            </w:pPr>
            <w:r w:rsidRPr="00380423">
              <w:rPr>
                <w:rFonts w:ascii="Calibri" w:hAnsi="Calibri" w:cs="Calibri"/>
                <w:b/>
                <w:bCs/>
                <w:i/>
                <w:iCs/>
                <w:color w:val="00000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5FF94161" w14:textId="2BE7EE56"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3,409,260 </w:t>
            </w:r>
          </w:p>
        </w:tc>
        <w:tc>
          <w:tcPr>
            <w:tcW w:w="1559" w:type="dxa"/>
            <w:tcBorders>
              <w:top w:val="nil"/>
              <w:left w:val="nil"/>
              <w:bottom w:val="single" w:sz="8" w:space="0" w:color="auto"/>
              <w:right w:val="nil"/>
            </w:tcBorders>
            <w:shd w:val="clear" w:color="auto" w:fill="auto"/>
            <w:vAlign w:val="center"/>
            <w:hideMark/>
          </w:tcPr>
          <w:p w14:paraId="784E1940" w14:textId="2B66948B"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1,910,820 </w:t>
            </w:r>
          </w:p>
        </w:tc>
      </w:tr>
      <w:tr w:rsidR="00380423" w:rsidRPr="00380423" w14:paraId="5E660CB4"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10785BFE"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Shareholders' equity  </w:t>
            </w:r>
          </w:p>
        </w:tc>
        <w:tc>
          <w:tcPr>
            <w:tcW w:w="851" w:type="dxa"/>
            <w:tcBorders>
              <w:top w:val="nil"/>
              <w:left w:val="nil"/>
              <w:bottom w:val="nil"/>
              <w:right w:val="nil"/>
            </w:tcBorders>
            <w:shd w:val="clear" w:color="auto" w:fill="auto"/>
            <w:noWrap/>
            <w:vAlign w:val="center"/>
            <w:hideMark/>
          </w:tcPr>
          <w:p w14:paraId="746DDFDC" w14:textId="77777777" w:rsidR="00380423" w:rsidRPr="00380423" w:rsidRDefault="00380423" w:rsidP="009A40BF">
            <w:pPr>
              <w:rPr>
                <w:rFonts w:ascii="Calibri" w:hAnsi="Calibri" w:cs="Calibri"/>
                <w:b/>
                <w:bCs/>
                <w:color w:val="000000"/>
                <w:szCs w:val="20"/>
                <w:lang w:val="en-CA" w:eastAsia="en-CA"/>
              </w:rPr>
            </w:pPr>
          </w:p>
        </w:tc>
        <w:tc>
          <w:tcPr>
            <w:tcW w:w="1701" w:type="dxa"/>
            <w:tcBorders>
              <w:top w:val="nil"/>
              <w:left w:val="nil"/>
              <w:bottom w:val="nil"/>
              <w:right w:val="nil"/>
            </w:tcBorders>
            <w:shd w:val="clear" w:color="auto" w:fill="auto"/>
            <w:vAlign w:val="center"/>
            <w:hideMark/>
          </w:tcPr>
          <w:p w14:paraId="3631EACA" w14:textId="77777777" w:rsidR="00380423" w:rsidRPr="00380423" w:rsidRDefault="00380423" w:rsidP="009A40BF">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34092891" w14:textId="77777777" w:rsidR="00380423" w:rsidRPr="00380423" w:rsidRDefault="00380423" w:rsidP="009A40BF">
            <w:pPr>
              <w:jc w:val="right"/>
              <w:rPr>
                <w:rFonts w:ascii="Times New Roman" w:hAnsi="Times New Roman"/>
                <w:szCs w:val="20"/>
                <w:lang w:val="en-CA" w:eastAsia="en-CA"/>
              </w:rPr>
            </w:pPr>
          </w:p>
        </w:tc>
      </w:tr>
      <w:tr w:rsidR="00380423" w:rsidRPr="00380423" w14:paraId="784425F2"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0C0240EB"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Share capital </w:t>
            </w:r>
          </w:p>
        </w:tc>
        <w:tc>
          <w:tcPr>
            <w:tcW w:w="851" w:type="dxa"/>
            <w:tcBorders>
              <w:top w:val="nil"/>
              <w:left w:val="nil"/>
              <w:bottom w:val="nil"/>
              <w:right w:val="nil"/>
            </w:tcBorders>
            <w:shd w:val="clear" w:color="auto" w:fill="auto"/>
            <w:noWrap/>
            <w:vAlign w:val="center"/>
            <w:hideMark/>
          </w:tcPr>
          <w:p w14:paraId="4D811D96"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16</w:t>
            </w:r>
          </w:p>
        </w:tc>
        <w:tc>
          <w:tcPr>
            <w:tcW w:w="1701" w:type="dxa"/>
            <w:tcBorders>
              <w:top w:val="nil"/>
              <w:left w:val="nil"/>
              <w:bottom w:val="nil"/>
              <w:right w:val="nil"/>
            </w:tcBorders>
            <w:shd w:val="clear" w:color="auto" w:fill="auto"/>
            <w:vAlign w:val="center"/>
            <w:hideMark/>
          </w:tcPr>
          <w:p w14:paraId="6D58CF64" w14:textId="7BAF25D1"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14,968,979 </w:t>
            </w:r>
          </w:p>
        </w:tc>
        <w:tc>
          <w:tcPr>
            <w:tcW w:w="1559" w:type="dxa"/>
            <w:tcBorders>
              <w:top w:val="nil"/>
              <w:left w:val="nil"/>
              <w:bottom w:val="nil"/>
              <w:right w:val="nil"/>
            </w:tcBorders>
            <w:shd w:val="clear" w:color="auto" w:fill="auto"/>
            <w:noWrap/>
            <w:vAlign w:val="center"/>
            <w:hideMark/>
          </w:tcPr>
          <w:p w14:paraId="03192F9C" w14:textId="195D6F44"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14,968,979 </w:t>
            </w:r>
          </w:p>
        </w:tc>
      </w:tr>
      <w:tr w:rsidR="00380423" w:rsidRPr="00380423" w14:paraId="74746B21" w14:textId="77777777" w:rsidTr="00380423">
        <w:trPr>
          <w:trHeight w:val="276"/>
          <w:jc w:val="center"/>
        </w:trPr>
        <w:tc>
          <w:tcPr>
            <w:tcW w:w="4536" w:type="dxa"/>
            <w:tcBorders>
              <w:top w:val="nil"/>
              <w:left w:val="nil"/>
              <w:bottom w:val="nil"/>
              <w:right w:val="nil"/>
            </w:tcBorders>
            <w:shd w:val="clear" w:color="auto" w:fill="auto"/>
            <w:noWrap/>
            <w:vAlign w:val="center"/>
            <w:hideMark/>
          </w:tcPr>
          <w:p w14:paraId="6970B08C"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Reserves </w:t>
            </w:r>
          </w:p>
        </w:tc>
        <w:tc>
          <w:tcPr>
            <w:tcW w:w="851" w:type="dxa"/>
            <w:tcBorders>
              <w:top w:val="nil"/>
              <w:left w:val="nil"/>
              <w:bottom w:val="nil"/>
              <w:right w:val="nil"/>
            </w:tcBorders>
            <w:shd w:val="clear" w:color="auto" w:fill="auto"/>
            <w:noWrap/>
            <w:vAlign w:val="center"/>
            <w:hideMark/>
          </w:tcPr>
          <w:p w14:paraId="2331D08A"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16</w:t>
            </w:r>
          </w:p>
        </w:tc>
        <w:tc>
          <w:tcPr>
            <w:tcW w:w="1701" w:type="dxa"/>
            <w:tcBorders>
              <w:top w:val="nil"/>
              <w:left w:val="nil"/>
              <w:bottom w:val="nil"/>
              <w:right w:val="nil"/>
            </w:tcBorders>
            <w:shd w:val="clear" w:color="auto" w:fill="auto"/>
            <w:vAlign w:val="center"/>
            <w:hideMark/>
          </w:tcPr>
          <w:p w14:paraId="491A0444" w14:textId="094AB532"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1,173,110 </w:t>
            </w:r>
          </w:p>
        </w:tc>
        <w:tc>
          <w:tcPr>
            <w:tcW w:w="1559" w:type="dxa"/>
            <w:tcBorders>
              <w:top w:val="nil"/>
              <w:left w:val="nil"/>
              <w:bottom w:val="nil"/>
              <w:right w:val="nil"/>
            </w:tcBorders>
            <w:shd w:val="clear" w:color="auto" w:fill="auto"/>
            <w:noWrap/>
            <w:vAlign w:val="center"/>
            <w:hideMark/>
          </w:tcPr>
          <w:p w14:paraId="06227F25" w14:textId="30824438"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945,182 </w:t>
            </w:r>
          </w:p>
        </w:tc>
      </w:tr>
      <w:tr w:rsidR="00380423" w:rsidRPr="00380423" w14:paraId="2A2BA543" w14:textId="77777777" w:rsidTr="00380423">
        <w:trPr>
          <w:trHeight w:val="288"/>
          <w:jc w:val="center"/>
        </w:trPr>
        <w:tc>
          <w:tcPr>
            <w:tcW w:w="4536" w:type="dxa"/>
            <w:tcBorders>
              <w:top w:val="nil"/>
              <w:left w:val="nil"/>
              <w:bottom w:val="single" w:sz="8" w:space="0" w:color="auto"/>
              <w:right w:val="nil"/>
            </w:tcBorders>
            <w:shd w:val="clear" w:color="auto" w:fill="auto"/>
            <w:noWrap/>
            <w:vAlign w:val="center"/>
            <w:hideMark/>
          </w:tcPr>
          <w:p w14:paraId="313ED623" w14:textId="77777777" w:rsidR="00380423" w:rsidRPr="00380423" w:rsidRDefault="00380423" w:rsidP="009A40BF">
            <w:pPr>
              <w:ind w:firstLineChars="100" w:firstLine="200"/>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Deficit </w:t>
            </w:r>
          </w:p>
        </w:tc>
        <w:tc>
          <w:tcPr>
            <w:tcW w:w="851" w:type="dxa"/>
            <w:tcBorders>
              <w:top w:val="nil"/>
              <w:left w:val="nil"/>
              <w:bottom w:val="single" w:sz="8" w:space="0" w:color="auto"/>
              <w:right w:val="nil"/>
            </w:tcBorders>
            <w:shd w:val="clear" w:color="auto" w:fill="auto"/>
            <w:noWrap/>
            <w:vAlign w:val="center"/>
            <w:hideMark/>
          </w:tcPr>
          <w:p w14:paraId="52A9CE03" w14:textId="77777777" w:rsidR="00380423" w:rsidRPr="00380423" w:rsidRDefault="00380423" w:rsidP="009A40BF">
            <w:pPr>
              <w:jc w:val="center"/>
              <w:rPr>
                <w:rFonts w:ascii="Calibri" w:hAnsi="Calibri" w:cs="Calibri"/>
                <w:i/>
                <w:iCs/>
                <w:color w:val="000000"/>
                <w:szCs w:val="20"/>
                <w:lang w:val="en-CA" w:eastAsia="en-CA"/>
              </w:rPr>
            </w:pPr>
            <w:r w:rsidRPr="00380423">
              <w:rPr>
                <w:rFonts w:ascii="Calibri" w:hAnsi="Calibri" w:cs="Calibri"/>
                <w:i/>
                <w:iCs/>
                <w:color w:val="00000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57512600" w14:textId="1215F2CB"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(17,438,420)</w:t>
            </w:r>
          </w:p>
        </w:tc>
        <w:tc>
          <w:tcPr>
            <w:tcW w:w="1559" w:type="dxa"/>
            <w:tcBorders>
              <w:top w:val="nil"/>
              <w:left w:val="nil"/>
              <w:bottom w:val="nil"/>
              <w:right w:val="nil"/>
            </w:tcBorders>
            <w:shd w:val="clear" w:color="auto" w:fill="auto"/>
            <w:noWrap/>
            <w:vAlign w:val="center"/>
            <w:hideMark/>
          </w:tcPr>
          <w:p w14:paraId="5F2BB0D4" w14:textId="77777777"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(15,245,327)</w:t>
            </w:r>
          </w:p>
        </w:tc>
      </w:tr>
      <w:tr w:rsidR="00380423" w:rsidRPr="00380423" w14:paraId="27E22EC7" w14:textId="77777777" w:rsidTr="002174E1">
        <w:trPr>
          <w:trHeight w:val="288"/>
          <w:jc w:val="center"/>
        </w:trPr>
        <w:tc>
          <w:tcPr>
            <w:tcW w:w="4536" w:type="dxa"/>
            <w:tcBorders>
              <w:top w:val="nil"/>
              <w:left w:val="nil"/>
              <w:bottom w:val="single" w:sz="8" w:space="0" w:color="auto"/>
              <w:right w:val="nil"/>
            </w:tcBorders>
            <w:shd w:val="clear" w:color="auto" w:fill="auto"/>
            <w:noWrap/>
            <w:vAlign w:val="center"/>
            <w:hideMark/>
          </w:tcPr>
          <w:p w14:paraId="676FB28F" w14:textId="77777777" w:rsidR="00380423" w:rsidRPr="00380423" w:rsidRDefault="00380423" w:rsidP="009A40BF">
            <w:pPr>
              <w:rPr>
                <w:rFonts w:ascii="Calibri" w:hAnsi="Calibri" w:cs="Calibri"/>
                <w:color w:val="000000"/>
                <w:szCs w:val="20"/>
                <w:lang w:val="en-CA" w:eastAsia="en-CA"/>
              </w:rPr>
            </w:pPr>
          </w:p>
        </w:tc>
        <w:tc>
          <w:tcPr>
            <w:tcW w:w="851" w:type="dxa"/>
            <w:tcBorders>
              <w:top w:val="nil"/>
              <w:left w:val="nil"/>
              <w:bottom w:val="single" w:sz="8" w:space="0" w:color="auto"/>
              <w:right w:val="nil"/>
            </w:tcBorders>
            <w:shd w:val="clear" w:color="auto" w:fill="auto"/>
            <w:noWrap/>
            <w:vAlign w:val="center"/>
            <w:hideMark/>
          </w:tcPr>
          <w:p w14:paraId="43221322" w14:textId="77777777" w:rsidR="00380423" w:rsidRPr="00380423" w:rsidRDefault="00380423" w:rsidP="009A40BF">
            <w:pPr>
              <w:rPr>
                <w:rFonts w:ascii="Times New Roman" w:hAnsi="Times New Roman"/>
                <w:szCs w:val="20"/>
                <w:lang w:val="en-CA" w:eastAsia="en-CA"/>
              </w:rPr>
            </w:pPr>
          </w:p>
        </w:tc>
        <w:tc>
          <w:tcPr>
            <w:tcW w:w="1701" w:type="dxa"/>
            <w:tcBorders>
              <w:top w:val="nil"/>
              <w:left w:val="nil"/>
              <w:bottom w:val="single" w:sz="8" w:space="0" w:color="auto"/>
              <w:right w:val="nil"/>
            </w:tcBorders>
            <w:shd w:val="clear" w:color="auto" w:fill="auto"/>
            <w:vAlign w:val="center"/>
            <w:hideMark/>
          </w:tcPr>
          <w:p w14:paraId="0D44CA82" w14:textId="6F100EFD"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(1,296,331)</w:t>
            </w:r>
          </w:p>
        </w:tc>
        <w:tc>
          <w:tcPr>
            <w:tcW w:w="1559" w:type="dxa"/>
            <w:tcBorders>
              <w:top w:val="single" w:sz="8" w:space="0" w:color="auto"/>
              <w:left w:val="nil"/>
              <w:bottom w:val="single" w:sz="8" w:space="0" w:color="auto"/>
              <w:right w:val="nil"/>
            </w:tcBorders>
            <w:shd w:val="clear" w:color="auto" w:fill="auto"/>
            <w:noWrap/>
            <w:vAlign w:val="center"/>
            <w:hideMark/>
          </w:tcPr>
          <w:p w14:paraId="231997D3" w14:textId="107FDAE2"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668,834 </w:t>
            </w:r>
          </w:p>
        </w:tc>
      </w:tr>
      <w:tr w:rsidR="00380423" w:rsidRPr="00380423" w14:paraId="2921783D" w14:textId="77777777" w:rsidTr="002174E1">
        <w:trPr>
          <w:trHeight w:val="288"/>
          <w:jc w:val="center"/>
        </w:trPr>
        <w:tc>
          <w:tcPr>
            <w:tcW w:w="4536" w:type="dxa"/>
            <w:tcBorders>
              <w:top w:val="single" w:sz="8" w:space="0" w:color="auto"/>
              <w:left w:val="nil"/>
              <w:bottom w:val="single" w:sz="12" w:space="0" w:color="auto"/>
              <w:right w:val="nil"/>
            </w:tcBorders>
            <w:shd w:val="clear" w:color="auto" w:fill="auto"/>
            <w:noWrap/>
            <w:vAlign w:val="center"/>
            <w:hideMark/>
          </w:tcPr>
          <w:p w14:paraId="2B2959D1" w14:textId="77777777" w:rsidR="00380423" w:rsidRPr="00380423" w:rsidRDefault="00380423" w:rsidP="009A40BF">
            <w:pP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Total liabilities and shareholders' equity </w:t>
            </w:r>
          </w:p>
        </w:tc>
        <w:tc>
          <w:tcPr>
            <w:tcW w:w="851" w:type="dxa"/>
            <w:tcBorders>
              <w:top w:val="single" w:sz="8" w:space="0" w:color="auto"/>
              <w:left w:val="nil"/>
              <w:bottom w:val="single" w:sz="12" w:space="0" w:color="auto"/>
              <w:right w:val="nil"/>
            </w:tcBorders>
            <w:shd w:val="clear" w:color="auto" w:fill="auto"/>
            <w:noWrap/>
            <w:vAlign w:val="center"/>
            <w:hideMark/>
          </w:tcPr>
          <w:p w14:paraId="6C677260" w14:textId="77777777" w:rsidR="00380423" w:rsidRPr="00380423" w:rsidRDefault="00380423" w:rsidP="009A40BF">
            <w:pPr>
              <w:jc w:val="center"/>
              <w:rPr>
                <w:rFonts w:ascii="Calibri" w:hAnsi="Calibri" w:cs="Calibri"/>
                <w:b/>
                <w:bCs/>
                <w:color w:val="000000"/>
                <w:szCs w:val="20"/>
                <w:lang w:val="en-CA" w:eastAsia="en-CA"/>
              </w:rPr>
            </w:pPr>
            <w:r w:rsidRPr="00380423">
              <w:rPr>
                <w:rFonts w:ascii="Calibri" w:hAnsi="Calibri" w:cs="Calibri"/>
                <w:b/>
                <w:bCs/>
                <w:color w:val="000000"/>
                <w:szCs w:val="20"/>
                <w:lang w:val="en-CA" w:eastAsia="en-CA"/>
              </w:rPr>
              <w:t> </w:t>
            </w:r>
          </w:p>
        </w:tc>
        <w:tc>
          <w:tcPr>
            <w:tcW w:w="1701" w:type="dxa"/>
            <w:tcBorders>
              <w:top w:val="single" w:sz="8" w:space="0" w:color="auto"/>
              <w:left w:val="nil"/>
              <w:bottom w:val="single" w:sz="12" w:space="0" w:color="auto"/>
              <w:right w:val="nil"/>
            </w:tcBorders>
            <w:shd w:val="clear" w:color="auto" w:fill="auto"/>
            <w:vAlign w:val="center"/>
            <w:hideMark/>
          </w:tcPr>
          <w:p w14:paraId="579BC9B4" w14:textId="561BF76B" w:rsidR="00380423" w:rsidRPr="00380423" w:rsidRDefault="00380423" w:rsidP="009A40BF">
            <w:pPr>
              <w:jc w:val="right"/>
              <w:rPr>
                <w:rFonts w:ascii="Calibri" w:hAnsi="Calibri" w:cs="Calibri"/>
                <w:b/>
                <w:bCs/>
                <w:color w:val="000000"/>
                <w:szCs w:val="20"/>
                <w:lang w:val="en-CA" w:eastAsia="en-CA"/>
              </w:rPr>
            </w:pPr>
            <w:r w:rsidRPr="00380423">
              <w:rPr>
                <w:rFonts w:ascii="Calibri" w:hAnsi="Calibri" w:cs="Calibri"/>
                <w:b/>
                <w:bCs/>
                <w:color w:val="000000"/>
                <w:szCs w:val="20"/>
                <w:lang w:val="en-CA" w:eastAsia="en-CA"/>
              </w:rPr>
              <w:t xml:space="preserve"> $  2,112,929 </w:t>
            </w:r>
          </w:p>
        </w:tc>
        <w:tc>
          <w:tcPr>
            <w:tcW w:w="1559" w:type="dxa"/>
            <w:tcBorders>
              <w:top w:val="single" w:sz="8" w:space="0" w:color="auto"/>
              <w:left w:val="nil"/>
              <w:bottom w:val="single" w:sz="12" w:space="0" w:color="auto"/>
              <w:right w:val="nil"/>
            </w:tcBorders>
            <w:shd w:val="clear" w:color="auto" w:fill="auto"/>
            <w:noWrap/>
            <w:vAlign w:val="center"/>
            <w:hideMark/>
          </w:tcPr>
          <w:p w14:paraId="0E95EFE9" w14:textId="649CC2C7" w:rsidR="00380423" w:rsidRPr="00380423" w:rsidRDefault="00380423" w:rsidP="009A40BF">
            <w:pPr>
              <w:jc w:val="right"/>
              <w:rPr>
                <w:rFonts w:ascii="Calibri" w:hAnsi="Calibri" w:cs="Calibri"/>
                <w:color w:val="000000"/>
                <w:szCs w:val="20"/>
                <w:lang w:val="en-CA" w:eastAsia="en-CA"/>
              </w:rPr>
            </w:pPr>
            <w:r w:rsidRPr="00380423">
              <w:rPr>
                <w:rFonts w:ascii="Calibri" w:hAnsi="Calibri" w:cs="Calibri"/>
                <w:color w:val="000000"/>
                <w:szCs w:val="20"/>
                <w:lang w:val="en-CA" w:eastAsia="en-CA"/>
              </w:rPr>
              <w:t xml:space="preserve"> $  2,579,654 </w:t>
            </w:r>
          </w:p>
        </w:tc>
      </w:tr>
    </w:tbl>
    <w:p w14:paraId="528C7958" w14:textId="6B1CF258" w:rsidR="00D97802" w:rsidRDefault="00D97802" w:rsidP="00D97802">
      <w:pPr>
        <w:ind w:firstLine="576"/>
        <w:jc w:val="center"/>
        <w:rPr>
          <w:rFonts w:cstheme="minorHAnsi"/>
          <w:szCs w:val="20"/>
        </w:rPr>
      </w:pPr>
    </w:p>
    <w:p w14:paraId="4C9B7ADD" w14:textId="12012F9E" w:rsidR="00F4119D" w:rsidRPr="00FC2211" w:rsidRDefault="00FC1D9C" w:rsidP="00A047F2">
      <w:pPr>
        <w:ind w:firstLine="576"/>
        <w:rPr>
          <w:rFonts w:cstheme="minorHAnsi"/>
          <w:szCs w:val="20"/>
        </w:rPr>
      </w:pPr>
      <w:r w:rsidRPr="00FC2211">
        <w:rPr>
          <w:rFonts w:cstheme="minorHAnsi"/>
          <w:szCs w:val="20"/>
        </w:rPr>
        <w:t>The accompanying notes are an integral part of these unaudited interim condensed consolidated financial</w:t>
      </w:r>
      <w:r w:rsidR="00A047F2" w:rsidRPr="00FC2211">
        <w:rPr>
          <w:rFonts w:cstheme="minorHAnsi"/>
          <w:szCs w:val="20"/>
        </w:rPr>
        <w:t xml:space="preserve"> </w:t>
      </w:r>
      <w:r w:rsidRPr="00FC2211">
        <w:rPr>
          <w:rFonts w:cstheme="minorHAnsi"/>
          <w:szCs w:val="20"/>
        </w:rPr>
        <w:t>statements.</w:t>
      </w:r>
      <w:r w:rsidR="00A047F2" w:rsidRPr="00FC2211">
        <w:rPr>
          <w:rFonts w:cstheme="minorHAnsi"/>
          <w:szCs w:val="20"/>
        </w:rPr>
        <w:t xml:space="preserve"> </w:t>
      </w:r>
      <w:r w:rsidRPr="00FC2211">
        <w:rPr>
          <w:rFonts w:cstheme="minorHAnsi"/>
        </w:rPr>
        <w:t>Nature and continuance of operations (Note 1)</w:t>
      </w:r>
    </w:p>
    <w:p w14:paraId="41B6CAF0" w14:textId="21E9CC68" w:rsidR="00450227" w:rsidRPr="00FC2211" w:rsidRDefault="00450227" w:rsidP="00450227">
      <w:pPr>
        <w:pStyle w:val="FS1"/>
        <w:ind w:right="1314"/>
        <w:rPr>
          <w:rFonts w:asciiTheme="minorHAnsi" w:hAnsiTheme="minorHAnsi" w:cstheme="minorHAnsi"/>
        </w:rPr>
      </w:pPr>
      <w:r w:rsidRPr="00FC2211">
        <w:rPr>
          <w:rFonts w:asciiTheme="minorHAnsi" w:hAnsiTheme="minorHAnsi" w:cstheme="minorHAnsi"/>
        </w:rPr>
        <w:t xml:space="preserve">Approved on behalf of the Board </w:t>
      </w:r>
      <w:r w:rsidR="00CB482C" w:rsidRPr="00FC2211">
        <w:rPr>
          <w:rFonts w:asciiTheme="minorHAnsi" w:hAnsiTheme="minorHAnsi" w:cstheme="minorHAnsi"/>
        </w:rPr>
        <w:t xml:space="preserve">on </w:t>
      </w:r>
      <w:r w:rsidR="00ED77E1">
        <w:rPr>
          <w:rFonts w:asciiTheme="minorHAnsi" w:hAnsiTheme="minorHAnsi" w:cstheme="minorHAnsi"/>
        </w:rPr>
        <w:t>May XX</w:t>
      </w:r>
      <w:r w:rsidR="00934D0B" w:rsidRPr="00FC2211">
        <w:rPr>
          <w:rFonts w:asciiTheme="minorHAnsi" w:hAnsiTheme="minorHAnsi" w:cstheme="minorHAnsi"/>
        </w:rPr>
        <w:t>, 202</w:t>
      </w:r>
      <w:r w:rsidR="006619C5" w:rsidRPr="00FC2211">
        <w:rPr>
          <w:rFonts w:asciiTheme="minorHAnsi" w:hAnsiTheme="minorHAnsi" w:cstheme="minorHAnsi"/>
        </w:rPr>
        <w:t>4</w:t>
      </w:r>
      <w:r w:rsidRPr="00FC2211">
        <w:rPr>
          <w:rFonts w:asciiTheme="minorHAnsi" w:hAnsiTheme="minorHAnsi" w:cstheme="minorHAnsi"/>
        </w:rPr>
        <w:t>:</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DD4AE0" w:rsidRPr="00FC2211" w14:paraId="4B3D8F20" w14:textId="77777777" w:rsidTr="002C4D1B">
        <w:trPr>
          <w:trHeight w:val="252"/>
        </w:trPr>
        <w:tc>
          <w:tcPr>
            <w:tcW w:w="3969" w:type="dxa"/>
          </w:tcPr>
          <w:p w14:paraId="7A7C7BF9" w14:textId="77777777" w:rsidR="00062F78" w:rsidRPr="00FC2211" w:rsidRDefault="00062F78" w:rsidP="00DD4AE0">
            <w:pPr>
              <w:pStyle w:val="FS1"/>
              <w:ind w:left="0" w:right="1314" w:firstLine="0"/>
              <w:rPr>
                <w:rFonts w:asciiTheme="minorHAnsi" w:hAnsiTheme="minorHAnsi" w:cstheme="minorHAnsi"/>
                <w:i/>
                <w:u w:val="single"/>
              </w:rPr>
            </w:pPr>
          </w:p>
        </w:tc>
        <w:tc>
          <w:tcPr>
            <w:tcW w:w="3968" w:type="dxa"/>
          </w:tcPr>
          <w:p w14:paraId="14ACFB9E" w14:textId="77777777" w:rsidR="00DD4AE0" w:rsidRPr="00FC2211" w:rsidRDefault="00DD4AE0" w:rsidP="00DD4AE0">
            <w:pPr>
              <w:pStyle w:val="FS1"/>
              <w:ind w:left="0" w:right="1314" w:firstLine="0"/>
              <w:rPr>
                <w:rFonts w:asciiTheme="minorHAnsi" w:hAnsiTheme="minorHAnsi" w:cstheme="minorHAnsi"/>
                <w:i/>
                <w:u w:val="single"/>
              </w:rPr>
            </w:pPr>
          </w:p>
        </w:tc>
      </w:tr>
      <w:tr w:rsidR="00DD4AE0" w:rsidRPr="00FC2211" w14:paraId="7C317AE1" w14:textId="77777777" w:rsidTr="002C4D1B">
        <w:trPr>
          <w:trHeight w:hRule="exact" w:val="299"/>
        </w:trPr>
        <w:tc>
          <w:tcPr>
            <w:tcW w:w="3969" w:type="dxa"/>
          </w:tcPr>
          <w:p w14:paraId="13A89758" w14:textId="77777777" w:rsidR="00DD4AE0" w:rsidRPr="00FC2211" w:rsidRDefault="00DD4AE0" w:rsidP="00DD4AE0">
            <w:pPr>
              <w:pStyle w:val="FS1"/>
              <w:ind w:left="0" w:right="1314" w:firstLine="0"/>
              <w:rPr>
                <w:rFonts w:asciiTheme="minorHAnsi" w:hAnsiTheme="minorHAnsi" w:cstheme="minorHAnsi"/>
              </w:rPr>
            </w:pPr>
            <w:r w:rsidRPr="00FC2211">
              <w:rPr>
                <w:rFonts w:asciiTheme="minorHAnsi" w:hAnsiTheme="minorHAnsi" w:cstheme="minorHAnsi"/>
              </w:rPr>
              <w:t>Steve Matyas -</w:t>
            </w:r>
            <w:r w:rsidR="00963FAB" w:rsidRPr="00FC2211">
              <w:rPr>
                <w:rFonts w:asciiTheme="minorHAnsi" w:hAnsiTheme="minorHAnsi" w:cstheme="minorHAnsi"/>
              </w:rPr>
              <w:t xml:space="preserve"> Director</w:t>
            </w:r>
            <w:r w:rsidRPr="00FC2211">
              <w:rPr>
                <w:rFonts w:asciiTheme="minorHAnsi" w:hAnsiTheme="minorHAnsi" w:cstheme="minorHAnsi"/>
              </w:rPr>
              <w:t xml:space="preserve"> </w:t>
            </w:r>
          </w:p>
        </w:tc>
        <w:tc>
          <w:tcPr>
            <w:tcW w:w="3968" w:type="dxa"/>
          </w:tcPr>
          <w:p w14:paraId="45C2C0D8" w14:textId="0A1B9047" w:rsidR="00DD4AE0" w:rsidRPr="00FC2211" w:rsidRDefault="00365833" w:rsidP="00DD4AE0">
            <w:pPr>
              <w:pStyle w:val="FS1"/>
              <w:ind w:left="0" w:right="1314" w:firstLine="0"/>
              <w:rPr>
                <w:rFonts w:asciiTheme="minorHAnsi" w:hAnsiTheme="minorHAnsi" w:cstheme="minorHAnsi"/>
              </w:rPr>
            </w:pPr>
            <w:r w:rsidRPr="00FC2211">
              <w:rPr>
                <w:rFonts w:asciiTheme="minorHAnsi" w:hAnsiTheme="minorHAnsi" w:cstheme="minorHAnsi"/>
              </w:rPr>
              <w:t>Eugene Syho</w:t>
            </w:r>
            <w:r w:rsidR="00DD4AE0" w:rsidRPr="00FC2211">
              <w:rPr>
                <w:rFonts w:asciiTheme="minorHAnsi" w:hAnsiTheme="minorHAnsi" w:cstheme="minorHAnsi"/>
              </w:rPr>
              <w:t xml:space="preserve"> – Director</w:t>
            </w:r>
          </w:p>
          <w:p w14:paraId="5B6CE8F2" w14:textId="77777777" w:rsidR="00DD4AE0" w:rsidRPr="00FC2211" w:rsidRDefault="00DD4AE0" w:rsidP="00DD4AE0">
            <w:pPr>
              <w:pStyle w:val="FS1"/>
              <w:ind w:left="0" w:right="1314" w:firstLine="0"/>
              <w:rPr>
                <w:rFonts w:asciiTheme="minorHAnsi" w:hAnsiTheme="minorHAnsi" w:cstheme="minorHAnsi"/>
              </w:rPr>
            </w:pPr>
          </w:p>
        </w:tc>
      </w:tr>
    </w:tbl>
    <w:p w14:paraId="11440A52" w14:textId="77777777" w:rsidR="000D7EBE" w:rsidRPr="00FC2211" w:rsidRDefault="000D7EBE" w:rsidP="001B1F1C">
      <w:pPr>
        <w:rPr>
          <w:rFonts w:cstheme="minorHAnsi"/>
          <w:szCs w:val="20"/>
        </w:rPr>
        <w:sectPr w:rsidR="000D7EBE" w:rsidRPr="00FC2211" w:rsidSect="00A71F06">
          <w:headerReference w:type="default" r:id="rId20"/>
          <w:footerReference w:type="default" r:id="rId21"/>
          <w:pgSz w:w="11906" w:h="16838" w:code="9"/>
          <w:pgMar w:top="1440" w:right="907" w:bottom="1440" w:left="1440" w:header="720" w:footer="1022" w:gutter="0"/>
          <w:cols w:space="720"/>
          <w:docGrid w:linePitch="360"/>
        </w:sectPr>
      </w:pPr>
    </w:p>
    <w:p w14:paraId="00160F15" w14:textId="6589E162" w:rsidR="00075FA9" w:rsidRPr="00FC2211" w:rsidRDefault="00075FA9" w:rsidP="00075FA9">
      <w:pPr>
        <w:jc w:val="center"/>
        <w:rPr>
          <w:rFonts w:cstheme="minorHAnsi"/>
          <w:szCs w:val="20"/>
        </w:rPr>
      </w:pPr>
    </w:p>
    <w:tbl>
      <w:tblPr>
        <w:tblW w:w="11623" w:type="dxa"/>
        <w:jc w:val="center"/>
        <w:tblLook w:val="04A0" w:firstRow="1" w:lastRow="0" w:firstColumn="1" w:lastColumn="0" w:noHBand="0" w:noVBand="1"/>
      </w:tblPr>
      <w:tblGrid>
        <w:gridCol w:w="4253"/>
        <w:gridCol w:w="1581"/>
        <w:gridCol w:w="1577"/>
        <w:gridCol w:w="1418"/>
        <w:gridCol w:w="1377"/>
        <w:gridCol w:w="1417"/>
      </w:tblGrid>
      <w:tr w:rsidR="00434534" w:rsidRPr="00434534" w14:paraId="3C2CF8A7" w14:textId="77777777" w:rsidTr="00572608">
        <w:trPr>
          <w:trHeight w:val="564"/>
          <w:jc w:val="center"/>
        </w:trPr>
        <w:tc>
          <w:tcPr>
            <w:tcW w:w="4253" w:type="dxa"/>
            <w:tcBorders>
              <w:top w:val="single" w:sz="12" w:space="0" w:color="auto"/>
              <w:left w:val="nil"/>
              <w:bottom w:val="nil"/>
              <w:right w:val="nil"/>
            </w:tcBorders>
            <w:shd w:val="clear" w:color="auto" w:fill="auto"/>
            <w:vAlign w:val="center"/>
            <w:hideMark/>
          </w:tcPr>
          <w:p w14:paraId="263D2C7D" w14:textId="77777777" w:rsidR="00434534" w:rsidRPr="00434534" w:rsidRDefault="00434534" w:rsidP="00434534">
            <w:pPr>
              <w:rPr>
                <w:rFonts w:ascii="Times New Roman" w:hAnsi="Times New Roman"/>
                <w:sz w:val="24"/>
                <w:szCs w:val="20"/>
                <w:lang w:val="en-CA" w:eastAsia="en-CA"/>
              </w:rPr>
            </w:pPr>
          </w:p>
        </w:tc>
        <w:tc>
          <w:tcPr>
            <w:tcW w:w="1581" w:type="dxa"/>
            <w:tcBorders>
              <w:top w:val="single" w:sz="12" w:space="0" w:color="auto"/>
              <w:left w:val="nil"/>
              <w:bottom w:val="nil"/>
              <w:right w:val="nil"/>
            </w:tcBorders>
            <w:shd w:val="clear" w:color="auto" w:fill="auto"/>
            <w:vAlign w:val="center"/>
            <w:hideMark/>
          </w:tcPr>
          <w:p w14:paraId="13E07634" w14:textId="77777777" w:rsidR="00434534" w:rsidRPr="00434534" w:rsidRDefault="00434534" w:rsidP="00434534">
            <w:pPr>
              <w:rPr>
                <w:rFonts w:ascii="Times New Roman" w:hAnsi="Times New Roman"/>
                <w:szCs w:val="20"/>
                <w:lang w:val="en-CA" w:eastAsia="en-CA"/>
              </w:rPr>
            </w:pPr>
          </w:p>
        </w:tc>
        <w:tc>
          <w:tcPr>
            <w:tcW w:w="2995" w:type="dxa"/>
            <w:gridSpan w:val="2"/>
            <w:tcBorders>
              <w:top w:val="single" w:sz="12" w:space="0" w:color="auto"/>
              <w:left w:val="nil"/>
              <w:bottom w:val="single" w:sz="8" w:space="0" w:color="auto"/>
              <w:right w:val="nil"/>
            </w:tcBorders>
            <w:shd w:val="clear" w:color="auto" w:fill="auto"/>
            <w:vAlign w:val="center"/>
            <w:hideMark/>
          </w:tcPr>
          <w:p w14:paraId="2523649C" w14:textId="77777777"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For the three months ended March 31</w:t>
            </w:r>
          </w:p>
        </w:tc>
        <w:tc>
          <w:tcPr>
            <w:tcW w:w="2789" w:type="dxa"/>
            <w:gridSpan w:val="2"/>
            <w:tcBorders>
              <w:top w:val="single" w:sz="12" w:space="0" w:color="auto"/>
              <w:left w:val="nil"/>
              <w:bottom w:val="single" w:sz="8" w:space="0" w:color="auto"/>
              <w:right w:val="nil"/>
            </w:tcBorders>
            <w:shd w:val="clear" w:color="auto" w:fill="auto"/>
            <w:vAlign w:val="center"/>
            <w:hideMark/>
          </w:tcPr>
          <w:p w14:paraId="59D78598" w14:textId="77777777"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For the nine months ended March 31</w:t>
            </w:r>
          </w:p>
        </w:tc>
      </w:tr>
      <w:tr w:rsidR="00434534" w:rsidRPr="00434534" w14:paraId="527C84C2" w14:textId="77777777" w:rsidTr="00572608">
        <w:trPr>
          <w:trHeight w:val="288"/>
          <w:jc w:val="center"/>
        </w:trPr>
        <w:tc>
          <w:tcPr>
            <w:tcW w:w="4253" w:type="dxa"/>
            <w:tcBorders>
              <w:top w:val="nil"/>
              <w:left w:val="nil"/>
              <w:bottom w:val="single" w:sz="8" w:space="0" w:color="auto"/>
              <w:right w:val="nil"/>
            </w:tcBorders>
            <w:shd w:val="clear" w:color="auto" w:fill="auto"/>
            <w:noWrap/>
            <w:vAlign w:val="center"/>
            <w:hideMark/>
          </w:tcPr>
          <w:p w14:paraId="244BEFBE"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 </w:t>
            </w:r>
          </w:p>
        </w:tc>
        <w:tc>
          <w:tcPr>
            <w:tcW w:w="1581" w:type="dxa"/>
            <w:tcBorders>
              <w:top w:val="nil"/>
              <w:left w:val="nil"/>
              <w:bottom w:val="single" w:sz="8" w:space="0" w:color="auto"/>
              <w:right w:val="nil"/>
            </w:tcBorders>
            <w:shd w:val="clear" w:color="auto" w:fill="auto"/>
            <w:noWrap/>
            <w:vAlign w:val="center"/>
            <w:hideMark/>
          </w:tcPr>
          <w:p w14:paraId="10391408" w14:textId="77777777" w:rsidR="00434534" w:rsidRPr="00434534" w:rsidRDefault="00434534" w:rsidP="00434534">
            <w:pPr>
              <w:jc w:val="center"/>
              <w:rPr>
                <w:rFonts w:ascii="Calibri" w:hAnsi="Calibri" w:cs="Calibri"/>
                <w:b/>
                <w:bCs/>
                <w:i/>
                <w:iCs/>
                <w:color w:val="000000"/>
                <w:szCs w:val="20"/>
                <w:lang w:val="en-CA" w:eastAsia="en-CA"/>
              </w:rPr>
            </w:pPr>
            <w:r w:rsidRPr="00434534">
              <w:rPr>
                <w:rFonts w:ascii="Calibri" w:hAnsi="Calibri" w:cs="Calibri"/>
                <w:b/>
                <w:bCs/>
                <w:i/>
                <w:iCs/>
                <w:color w:val="000000"/>
                <w:szCs w:val="20"/>
                <w:lang w:val="en-CA" w:eastAsia="en-CA"/>
              </w:rPr>
              <w:t>Notes</w:t>
            </w:r>
          </w:p>
        </w:tc>
        <w:tc>
          <w:tcPr>
            <w:tcW w:w="1577" w:type="dxa"/>
            <w:tcBorders>
              <w:top w:val="nil"/>
              <w:left w:val="nil"/>
              <w:bottom w:val="single" w:sz="8" w:space="0" w:color="auto"/>
              <w:right w:val="nil"/>
            </w:tcBorders>
            <w:shd w:val="clear" w:color="auto" w:fill="auto"/>
            <w:vAlign w:val="center"/>
            <w:hideMark/>
          </w:tcPr>
          <w:p w14:paraId="78C23FBC" w14:textId="77777777"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2024</w:t>
            </w:r>
          </w:p>
        </w:tc>
        <w:tc>
          <w:tcPr>
            <w:tcW w:w="1418" w:type="dxa"/>
            <w:tcBorders>
              <w:top w:val="nil"/>
              <w:left w:val="nil"/>
              <w:bottom w:val="single" w:sz="8" w:space="0" w:color="auto"/>
              <w:right w:val="nil"/>
            </w:tcBorders>
            <w:shd w:val="clear" w:color="auto" w:fill="auto"/>
            <w:vAlign w:val="center"/>
            <w:hideMark/>
          </w:tcPr>
          <w:p w14:paraId="4F13FE6A" w14:textId="77777777"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2023</w:t>
            </w:r>
          </w:p>
        </w:tc>
        <w:tc>
          <w:tcPr>
            <w:tcW w:w="1377" w:type="dxa"/>
            <w:tcBorders>
              <w:top w:val="nil"/>
              <w:left w:val="nil"/>
              <w:bottom w:val="single" w:sz="8" w:space="0" w:color="auto"/>
              <w:right w:val="nil"/>
            </w:tcBorders>
            <w:shd w:val="clear" w:color="auto" w:fill="auto"/>
            <w:vAlign w:val="center"/>
            <w:hideMark/>
          </w:tcPr>
          <w:p w14:paraId="4D1410BC" w14:textId="77777777"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2024</w:t>
            </w:r>
          </w:p>
        </w:tc>
        <w:tc>
          <w:tcPr>
            <w:tcW w:w="1417" w:type="dxa"/>
            <w:tcBorders>
              <w:top w:val="nil"/>
              <w:left w:val="nil"/>
              <w:bottom w:val="single" w:sz="8" w:space="0" w:color="auto"/>
              <w:right w:val="nil"/>
            </w:tcBorders>
            <w:shd w:val="clear" w:color="auto" w:fill="auto"/>
            <w:vAlign w:val="center"/>
            <w:hideMark/>
          </w:tcPr>
          <w:p w14:paraId="15D2C92D" w14:textId="77777777"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2023</w:t>
            </w:r>
          </w:p>
        </w:tc>
      </w:tr>
      <w:tr w:rsidR="00434534" w:rsidRPr="00434534" w14:paraId="44B4AD69" w14:textId="77777777" w:rsidTr="00572608">
        <w:trPr>
          <w:trHeight w:val="276"/>
          <w:jc w:val="center"/>
        </w:trPr>
        <w:tc>
          <w:tcPr>
            <w:tcW w:w="4253" w:type="dxa"/>
            <w:tcBorders>
              <w:top w:val="nil"/>
              <w:left w:val="nil"/>
              <w:bottom w:val="nil"/>
              <w:right w:val="nil"/>
            </w:tcBorders>
            <w:shd w:val="clear" w:color="auto" w:fill="auto"/>
            <w:noWrap/>
            <w:vAlign w:val="center"/>
            <w:hideMark/>
          </w:tcPr>
          <w:p w14:paraId="0DFDF646"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Sales</w:t>
            </w:r>
          </w:p>
        </w:tc>
        <w:tc>
          <w:tcPr>
            <w:tcW w:w="1581" w:type="dxa"/>
            <w:tcBorders>
              <w:top w:val="nil"/>
              <w:left w:val="nil"/>
              <w:bottom w:val="nil"/>
              <w:right w:val="nil"/>
            </w:tcBorders>
            <w:shd w:val="clear" w:color="auto" w:fill="auto"/>
            <w:noWrap/>
            <w:vAlign w:val="center"/>
            <w:hideMark/>
          </w:tcPr>
          <w:p w14:paraId="62DD8F34"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23</w:t>
            </w:r>
          </w:p>
        </w:tc>
        <w:tc>
          <w:tcPr>
            <w:tcW w:w="1577" w:type="dxa"/>
            <w:tcBorders>
              <w:top w:val="nil"/>
              <w:left w:val="nil"/>
              <w:bottom w:val="nil"/>
              <w:right w:val="nil"/>
            </w:tcBorders>
            <w:shd w:val="clear" w:color="auto" w:fill="auto"/>
            <w:noWrap/>
            <w:vAlign w:val="bottom"/>
            <w:hideMark/>
          </w:tcPr>
          <w:p w14:paraId="68CBAB6F" w14:textId="39AABC5A"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$ 243,341 </w:t>
            </w:r>
          </w:p>
        </w:tc>
        <w:tc>
          <w:tcPr>
            <w:tcW w:w="1418" w:type="dxa"/>
            <w:tcBorders>
              <w:top w:val="nil"/>
              <w:left w:val="nil"/>
              <w:bottom w:val="nil"/>
              <w:right w:val="nil"/>
            </w:tcBorders>
            <w:shd w:val="clear" w:color="auto" w:fill="auto"/>
            <w:noWrap/>
            <w:vAlign w:val="center"/>
            <w:hideMark/>
          </w:tcPr>
          <w:p w14:paraId="687CB097" w14:textId="22F1861A"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$ 398,730 </w:t>
            </w:r>
          </w:p>
        </w:tc>
        <w:tc>
          <w:tcPr>
            <w:tcW w:w="1377" w:type="dxa"/>
            <w:tcBorders>
              <w:top w:val="nil"/>
              <w:left w:val="nil"/>
              <w:bottom w:val="nil"/>
              <w:right w:val="nil"/>
            </w:tcBorders>
            <w:shd w:val="clear" w:color="auto" w:fill="auto"/>
            <w:noWrap/>
            <w:vAlign w:val="center"/>
            <w:hideMark/>
          </w:tcPr>
          <w:p w14:paraId="128F86F2" w14:textId="22BA905B"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$ 1,128,891 </w:t>
            </w:r>
          </w:p>
        </w:tc>
        <w:tc>
          <w:tcPr>
            <w:tcW w:w="1417" w:type="dxa"/>
            <w:tcBorders>
              <w:top w:val="nil"/>
              <w:left w:val="nil"/>
              <w:bottom w:val="nil"/>
              <w:right w:val="nil"/>
            </w:tcBorders>
            <w:shd w:val="clear" w:color="auto" w:fill="auto"/>
            <w:noWrap/>
            <w:vAlign w:val="center"/>
            <w:hideMark/>
          </w:tcPr>
          <w:p w14:paraId="2738AF95" w14:textId="2BC96DA8"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$ 1,201,241 </w:t>
            </w:r>
          </w:p>
        </w:tc>
      </w:tr>
      <w:tr w:rsidR="00434534" w:rsidRPr="00434534" w14:paraId="71553CD1" w14:textId="77777777" w:rsidTr="00572608">
        <w:trPr>
          <w:trHeight w:val="288"/>
          <w:jc w:val="center"/>
        </w:trPr>
        <w:tc>
          <w:tcPr>
            <w:tcW w:w="4253" w:type="dxa"/>
            <w:tcBorders>
              <w:top w:val="nil"/>
              <w:left w:val="nil"/>
              <w:bottom w:val="single" w:sz="8" w:space="0" w:color="auto"/>
              <w:right w:val="nil"/>
            </w:tcBorders>
            <w:shd w:val="clear" w:color="auto" w:fill="auto"/>
            <w:noWrap/>
            <w:vAlign w:val="center"/>
            <w:hideMark/>
          </w:tcPr>
          <w:p w14:paraId="626D7D85"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Cost of Sales</w:t>
            </w:r>
          </w:p>
        </w:tc>
        <w:tc>
          <w:tcPr>
            <w:tcW w:w="1581" w:type="dxa"/>
            <w:tcBorders>
              <w:top w:val="nil"/>
              <w:left w:val="nil"/>
              <w:bottom w:val="single" w:sz="8" w:space="0" w:color="auto"/>
              <w:right w:val="nil"/>
            </w:tcBorders>
            <w:shd w:val="clear" w:color="auto" w:fill="auto"/>
            <w:noWrap/>
            <w:vAlign w:val="center"/>
            <w:hideMark/>
          </w:tcPr>
          <w:p w14:paraId="1D753222"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23</w:t>
            </w:r>
          </w:p>
        </w:tc>
        <w:tc>
          <w:tcPr>
            <w:tcW w:w="1577" w:type="dxa"/>
            <w:tcBorders>
              <w:top w:val="nil"/>
              <w:left w:val="nil"/>
              <w:bottom w:val="nil"/>
              <w:right w:val="nil"/>
            </w:tcBorders>
            <w:shd w:val="clear" w:color="auto" w:fill="auto"/>
            <w:noWrap/>
            <w:vAlign w:val="bottom"/>
            <w:hideMark/>
          </w:tcPr>
          <w:p w14:paraId="3410FB86" w14:textId="77437B14" w:rsidR="00434534" w:rsidRPr="00434534" w:rsidRDefault="00434534" w:rsidP="00AA153A">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(155,523)</w:t>
            </w:r>
          </w:p>
        </w:tc>
        <w:tc>
          <w:tcPr>
            <w:tcW w:w="1418" w:type="dxa"/>
            <w:tcBorders>
              <w:top w:val="nil"/>
              <w:left w:val="nil"/>
              <w:bottom w:val="nil"/>
              <w:right w:val="nil"/>
            </w:tcBorders>
            <w:shd w:val="clear" w:color="auto" w:fill="auto"/>
            <w:noWrap/>
            <w:vAlign w:val="center"/>
            <w:hideMark/>
          </w:tcPr>
          <w:p w14:paraId="0A8E0DDD" w14:textId="153A869A" w:rsidR="00434534" w:rsidRPr="00434534" w:rsidRDefault="00434534" w:rsidP="00AA153A">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(241,614)</w:t>
            </w:r>
          </w:p>
        </w:tc>
        <w:tc>
          <w:tcPr>
            <w:tcW w:w="1377" w:type="dxa"/>
            <w:tcBorders>
              <w:top w:val="nil"/>
              <w:left w:val="nil"/>
              <w:bottom w:val="nil"/>
              <w:right w:val="nil"/>
            </w:tcBorders>
            <w:shd w:val="clear" w:color="auto" w:fill="auto"/>
            <w:noWrap/>
            <w:vAlign w:val="center"/>
            <w:hideMark/>
          </w:tcPr>
          <w:p w14:paraId="06B68405" w14:textId="5EB00B9E" w:rsidR="00434534" w:rsidRPr="00434534" w:rsidRDefault="00434534" w:rsidP="00AA153A">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(708,815)</w:t>
            </w:r>
          </w:p>
        </w:tc>
        <w:tc>
          <w:tcPr>
            <w:tcW w:w="1417" w:type="dxa"/>
            <w:tcBorders>
              <w:top w:val="nil"/>
              <w:left w:val="nil"/>
              <w:bottom w:val="nil"/>
              <w:right w:val="nil"/>
            </w:tcBorders>
            <w:shd w:val="clear" w:color="auto" w:fill="auto"/>
            <w:noWrap/>
            <w:vAlign w:val="center"/>
            <w:hideMark/>
          </w:tcPr>
          <w:p w14:paraId="22F37827" w14:textId="3A55C0F6" w:rsidR="00434534" w:rsidRPr="00434534" w:rsidRDefault="00434534" w:rsidP="004A3946">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(655,269)</w:t>
            </w:r>
          </w:p>
        </w:tc>
      </w:tr>
      <w:tr w:rsidR="00434534" w:rsidRPr="00434534" w14:paraId="4ADED095" w14:textId="77777777" w:rsidTr="00572608">
        <w:trPr>
          <w:trHeight w:val="288"/>
          <w:jc w:val="center"/>
        </w:trPr>
        <w:tc>
          <w:tcPr>
            <w:tcW w:w="4253" w:type="dxa"/>
            <w:tcBorders>
              <w:top w:val="nil"/>
              <w:left w:val="nil"/>
              <w:bottom w:val="single" w:sz="8" w:space="0" w:color="auto"/>
              <w:right w:val="nil"/>
            </w:tcBorders>
            <w:shd w:val="clear" w:color="auto" w:fill="auto"/>
            <w:noWrap/>
            <w:vAlign w:val="center"/>
            <w:hideMark/>
          </w:tcPr>
          <w:p w14:paraId="6E0B1728"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Gross Profit</w:t>
            </w:r>
          </w:p>
        </w:tc>
        <w:tc>
          <w:tcPr>
            <w:tcW w:w="1581" w:type="dxa"/>
            <w:tcBorders>
              <w:top w:val="nil"/>
              <w:left w:val="nil"/>
              <w:bottom w:val="single" w:sz="8" w:space="0" w:color="auto"/>
              <w:right w:val="nil"/>
            </w:tcBorders>
            <w:shd w:val="clear" w:color="auto" w:fill="auto"/>
            <w:noWrap/>
            <w:vAlign w:val="center"/>
            <w:hideMark/>
          </w:tcPr>
          <w:p w14:paraId="3A8455D7"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 </w:t>
            </w:r>
          </w:p>
        </w:tc>
        <w:tc>
          <w:tcPr>
            <w:tcW w:w="1577" w:type="dxa"/>
            <w:tcBorders>
              <w:top w:val="single" w:sz="8" w:space="0" w:color="auto"/>
              <w:left w:val="nil"/>
              <w:bottom w:val="single" w:sz="8" w:space="0" w:color="auto"/>
              <w:right w:val="nil"/>
            </w:tcBorders>
            <w:shd w:val="clear" w:color="auto" w:fill="auto"/>
            <w:noWrap/>
            <w:vAlign w:val="center"/>
            <w:hideMark/>
          </w:tcPr>
          <w:p w14:paraId="01DDD9C6" w14:textId="72D5A194"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87,818 </w:t>
            </w:r>
          </w:p>
        </w:tc>
        <w:tc>
          <w:tcPr>
            <w:tcW w:w="1418" w:type="dxa"/>
            <w:tcBorders>
              <w:top w:val="single" w:sz="8" w:space="0" w:color="auto"/>
              <w:left w:val="nil"/>
              <w:bottom w:val="single" w:sz="8" w:space="0" w:color="auto"/>
              <w:right w:val="nil"/>
            </w:tcBorders>
            <w:shd w:val="clear" w:color="auto" w:fill="auto"/>
            <w:noWrap/>
            <w:vAlign w:val="center"/>
            <w:hideMark/>
          </w:tcPr>
          <w:p w14:paraId="36F82B0A" w14:textId="014A8589"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157,116 </w:t>
            </w:r>
          </w:p>
        </w:tc>
        <w:tc>
          <w:tcPr>
            <w:tcW w:w="1377" w:type="dxa"/>
            <w:tcBorders>
              <w:top w:val="single" w:sz="8" w:space="0" w:color="auto"/>
              <w:left w:val="nil"/>
              <w:bottom w:val="single" w:sz="8" w:space="0" w:color="auto"/>
              <w:right w:val="nil"/>
            </w:tcBorders>
            <w:shd w:val="clear" w:color="auto" w:fill="auto"/>
            <w:noWrap/>
            <w:vAlign w:val="center"/>
            <w:hideMark/>
          </w:tcPr>
          <w:p w14:paraId="6997FB9E" w14:textId="6A40B25F"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420,076 </w:t>
            </w:r>
          </w:p>
        </w:tc>
        <w:tc>
          <w:tcPr>
            <w:tcW w:w="1417" w:type="dxa"/>
            <w:tcBorders>
              <w:top w:val="single" w:sz="8" w:space="0" w:color="auto"/>
              <w:left w:val="nil"/>
              <w:bottom w:val="single" w:sz="8" w:space="0" w:color="auto"/>
              <w:right w:val="nil"/>
            </w:tcBorders>
            <w:shd w:val="clear" w:color="auto" w:fill="auto"/>
            <w:noWrap/>
            <w:vAlign w:val="center"/>
            <w:hideMark/>
          </w:tcPr>
          <w:p w14:paraId="069CDD34" w14:textId="66081239"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545,972 </w:t>
            </w:r>
          </w:p>
        </w:tc>
      </w:tr>
      <w:tr w:rsidR="00434534" w:rsidRPr="00434534" w14:paraId="0B477F9C" w14:textId="77777777" w:rsidTr="00572608">
        <w:trPr>
          <w:trHeight w:val="276"/>
          <w:jc w:val="center"/>
        </w:trPr>
        <w:tc>
          <w:tcPr>
            <w:tcW w:w="4253" w:type="dxa"/>
            <w:tcBorders>
              <w:top w:val="nil"/>
              <w:left w:val="nil"/>
              <w:bottom w:val="nil"/>
              <w:right w:val="nil"/>
            </w:tcBorders>
            <w:shd w:val="clear" w:color="auto" w:fill="auto"/>
            <w:noWrap/>
            <w:vAlign w:val="center"/>
            <w:hideMark/>
          </w:tcPr>
          <w:p w14:paraId="60F4C2E9"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Expenses</w:t>
            </w:r>
          </w:p>
        </w:tc>
        <w:tc>
          <w:tcPr>
            <w:tcW w:w="1581" w:type="dxa"/>
            <w:tcBorders>
              <w:top w:val="nil"/>
              <w:left w:val="nil"/>
              <w:bottom w:val="nil"/>
              <w:right w:val="nil"/>
            </w:tcBorders>
            <w:shd w:val="clear" w:color="auto" w:fill="auto"/>
            <w:noWrap/>
            <w:vAlign w:val="center"/>
            <w:hideMark/>
          </w:tcPr>
          <w:p w14:paraId="28E65C3B" w14:textId="77777777" w:rsidR="00434534" w:rsidRPr="00434534" w:rsidRDefault="00434534" w:rsidP="00434534">
            <w:pPr>
              <w:rPr>
                <w:rFonts w:ascii="Calibri" w:hAnsi="Calibri" w:cs="Calibri"/>
                <w:b/>
                <w:bCs/>
                <w:color w:val="000000"/>
                <w:szCs w:val="20"/>
                <w:lang w:val="en-CA" w:eastAsia="en-CA"/>
              </w:rPr>
            </w:pPr>
          </w:p>
        </w:tc>
        <w:tc>
          <w:tcPr>
            <w:tcW w:w="1577" w:type="dxa"/>
            <w:tcBorders>
              <w:top w:val="nil"/>
              <w:left w:val="nil"/>
              <w:bottom w:val="nil"/>
              <w:right w:val="nil"/>
            </w:tcBorders>
            <w:shd w:val="clear" w:color="auto" w:fill="auto"/>
            <w:noWrap/>
            <w:vAlign w:val="center"/>
            <w:hideMark/>
          </w:tcPr>
          <w:p w14:paraId="286D1961" w14:textId="77777777" w:rsidR="00434534" w:rsidRPr="00434534" w:rsidRDefault="00434534" w:rsidP="00434534">
            <w:pPr>
              <w:jc w:val="right"/>
              <w:rPr>
                <w:rFonts w:ascii="Times New Roman" w:hAnsi="Times New Roman"/>
                <w:szCs w:val="20"/>
                <w:lang w:val="en-CA" w:eastAsia="en-CA"/>
              </w:rPr>
            </w:pPr>
          </w:p>
        </w:tc>
        <w:tc>
          <w:tcPr>
            <w:tcW w:w="1418" w:type="dxa"/>
            <w:tcBorders>
              <w:top w:val="nil"/>
              <w:left w:val="nil"/>
              <w:bottom w:val="nil"/>
              <w:right w:val="nil"/>
            </w:tcBorders>
            <w:shd w:val="clear" w:color="auto" w:fill="auto"/>
            <w:noWrap/>
            <w:vAlign w:val="center"/>
            <w:hideMark/>
          </w:tcPr>
          <w:p w14:paraId="7C735ED3" w14:textId="77777777" w:rsidR="00434534" w:rsidRPr="00434534" w:rsidRDefault="00434534" w:rsidP="00434534">
            <w:pPr>
              <w:jc w:val="right"/>
              <w:rPr>
                <w:rFonts w:ascii="Times New Roman" w:hAnsi="Times New Roman"/>
                <w:szCs w:val="20"/>
                <w:lang w:val="en-CA" w:eastAsia="en-CA"/>
              </w:rPr>
            </w:pPr>
          </w:p>
        </w:tc>
        <w:tc>
          <w:tcPr>
            <w:tcW w:w="1377" w:type="dxa"/>
            <w:tcBorders>
              <w:top w:val="nil"/>
              <w:left w:val="nil"/>
              <w:bottom w:val="nil"/>
              <w:right w:val="nil"/>
            </w:tcBorders>
            <w:shd w:val="clear" w:color="auto" w:fill="auto"/>
            <w:noWrap/>
            <w:vAlign w:val="center"/>
            <w:hideMark/>
          </w:tcPr>
          <w:p w14:paraId="7109B485" w14:textId="77777777" w:rsidR="00434534" w:rsidRPr="00434534" w:rsidRDefault="00434534" w:rsidP="00434534">
            <w:pPr>
              <w:jc w:val="right"/>
              <w:rPr>
                <w:rFonts w:ascii="Times New Roman" w:hAnsi="Times New Roman"/>
                <w:szCs w:val="20"/>
                <w:lang w:val="en-CA" w:eastAsia="en-CA"/>
              </w:rPr>
            </w:pPr>
          </w:p>
        </w:tc>
        <w:tc>
          <w:tcPr>
            <w:tcW w:w="1417" w:type="dxa"/>
            <w:tcBorders>
              <w:top w:val="nil"/>
              <w:left w:val="nil"/>
              <w:bottom w:val="nil"/>
              <w:right w:val="nil"/>
            </w:tcBorders>
            <w:shd w:val="clear" w:color="auto" w:fill="auto"/>
            <w:noWrap/>
            <w:vAlign w:val="center"/>
            <w:hideMark/>
          </w:tcPr>
          <w:p w14:paraId="1C5F3380" w14:textId="77777777" w:rsidR="00434534" w:rsidRPr="00434534" w:rsidRDefault="00434534" w:rsidP="00434534">
            <w:pPr>
              <w:jc w:val="right"/>
              <w:rPr>
                <w:rFonts w:ascii="Times New Roman" w:hAnsi="Times New Roman"/>
                <w:szCs w:val="20"/>
                <w:lang w:val="en-CA" w:eastAsia="en-CA"/>
              </w:rPr>
            </w:pPr>
          </w:p>
        </w:tc>
      </w:tr>
      <w:tr w:rsidR="00434534" w:rsidRPr="00434534" w14:paraId="51F83887" w14:textId="77777777" w:rsidTr="00572608">
        <w:trPr>
          <w:trHeight w:val="276"/>
          <w:jc w:val="center"/>
        </w:trPr>
        <w:tc>
          <w:tcPr>
            <w:tcW w:w="4253" w:type="dxa"/>
            <w:tcBorders>
              <w:top w:val="nil"/>
              <w:left w:val="nil"/>
              <w:bottom w:val="nil"/>
              <w:right w:val="nil"/>
            </w:tcBorders>
            <w:shd w:val="clear" w:color="auto" w:fill="auto"/>
            <w:noWrap/>
            <w:vAlign w:val="center"/>
            <w:hideMark/>
          </w:tcPr>
          <w:p w14:paraId="50F7296F" w14:textId="77777777" w:rsidR="00434534" w:rsidRPr="00434534" w:rsidRDefault="00434534" w:rsidP="00434534">
            <w:pPr>
              <w:rPr>
                <w:rFonts w:ascii="Calibri" w:hAnsi="Calibri" w:cs="Calibri"/>
                <w:color w:val="000000"/>
                <w:szCs w:val="20"/>
                <w:lang w:val="en-CA" w:eastAsia="en-CA"/>
              </w:rPr>
            </w:pPr>
            <w:r w:rsidRPr="00434534">
              <w:rPr>
                <w:rFonts w:ascii="Calibri" w:hAnsi="Calibri" w:cs="Calibri"/>
                <w:color w:val="000000"/>
                <w:szCs w:val="20"/>
                <w:lang w:val="en-CA" w:eastAsia="en-CA"/>
              </w:rPr>
              <w:t>General and administrative</w:t>
            </w:r>
          </w:p>
        </w:tc>
        <w:tc>
          <w:tcPr>
            <w:tcW w:w="1581" w:type="dxa"/>
            <w:tcBorders>
              <w:top w:val="nil"/>
              <w:left w:val="nil"/>
              <w:bottom w:val="nil"/>
              <w:right w:val="nil"/>
            </w:tcBorders>
            <w:shd w:val="clear" w:color="auto" w:fill="auto"/>
            <w:noWrap/>
            <w:vAlign w:val="center"/>
            <w:hideMark/>
          </w:tcPr>
          <w:p w14:paraId="34FD7625"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17</w:t>
            </w:r>
          </w:p>
        </w:tc>
        <w:tc>
          <w:tcPr>
            <w:tcW w:w="1577" w:type="dxa"/>
            <w:tcBorders>
              <w:top w:val="nil"/>
              <w:left w:val="nil"/>
              <w:bottom w:val="nil"/>
              <w:right w:val="nil"/>
            </w:tcBorders>
            <w:shd w:val="clear" w:color="auto" w:fill="auto"/>
            <w:noWrap/>
            <w:vAlign w:val="bottom"/>
            <w:hideMark/>
          </w:tcPr>
          <w:p w14:paraId="7AAA35B7" w14:textId="56CD0E32"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436,757 </w:t>
            </w:r>
          </w:p>
        </w:tc>
        <w:tc>
          <w:tcPr>
            <w:tcW w:w="1418" w:type="dxa"/>
            <w:tcBorders>
              <w:top w:val="nil"/>
              <w:left w:val="nil"/>
              <w:bottom w:val="nil"/>
              <w:right w:val="nil"/>
            </w:tcBorders>
            <w:shd w:val="clear" w:color="auto" w:fill="auto"/>
            <w:noWrap/>
            <w:vAlign w:val="center"/>
            <w:hideMark/>
          </w:tcPr>
          <w:p w14:paraId="6EDBAA3C" w14:textId="17AD0E9B"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318,668 </w:t>
            </w:r>
          </w:p>
        </w:tc>
        <w:tc>
          <w:tcPr>
            <w:tcW w:w="1377" w:type="dxa"/>
            <w:tcBorders>
              <w:top w:val="nil"/>
              <w:left w:val="nil"/>
              <w:bottom w:val="nil"/>
              <w:right w:val="nil"/>
            </w:tcBorders>
            <w:shd w:val="clear" w:color="auto" w:fill="auto"/>
            <w:noWrap/>
            <w:vAlign w:val="center"/>
            <w:hideMark/>
          </w:tcPr>
          <w:p w14:paraId="7C1EAA44" w14:textId="4F07D302"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1,296,686 </w:t>
            </w:r>
          </w:p>
        </w:tc>
        <w:tc>
          <w:tcPr>
            <w:tcW w:w="1417" w:type="dxa"/>
            <w:tcBorders>
              <w:top w:val="nil"/>
              <w:left w:val="nil"/>
              <w:bottom w:val="nil"/>
              <w:right w:val="nil"/>
            </w:tcBorders>
            <w:shd w:val="clear" w:color="auto" w:fill="auto"/>
            <w:noWrap/>
            <w:vAlign w:val="center"/>
            <w:hideMark/>
          </w:tcPr>
          <w:p w14:paraId="3F76F740" w14:textId="3AA84FBE"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1,149,241 </w:t>
            </w:r>
          </w:p>
        </w:tc>
      </w:tr>
      <w:tr w:rsidR="00434534" w:rsidRPr="00434534" w14:paraId="0F910588" w14:textId="77777777" w:rsidTr="00572608">
        <w:trPr>
          <w:trHeight w:val="276"/>
          <w:jc w:val="center"/>
        </w:trPr>
        <w:tc>
          <w:tcPr>
            <w:tcW w:w="4253" w:type="dxa"/>
            <w:tcBorders>
              <w:top w:val="nil"/>
              <w:left w:val="nil"/>
              <w:bottom w:val="nil"/>
              <w:right w:val="nil"/>
            </w:tcBorders>
            <w:shd w:val="clear" w:color="auto" w:fill="auto"/>
            <w:noWrap/>
            <w:vAlign w:val="center"/>
            <w:hideMark/>
          </w:tcPr>
          <w:p w14:paraId="3A9D6A8F" w14:textId="77777777" w:rsidR="00434534" w:rsidRPr="00434534" w:rsidRDefault="00434534" w:rsidP="00434534">
            <w:pPr>
              <w:rPr>
                <w:rFonts w:ascii="Calibri" w:hAnsi="Calibri" w:cs="Calibri"/>
                <w:color w:val="000000"/>
                <w:szCs w:val="20"/>
                <w:lang w:val="en-CA" w:eastAsia="en-CA"/>
              </w:rPr>
            </w:pPr>
            <w:r w:rsidRPr="00434534">
              <w:rPr>
                <w:rFonts w:ascii="Calibri" w:hAnsi="Calibri" w:cs="Calibri"/>
                <w:color w:val="000000"/>
                <w:szCs w:val="20"/>
                <w:lang w:val="en-CA" w:eastAsia="en-CA"/>
              </w:rPr>
              <w:t>Selling</w:t>
            </w:r>
          </w:p>
        </w:tc>
        <w:tc>
          <w:tcPr>
            <w:tcW w:w="1581" w:type="dxa"/>
            <w:tcBorders>
              <w:top w:val="nil"/>
              <w:left w:val="nil"/>
              <w:bottom w:val="nil"/>
              <w:right w:val="nil"/>
            </w:tcBorders>
            <w:shd w:val="clear" w:color="auto" w:fill="auto"/>
            <w:noWrap/>
            <w:vAlign w:val="bottom"/>
            <w:hideMark/>
          </w:tcPr>
          <w:p w14:paraId="440DCFC8" w14:textId="77777777" w:rsidR="00434534" w:rsidRPr="00434534" w:rsidRDefault="00434534" w:rsidP="00434534">
            <w:pPr>
              <w:rPr>
                <w:rFonts w:ascii="Calibri" w:hAnsi="Calibri" w:cs="Calibri"/>
                <w:color w:val="000000"/>
                <w:szCs w:val="20"/>
                <w:lang w:val="en-CA" w:eastAsia="en-CA"/>
              </w:rPr>
            </w:pPr>
          </w:p>
        </w:tc>
        <w:tc>
          <w:tcPr>
            <w:tcW w:w="1577" w:type="dxa"/>
            <w:tcBorders>
              <w:top w:val="nil"/>
              <w:left w:val="nil"/>
              <w:bottom w:val="nil"/>
              <w:right w:val="nil"/>
            </w:tcBorders>
            <w:shd w:val="clear" w:color="auto" w:fill="auto"/>
            <w:noWrap/>
            <w:vAlign w:val="bottom"/>
            <w:hideMark/>
          </w:tcPr>
          <w:p w14:paraId="60E911B5" w14:textId="08A49997"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165,813 </w:t>
            </w:r>
          </w:p>
        </w:tc>
        <w:tc>
          <w:tcPr>
            <w:tcW w:w="1418" w:type="dxa"/>
            <w:tcBorders>
              <w:top w:val="nil"/>
              <w:left w:val="nil"/>
              <w:bottom w:val="nil"/>
              <w:right w:val="nil"/>
            </w:tcBorders>
            <w:shd w:val="clear" w:color="auto" w:fill="auto"/>
            <w:noWrap/>
            <w:vAlign w:val="center"/>
            <w:hideMark/>
          </w:tcPr>
          <w:p w14:paraId="685935BA" w14:textId="65160954"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294,060 </w:t>
            </w:r>
          </w:p>
        </w:tc>
        <w:tc>
          <w:tcPr>
            <w:tcW w:w="1377" w:type="dxa"/>
            <w:tcBorders>
              <w:top w:val="nil"/>
              <w:left w:val="nil"/>
              <w:bottom w:val="nil"/>
              <w:right w:val="nil"/>
            </w:tcBorders>
            <w:shd w:val="clear" w:color="auto" w:fill="auto"/>
            <w:noWrap/>
            <w:vAlign w:val="center"/>
            <w:hideMark/>
          </w:tcPr>
          <w:p w14:paraId="416F0CC4" w14:textId="7A36CE29"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529,537 </w:t>
            </w:r>
          </w:p>
        </w:tc>
        <w:tc>
          <w:tcPr>
            <w:tcW w:w="1417" w:type="dxa"/>
            <w:tcBorders>
              <w:top w:val="nil"/>
              <w:left w:val="nil"/>
              <w:bottom w:val="nil"/>
              <w:right w:val="nil"/>
            </w:tcBorders>
            <w:shd w:val="clear" w:color="auto" w:fill="auto"/>
            <w:noWrap/>
            <w:vAlign w:val="center"/>
            <w:hideMark/>
          </w:tcPr>
          <w:p w14:paraId="5C49A021" w14:textId="1C7B20DC"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1,013,390 </w:t>
            </w:r>
          </w:p>
        </w:tc>
      </w:tr>
      <w:tr w:rsidR="00434534" w:rsidRPr="00434534" w14:paraId="499AA26C" w14:textId="77777777" w:rsidTr="00572608">
        <w:trPr>
          <w:trHeight w:val="288"/>
          <w:jc w:val="center"/>
        </w:trPr>
        <w:tc>
          <w:tcPr>
            <w:tcW w:w="4253" w:type="dxa"/>
            <w:tcBorders>
              <w:top w:val="nil"/>
              <w:left w:val="nil"/>
              <w:bottom w:val="nil"/>
              <w:right w:val="nil"/>
            </w:tcBorders>
            <w:shd w:val="clear" w:color="auto" w:fill="auto"/>
            <w:noWrap/>
            <w:vAlign w:val="center"/>
            <w:hideMark/>
          </w:tcPr>
          <w:p w14:paraId="498DE954" w14:textId="77777777" w:rsidR="00434534" w:rsidRPr="00434534" w:rsidRDefault="00434534" w:rsidP="00434534">
            <w:pPr>
              <w:rPr>
                <w:rFonts w:ascii="Calibri" w:hAnsi="Calibri" w:cs="Calibri"/>
                <w:color w:val="000000"/>
                <w:szCs w:val="20"/>
                <w:lang w:val="en-CA" w:eastAsia="en-CA"/>
              </w:rPr>
            </w:pPr>
            <w:r w:rsidRPr="00434534">
              <w:rPr>
                <w:rFonts w:ascii="Calibri" w:hAnsi="Calibri" w:cs="Calibri"/>
                <w:color w:val="000000"/>
                <w:szCs w:val="20"/>
                <w:lang w:val="en-CA" w:eastAsia="en-CA"/>
              </w:rPr>
              <w:t>Research and development</w:t>
            </w:r>
          </w:p>
        </w:tc>
        <w:tc>
          <w:tcPr>
            <w:tcW w:w="1581" w:type="dxa"/>
            <w:tcBorders>
              <w:top w:val="nil"/>
              <w:left w:val="nil"/>
              <w:bottom w:val="nil"/>
              <w:right w:val="nil"/>
            </w:tcBorders>
            <w:shd w:val="clear" w:color="auto" w:fill="auto"/>
            <w:noWrap/>
            <w:vAlign w:val="bottom"/>
            <w:hideMark/>
          </w:tcPr>
          <w:p w14:paraId="643D1AD3" w14:textId="77777777" w:rsidR="00434534" w:rsidRPr="00434534" w:rsidRDefault="00434534" w:rsidP="00434534">
            <w:pPr>
              <w:rPr>
                <w:rFonts w:ascii="Calibri" w:hAnsi="Calibri" w:cs="Calibri"/>
                <w:color w:val="000000"/>
                <w:szCs w:val="20"/>
                <w:lang w:val="en-CA" w:eastAsia="en-CA"/>
              </w:rPr>
            </w:pPr>
          </w:p>
        </w:tc>
        <w:tc>
          <w:tcPr>
            <w:tcW w:w="1577" w:type="dxa"/>
            <w:tcBorders>
              <w:top w:val="nil"/>
              <w:left w:val="nil"/>
              <w:bottom w:val="nil"/>
              <w:right w:val="nil"/>
            </w:tcBorders>
            <w:shd w:val="clear" w:color="auto" w:fill="auto"/>
            <w:noWrap/>
            <w:vAlign w:val="bottom"/>
            <w:hideMark/>
          </w:tcPr>
          <w:p w14:paraId="173AEC4B" w14:textId="2DA4DBD8"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195,995 </w:t>
            </w:r>
          </w:p>
        </w:tc>
        <w:tc>
          <w:tcPr>
            <w:tcW w:w="1418" w:type="dxa"/>
            <w:tcBorders>
              <w:top w:val="nil"/>
              <w:left w:val="nil"/>
              <w:bottom w:val="nil"/>
              <w:right w:val="nil"/>
            </w:tcBorders>
            <w:shd w:val="clear" w:color="auto" w:fill="auto"/>
            <w:noWrap/>
            <w:vAlign w:val="center"/>
            <w:hideMark/>
          </w:tcPr>
          <w:p w14:paraId="4A87B257" w14:textId="1970BE20"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202,923 </w:t>
            </w:r>
          </w:p>
        </w:tc>
        <w:tc>
          <w:tcPr>
            <w:tcW w:w="1377" w:type="dxa"/>
            <w:tcBorders>
              <w:top w:val="nil"/>
              <w:left w:val="nil"/>
              <w:bottom w:val="nil"/>
              <w:right w:val="nil"/>
            </w:tcBorders>
            <w:shd w:val="clear" w:color="auto" w:fill="auto"/>
            <w:noWrap/>
            <w:vAlign w:val="center"/>
            <w:hideMark/>
          </w:tcPr>
          <w:p w14:paraId="52D19D2E" w14:textId="23900451"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573,453 </w:t>
            </w:r>
          </w:p>
        </w:tc>
        <w:tc>
          <w:tcPr>
            <w:tcW w:w="1417" w:type="dxa"/>
            <w:tcBorders>
              <w:top w:val="nil"/>
              <w:left w:val="nil"/>
              <w:bottom w:val="nil"/>
              <w:right w:val="nil"/>
            </w:tcBorders>
            <w:shd w:val="clear" w:color="auto" w:fill="auto"/>
            <w:noWrap/>
            <w:vAlign w:val="center"/>
            <w:hideMark/>
          </w:tcPr>
          <w:p w14:paraId="4E87C4ED" w14:textId="38B896BA"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587,609 </w:t>
            </w:r>
          </w:p>
        </w:tc>
      </w:tr>
      <w:tr w:rsidR="00434534" w:rsidRPr="00434534" w14:paraId="001FD12E" w14:textId="77777777" w:rsidTr="00572608">
        <w:trPr>
          <w:trHeight w:val="276"/>
          <w:jc w:val="center"/>
        </w:trPr>
        <w:tc>
          <w:tcPr>
            <w:tcW w:w="4253" w:type="dxa"/>
            <w:tcBorders>
              <w:top w:val="single" w:sz="8" w:space="0" w:color="auto"/>
              <w:left w:val="nil"/>
              <w:bottom w:val="nil"/>
              <w:right w:val="nil"/>
            </w:tcBorders>
            <w:shd w:val="clear" w:color="auto" w:fill="auto"/>
            <w:noWrap/>
            <w:vAlign w:val="center"/>
            <w:hideMark/>
          </w:tcPr>
          <w:p w14:paraId="4C55D968"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 </w:t>
            </w:r>
          </w:p>
        </w:tc>
        <w:tc>
          <w:tcPr>
            <w:tcW w:w="1581" w:type="dxa"/>
            <w:tcBorders>
              <w:top w:val="single" w:sz="8" w:space="0" w:color="auto"/>
              <w:left w:val="nil"/>
              <w:bottom w:val="nil"/>
              <w:right w:val="nil"/>
            </w:tcBorders>
            <w:shd w:val="clear" w:color="auto" w:fill="auto"/>
            <w:noWrap/>
            <w:vAlign w:val="center"/>
            <w:hideMark/>
          </w:tcPr>
          <w:p w14:paraId="14825243"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 </w:t>
            </w:r>
          </w:p>
        </w:tc>
        <w:tc>
          <w:tcPr>
            <w:tcW w:w="1577" w:type="dxa"/>
            <w:tcBorders>
              <w:top w:val="single" w:sz="8" w:space="0" w:color="auto"/>
              <w:left w:val="nil"/>
              <w:bottom w:val="nil"/>
              <w:right w:val="nil"/>
            </w:tcBorders>
            <w:shd w:val="clear" w:color="auto" w:fill="auto"/>
            <w:noWrap/>
            <w:vAlign w:val="center"/>
            <w:hideMark/>
          </w:tcPr>
          <w:p w14:paraId="669A81E5" w14:textId="2892CAD5"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798,565 </w:t>
            </w:r>
          </w:p>
        </w:tc>
        <w:tc>
          <w:tcPr>
            <w:tcW w:w="1418" w:type="dxa"/>
            <w:tcBorders>
              <w:top w:val="single" w:sz="8" w:space="0" w:color="auto"/>
              <w:left w:val="nil"/>
              <w:bottom w:val="nil"/>
              <w:right w:val="nil"/>
            </w:tcBorders>
            <w:shd w:val="clear" w:color="auto" w:fill="auto"/>
            <w:noWrap/>
            <w:vAlign w:val="center"/>
            <w:hideMark/>
          </w:tcPr>
          <w:p w14:paraId="507618D0" w14:textId="6608A917"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815,651 </w:t>
            </w:r>
          </w:p>
        </w:tc>
        <w:tc>
          <w:tcPr>
            <w:tcW w:w="1377" w:type="dxa"/>
            <w:tcBorders>
              <w:top w:val="single" w:sz="8" w:space="0" w:color="auto"/>
              <w:left w:val="nil"/>
              <w:bottom w:val="nil"/>
              <w:right w:val="nil"/>
            </w:tcBorders>
            <w:shd w:val="clear" w:color="auto" w:fill="auto"/>
            <w:noWrap/>
            <w:vAlign w:val="center"/>
            <w:hideMark/>
          </w:tcPr>
          <w:p w14:paraId="5DA2CF9C" w14:textId="44525B29"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2,399,676 </w:t>
            </w:r>
          </w:p>
        </w:tc>
        <w:tc>
          <w:tcPr>
            <w:tcW w:w="1417" w:type="dxa"/>
            <w:tcBorders>
              <w:top w:val="single" w:sz="8" w:space="0" w:color="auto"/>
              <w:left w:val="nil"/>
              <w:bottom w:val="nil"/>
              <w:right w:val="nil"/>
            </w:tcBorders>
            <w:shd w:val="clear" w:color="auto" w:fill="auto"/>
            <w:noWrap/>
            <w:vAlign w:val="center"/>
            <w:hideMark/>
          </w:tcPr>
          <w:p w14:paraId="4A036AAA" w14:textId="647A0903" w:rsidR="00434534" w:rsidRPr="00434534" w:rsidRDefault="00434534" w:rsidP="00434534">
            <w:pPr>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2,750,240 </w:t>
            </w:r>
          </w:p>
        </w:tc>
      </w:tr>
      <w:tr w:rsidR="00434534" w:rsidRPr="00434534" w14:paraId="28FB9658" w14:textId="77777777" w:rsidTr="00097D01">
        <w:trPr>
          <w:trHeight w:val="277"/>
          <w:jc w:val="center"/>
        </w:trPr>
        <w:tc>
          <w:tcPr>
            <w:tcW w:w="4253" w:type="dxa"/>
            <w:tcBorders>
              <w:top w:val="nil"/>
              <w:left w:val="nil"/>
              <w:bottom w:val="single" w:sz="8" w:space="0" w:color="auto"/>
              <w:right w:val="nil"/>
            </w:tcBorders>
            <w:shd w:val="clear" w:color="auto" w:fill="auto"/>
            <w:noWrap/>
            <w:vAlign w:val="center"/>
            <w:hideMark/>
          </w:tcPr>
          <w:p w14:paraId="5FA887E2" w14:textId="0ED5904E"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Net </w:t>
            </w:r>
            <w:r w:rsidR="00121EDF">
              <w:rPr>
                <w:rFonts w:ascii="Calibri" w:hAnsi="Calibri" w:cs="Calibri"/>
                <w:b/>
                <w:bCs/>
                <w:color w:val="000000"/>
                <w:szCs w:val="20"/>
                <w:lang w:val="en-CA" w:eastAsia="en-CA"/>
              </w:rPr>
              <w:t>loss</w:t>
            </w:r>
            <w:r w:rsidRPr="00434534">
              <w:rPr>
                <w:rFonts w:ascii="Calibri" w:hAnsi="Calibri" w:cs="Calibri"/>
                <w:b/>
                <w:bCs/>
                <w:color w:val="000000"/>
                <w:szCs w:val="20"/>
                <w:lang w:val="en-CA" w:eastAsia="en-CA"/>
              </w:rPr>
              <w:t xml:space="preserve"> before other income (expenses)</w:t>
            </w:r>
          </w:p>
        </w:tc>
        <w:tc>
          <w:tcPr>
            <w:tcW w:w="1581" w:type="dxa"/>
            <w:tcBorders>
              <w:top w:val="nil"/>
              <w:left w:val="nil"/>
              <w:bottom w:val="single" w:sz="8" w:space="0" w:color="auto"/>
              <w:right w:val="nil"/>
            </w:tcBorders>
            <w:shd w:val="clear" w:color="auto" w:fill="auto"/>
            <w:noWrap/>
            <w:vAlign w:val="center"/>
            <w:hideMark/>
          </w:tcPr>
          <w:p w14:paraId="5F71CF74"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 </w:t>
            </w:r>
          </w:p>
        </w:tc>
        <w:tc>
          <w:tcPr>
            <w:tcW w:w="1577" w:type="dxa"/>
            <w:tcBorders>
              <w:top w:val="nil"/>
              <w:left w:val="nil"/>
              <w:bottom w:val="single" w:sz="8" w:space="0" w:color="auto"/>
              <w:right w:val="nil"/>
            </w:tcBorders>
            <w:shd w:val="clear" w:color="auto" w:fill="auto"/>
            <w:noWrap/>
            <w:vAlign w:val="center"/>
            <w:hideMark/>
          </w:tcPr>
          <w:p w14:paraId="2C308203" w14:textId="227C0D4B" w:rsidR="00434534" w:rsidRPr="00434534" w:rsidRDefault="00434534" w:rsidP="004A3946">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(710,747)</w:t>
            </w:r>
          </w:p>
        </w:tc>
        <w:tc>
          <w:tcPr>
            <w:tcW w:w="1418" w:type="dxa"/>
            <w:tcBorders>
              <w:top w:val="nil"/>
              <w:left w:val="nil"/>
              <w:bottom w:val="single" w:sz="8" w:space="0" w:color="auto"/>
              <w:right w:val="nil"/>
            </w:tcBorders>
            <w:shd w:val="clear" w:color="auto" w:fill="auto"/>
            <w:noWrap/>
            <w:vAlign w:val="center"/>
            <w:hideMark/>
          </w:tcPr>
          <w:p w14:paraId="5BF88401" w14:textId="754BB829" w:rsidR="00434534" w:rsidRPr="00434534" w:rsidRDefault="00434534" w:rsidP="004A3946">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(658,535)</w:t>
            </w:r>
          </w:p>
        </w:tc>
        <w:tc>
          <w:tcPr>
            <w:tcW w:w="1377" w:type="dxa"/>
            <w:tcBorders>
              <w:top w:val="nil"/>
              <w:left w:val="nil"/>
              <w:bottom w:val="single" w:sz="8" w:space="0" w:color="auto"/>
              <w:right w:val="nil"/>
            </w:tcBorders>
            <w:shd w:val="clear" w:color="auto" w:fill="auto"/>
            <w:noWrap/>
            <w:vAlign w:val="center"/>
            <w:hideMark/>
          </w:tcPr>
          <w:p w14:paraId="67ED0F2D" w14:textId="26801454" w:rsidR="00434534" w:rsidRPr="00434534" w:rsidRDefault="00434534" w:rsidP="004A3946">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(1,979,600)</w:t>
            </w:r>
          </w:p>
        </w:tc>
        <w:tc>
          <w:tcPr>
            <w:tcW w:w="1417" w:type="dxa"/>
            <w:tcBorders>
              <w:top w:val="nil"/>
              <w:left w:val="nil"/>
              <w:bottom w:val="single" w:sz="8" w:space="0" w:color="auto"/>
              <w:right w:val="nil"/>
            </w:tcBorders>
            <w:shd w:val="clear" w:color="auto" w:fill="auto"/>
            <w:noWrap/>
            <w:vAlign w:val="center"/>
            <w:hideMark/>
          </w:tcPr>
          <w:p w14:paraId="0C6C1202" w14:textId="47A0EC11" w:rsidR="00434534" w:rsidRPr="00434534" w:rsidRDefault="00434534" w:rsidP="004A3946">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(2,204,268)</w:t>
            </w:r>
          </w:p>
        </w:tc>
      </w:tr>
      <w:tr w:rsidR="00434534" w:rsidRPr="00434534" w14:paraId="4423FD4A" w14:textId="77777777" w:rsidTr="00572608">
        <w:trPr>
          <w:trHeight w:val="108"/>
          <w:jc w:val="center"/>
        </w:trPr>
        <w:tc>
          <w:tcPr>
            <w:tcW w:w="4253" w:type="dxa"/>
            <w:tcBorders>
              <w:top w:val="nil"/>
              <w:left w:val="nil"/>
              <w:bottom w:val="nil"/>
              <w:right w:val="nil"/>
            </w:tcBorders>
            <w:shd w:val="clear" w:color="auto" w:fill="auto"/>
            <w:noWrap/>
            <w:vAlign w:val="center"/>
            <w:hideMark/>
          </w:tcPr>
          <w:p w14:paraId="56C3699C" w14:textId="77777777" w:rsidR="00434534" w:rsidRPr="00434534" w:rsidRDefault="00434534" w:rsidP="00434534">
            <w:pPr>
              <w:jc w:val="right"/>
              <w:rPr>
                <w:rFonts w:ascii="Calibri" w:hAnsi="Calibri" w:cs="Calibri"/>
                <w:color w:val="000000"/>
                <w:szCs w:val="20"/>
                <w:lang w:val="en-CA" w:eastAsia="en-CA"/>
              </w:rPr>
            </w:pPr>
          </w:p>
        </w:tc>
        <w:tc>
          <w:tcPr>
            <w:tcW w:w="1581" w:type="dxa"/>
            <w:tcBorders>
              <w:top w:val="nil"/>
              <w:left w:val="nil"/>
              <w:bottom w:val="nil"/>
              <w:right w:val="nil"/>
            </w:tcBorders>
            <w:shd w:val="clear" w:color="auto" w:fill="auto"/>
            <w:noWrap/>
            <w:vAlign w:val="center"/>
            <w:hideMark/>
          </w:tcPr>
          <w:p w14:paraId="21B775FE" w14:textId="77777777" w:rsidR="00434534" w:rsidRPr="00434534" w:rsidRDefault="00434534" w:rsidP="00434534">
            <w:pPr>
              <w:rPr>
                <w:rFonts w:ascii="Times New Roman" w:hAnsi="Times New Roman"/>
                <w:szCs w:val="20"/>
                <w:lang w:val="en-CA" w:eastAsia="en-CA"/>
              </w:rPr>
            </w:pPr>
          </w:p>
        </w:tc>
        <w:tc>
          <w:tcPr>
            <w:tcW w:w="1577" w:type="dxa"/>
            <w:tcBorders>
              <w:top w:val="nil"/>
              <w:left w:val="nil"/>
              <w:bottom w:val="nil"/>
              <w:right w:val="nil"/>
            </w:tcBorders>
            <w:shd w:val="clear" w:color="auto" w:fill="auto"/>
            <w:noWrap/>
            <w:vAlign w:val="center"/>
            <w:hideMark/>
          </w:tcPr>
          <w:p w14:paraId="16364F78" w14:textId="77777777" w:rsidR="00434534" w:rsidRPr="00434534" w:rsidRDefault="00434534" w:rsidP="00434534">
            <w:pPr>
              <w:jc w:val="right"/>
              <w:rPr>
                <w:rFonts w:ascii="Times New Roman" w:hAnsi="Times New Roman"/>
                <w:szCs w:val="20"/>
                <w:lang w:val="en-CA" w:eastAsia="en-CA"/>
              </w:rPr>
            </w:pPr>
          </w:p>
        </w:tc>
        <w:tc>
          <w:tcPr>
            <w:tcW w:w="1418" w:type="dxa"/>
            <w:tcBorders>
              <w:top w:val="nil"/>
              <w:left w:val="nil"/>
              <w:bottom w:val="nil"/>
              <w:right w:val="nil"/>
            </w:tcBorders>
            <w:shd w:val="clear" w:color="auto" w:fill="auto"/>
            <w:noWrap/>
            <w:vAlign w:val="center"/>
            <w:hideMark/>
          </w:tcPr>
          <w:p w14:paraId="3C9358EE" w14:textId="77777777" w:rsidR="00434534" w:rsidRPr="00434534" w:rsidRDefault="00434534" w:rsidP="00434534">
            <w:pPr>
              <w:jc w:val="right"/>
              <w:rPr>
                <w:rFonts w:ascii="Times New Roman" w:hAnsi="Times New Roman"/>
                <w:szCs w:val="20"/>
                <w:lang w:val="en-CA" w:eastAsia="en-CA"/>
              </w:rPr>
            </w:pPr>
          </w:p>
        </w:tc>
        <w:tc>
          <w:tcPr>
            <w:tcW w:w="1377" w:type="dxa"/>
            <w:tcBorders>
              <w:top w:val="nil"/>
              <w:left w:val="nil"/>
              <w:bottom w:val="nil"/>
              <w:right w:val="nil"/>
            </w:tcBorders>
            <w:shd w:val="clear" w:color="auto" w:fill="auto"/>
            <w:noWrap/>
            <w:vAlign w:val="center"/>
            <w:hideMark/>
          </w:tcPr>
          <w:p w14:paraId="7BC76DFC" w14:textId="77777777" w:rsidR="00434534" w:rsidRPr="00434534" w:rsidRDefault="00434534" w:rsidP="00434534">
            <w:pPr>
              <w:jc w:val="right"/>
              <w:rPr>
                <w:rFonts w:ascii="Times New Roman" w:hAnsi="Times New Roman"/>
                <w:szCs w:val="20"/>
                <w:lang w:val="en-CA" w:eastAsia="en-CA"/>
              </w:rPr>
            </w:pPr>
          </w:p>
        </w:tc>
        <w:tc>
          <w:tcPr>
            <w:tcW w:w="1417" w:type="dxa"/>
            <w:tcBorders>
              <w:top w:val="nil"/>
              <w:left w:val="nil"/>
              <w:bottom w:val="nil"/>
              <w:right w:val="nil"/>
            </w:tcBorders>
            <w:shd w:val="clear" w:color="auto" w:fill="auto"/>
            <w:noWrap/>
            <w:vAlign w:val="center"/>
            <w:hideMark/>
          </w:tcPr>
          <w:p w14:paraId="2CD36059" w14:textId="77777777" w:rsidR="00434534" w:rsidRPr="00434534" w:rsidRDefault="00434534" w:rsidP="00434534">
            <w:pPr>
              <w:jc w:val="right"/>
              <w:rPr>
                <w:rFonts w:ascii="Times New Roman" w:hAnsi="Times New Roman"/>
                <w:szCs w:val="20"/>
                <w:lang w:val="en-CA" w:eastAsia="en-CA"/>
              </w:rPr>
            </w:pPr>
          </w:p>
        </w:tc>
      </w:tr>
      <w:tr w:rsidR="00434534" w:rsidRPr="00434534" w14:paraId="3EBE2628" w14:textId="77777777" w:rsidTr="00572608">
        <w:trPr>
          <w:trHeight w:val="276"/>
          <w:jc w:val="center"/>
        </w:trPr>
        <w:tc>
          <w:tcPr>
            <w:tcW w:w="4253" w:type="dxa"/>
            <w:tcBorders>
              <w:top w:val="nil"/>
              <w:left w:val="nil"/>
              <w:bottom w:val="nil"/>
              <w:right w:val="nil"/>
            </w:tcBorders>
            <w:shd w:val="clear" w:color="auto" w:fill="auto"/>
            <w:noWrap/>
            <w:vAlign w:val="center"/>
            <w:hideMark/>
          </w:tcPr>
          <w:p w14:paraId="33B8DA3F"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Other Income (Expenses)</w:t>
            </w:r>
          </w:p>
        </w:tc>
        <w:tc>
          <w:tcPr>
            <w:tcW w:w="1581" w:type="dxa"/>
            <w:tcBorders>
              <w:top w:val="nil"/>
              <w:left w:val="nil"/>
              <w:bottom w:val="nil"/>
              <w:right w:val="nil"/>
            </w:tcBorders>
            <w:shd w:val="clear" w:color="auto" w:fill="auto"/>
            <w:noWrap/>
            <w:vAlign w:val="center"/>
            <w:hideMark/>
          </w:tcPr>
          <w:p w14:paraId="55997EF9" w14:textId="77777777" w:rsidR="00434534" w:rsidRPr="00434534" w:rsidRDefault="00434534" w:rsidP="00434534">
            <w:pPr>
              <w:rPr>
                <w:rFonts w:ascii="Calibri" w:hAnsi="Calibri" w:cs="Calibri"/>
                <w:b/>
                <w:bCs/>
                <w:color w:val="000000"/>
                <w:szCs w:val="20"/>
                <w:lang w:val="en-CA" w:eastAsia="en-CA"/>
              </w:rPr>
            </w:pPr>
          </w:p>
        </w:tc>
        <w:tc>
          <w:tcPr>
            <w:tcW w:w="1577" w:type="dxa"/>
            <w:tcBorders>
              <w:top w:val="nil"/>
              <w:left w:val="nil"/>
              <w:bottom w:val="nil"/>
              <w:right w:val="nil"/>
            </w:tcBorders>
            <w:shd w:val="clear" w:color="auto" w:fill="auto"/>
            <w:noWrap/>
            <w:vAlign w:val="center"/>
            <w:hideMark/>
          </w:tcPr>
          <w:p w14:paraId="7CA8F95C" w14:textId="77777777" w:rsidR="00434534" w:rsidRPr="00434534" w:rsidRDefault="00434534" w:rsidP="00434534">
            <w:pPr>
              <w:jc w:val="right"/>
              <w:rPr>
                <w:rFonts w:ascii="Times New Roman" w:hAnsi="Times New Roman"/>
                <w:szCs w:val="20"/>
                <w:lang w:val="en-CA" w:eastAsia="en-CA"/>
              </w:rPr>
            </w:pPr>
          </w:p>
        </w:tc>
        <w:tc>
          <w:tcPr>
            <w:tcW w:w="1418" w:type="dxa"/>
            <w:tcBorders>
              <w:top w:val="nil"/>
              <w:left w:val="nil"/>
              <w:bottom w:val="nil"/>
              <w:right w:val="nil"/>
            </w:tcBorders>
            <w:shd w:val="clear" w:color="auto" w:fill="auto"/>
            <w:noWrap/>
            <w:vAlign w:val="center"/>
            <w:hideMark/>
          </w:tcPr>
          <w:p w14:paraId="797335A1" w14:textId="77777777" w:rsidR="00434534" w:rsidRPr="00434534" w:rsidRDefault="00434534" w:rsidP="00434534">
            <w:pPr>
              <w:jc w:val="right"/>
              <w:rPr>
                <w:rFonts w:ascii="Times New Roman" w:hAnsi="Times New Roman"/>
                <w:szCs w:val="20"/>
                <w:lang w:val="en-CA" w:eastAsia="en-CA"/>
              </w:rPr>
            </w:pPr>
          </w:p>
        </w:tc>
        <w:tc>
          <w:tcPr>
            <w:tcW w:w="1377" w:type="dxa"/>
            <w:tcBorders>
              <w:top w:val="nil"/>
              <w:left w:val="nil"/>
              <w:bottom w:val="nil"/>
              <w:right w:val="nil"/>
            </w:tcBorders>
            <w:shd w:val="clear" w:color="auto" w:fill="auto"/>
            <w:noWrap/>
            <w:vAlign w:val="center"/>
            <w:hideMark/>
          </w:tcPr>
          <w:p w14:paraId="53DD6164" w14:textId="77777777" w:rsidR="00434534" w:rsidRPr="00434534" w:rsidRDefault="00434534" w:rsidP="00434534">
            <w:pPr>
              <w:jc w:val="right"/>
              <w:rPr>
                <w:rFonts w:ascii="Times New Roman" w:hAnsi="Times New Roman"/>
                <w:szCs w:val="20"/>
                <w:lang w:val="en-CA" w:eastAsia="en-CA"/>
              </w:rPr>
            </w:pPr>
          </w:p>
        </w:tc>
        <w:tc>
          <w:tcPr>
            <w:tcW w:w="1417" w:type="dxa"/>
            <w:tcBorders>
              <w:top w:val="nil"/>
              <w:left w:val="nil"/>
              <w:bottom w:val="nil"/>
              <w:right w:val="nil"/>
            </w:tcBorders>
            <w:shd w:val="clear" w:color="auto" w:fill="auto"/>
            <w:noWrap/>
            <w:vAlign w:val="center"/>
            <w:hideMark/>
          </w:tcPr>
          <w:p w14:paraId="6EEE1590" w14:textId="77777777" w:rsidR="00434534" w:rsidRPr="00434534" w:rsidRDefault="00434534" w:rsidP="00434534">
            <w:pPr>
              <w:jc w:val="right"/>
              <w:rPr>
                <w:rFonts w:ascii="Times New Roman" w:hAnsi="Times New Roman"/>
                <w:szCs w:val="20"/>
                <w:lang w:val="en-CA" w:eastAsia="en-CA"/>
              </w:rPr>
            </w:pPr>
          </w:p>
        </w:tc>
      </w:tr>
      <w:tr w:rsidR="00434534" w:rsidRPr="00434534" w14:paraId="72AD342D" w14:textId="77777777" w:rsidTr="00572608">
        <w:trPr>
          <w:trHeight w:val="276"/>
          <w:jc w:val="center"/>
        </w:trPr>
        <w:tc>
          <w:tcPr>
            <w:tcW w:w="4253" w:type="dxa"/>
            <w:tcBorders>
              <w:top w:val="nil"/>
              <w:left w:val="nil"/>
              <w:bottom w:val="nil"/>
              <w:right w:val="nil"/>
            </w:tcBorders>
            <w:shd w:val="clear" w:color="auto" w:fill="auto"/>
            <w:noWrap/>
            <w:vAlign w:val="center"/>
            <w:hideMark/>
          </w:tcPr>
          <w:p w14:paraId="1FCA954A" w14:textId="77777777" w:rsidR="00434534" w:rsidRPr="00434534" w:rsidRDefault="00434534" w:rsidP="00434534">
            <w:pPr>
              <w:rPr>
                <w:rFonts w:ascii="Calibri" w:hAnsi="Calibri" w:cs="Calibri"/>
                <w:color w:val="000000"/>
                <w:szCs w:val="20"/>
                <w:lang w:val="en-CA" w:eastAsia="en-CA"/>
              </w:rPr>
            </w:pPr>
            <w:r w:rsidRPr="00434534">
              <w:rPr>
                <w:rFonts w:ascii="Calibri" w:hAnsi="Calibri" w:cs="Calibri"/>
                <w:color w:val="000000"/>
                <w:szCs w:val="20"/>
                <w:lang w:val="en-CA" w:eastAsia="en-CA"/>
              </w:rPr>
              <w:t>Interest expense, net</w:t>
            </w:r>
          </w:p>
        </w:tc>
        <w:tc>
          <w:tcPr>
            <w:tcW w:w="1581" w:type="dxa"/>
            <w:tcBorders>
              <w:top w:val="nil"/>
              <w:left w:val="nil"/>
              <w:bottom w:val="nil"/>
              <w:right w:val="nil"/>
            </w:tcBorders>
            <w:shd w:val="clear" w:color="auto" w:fill="auto"/>
            <w:noWrap/>
            <w:vAlign w:val="center"/>
            <w:hideMark/>
          </w:tcPr>
          <w:p w14:paraId="39CDF9AC"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8,11,12,13,14,15</w:t>
            </w:r>
          </w:p>
        </w:tc>
        <w:tc>
          <w:tcPr>
            <w:tcW w:w="1577" w:type="dxa"/>
            <w:tcBorders>
              <w:top w:val="nil"/>
              <w:left w:val="nil"/>
              <w:bottom w:val="nil"/>
              <w:right w:val="nil"/>
            </w:tcBorders>
            <w:shd w:val="clear" w:color="auto" w:fill="auto"/>
            <w:noWrap/>
            <w:vAlign w:val="bottom"/>
            <w:hideMark/>
          </w:tcPr>
          <w:p w14:paraId="2DF00165" w14:textId="38880FA5" w:rsidR="00434534" w:rsidRPr="00434534" w:rsidRDefault="00434534" w:rsidP="004A3946">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(75,200)</w:t>
            </w:r>
          </w:p>
        </w:tc>
        <w:tc>
          <w:tcPr>
            <w:tcW w:w="1418" w:type="dxa"/>
            <w:tcBorders>
              <w:top w:val="nil"/>
              <w:left w:val="nil"/>
              <w:bottom w:val="nil"/>
              <w:right w:val="nil"/>
            </w:tcBorders>
            <w:shd w:val="clear" w:color="auto" w:fill="auto"/>
            <w:noWrap/>
            <w:vAlign w:val="center"/>
            <w:hideMark/>
          </w:tcPr>
          <w:p w14:paraId="6B724539" w14:textId="5CFD35E5" w:rsidR="00434534" w:rsidRPr="00434534" w:rsidRDefault="00434534" w:rsidP="004A3946">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(42,174)</w:t>
            </w:r>
          </w:p>
        </w:tc>
        <w:tc>
          <w:tcPr>
            <w:tcW w:w="1377" w:type="dxa"/>
            <w:tcBorders>
              <w:top w:val="nil"/>
              <w:left w:val="nil"/>
              <w:bottom w:val="nil"/>
              <w:right w:val="nil"/>
            </w:tcBorders>
            <w:shd w:val="clear" w:color="auto" w:fill="auto"/>
            <w:noWrap/>
            <w:vAlign w:val="center"/>
            <w:hideMark/>
          </w:tcPr>
          <w:p w14:paraId="19D68B21" w14:textId="1A98AB97" w:rsidR="00434534" w:rsidRPr="00434534" w:rsidRDefault="00434534" w:rsidP="004A3946">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(190,840)</w:t>
            </w:r>
          </w:p>
        </w:tc>
        <w:tc>
          <w:tcPr>
            <w:tcW w:w="1417" w:type="dxa"/>
            <w:tcBorders>
              <w:top w:val="nil"/>
              <w:left w:val="nil"/>
              <w:bottom w:val="nil"/>
              <w:right w:val="nil"/>
            </w:tcBorders>
            <w:shd w:val="clear" w:color="auto" w:fill="auto"/>
            <w:noWrap/>
            <w:vAlign w:val="center"/>
            <w:hideMark/>
          </w:tcPr>
          <w:p w14:paraId="56A4285C" w14:textId="6B44C0AF" w:rsidR="00434534" w:rsidRPr="00434534" w:rsidRDefault="00434534" w:rsidP="004A3946">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(77,201)</w:t>
            </w:r>
          </w:p>
        </w:tc>
      </w:tr>
      <w:tr w:rsidR="00434534" w:rsidRPr="00434534" w14:paraId="424EE307" w14:textId="77777777" w:rsidTr="00572608">
        <w:trPr>
          <w:trHeight w:val="276"/>
          <w:jc w:val="center"/>
        </w:trPr>
        <w:tc>
          <w:tcPr>
            <w:tcW w:w="4253" w:type="dxa"/>
            <w:tcBorders>
              <w:top w:val="nil"/>
              <w:left w:val="nil"/>
              <w:bottom w:val="nil"/>
              <w:right w:val="nil"/>
            </w:tcBorders>
            <w:shd w:val="clear" w:color="auto" w:fill="auto"/>
            <w:noWrap/>
            <w:vAlign w:val="center"/>
            <w:hideMark/>
          </w:tcPr>
          <w:p w14:paraId="79B78B9E" w14:textId="77777777" w:rsidR="00434534" w:rsidRPr="00434534" w:rsidRDefault="00434534" w:rsidP="00434534">
            <w:pPr>
              <w:rPr>
                <w:rFonts w:ascii="Calibri" w:hAnsi="Calibri" w:cs="Calibri"/>
                <w:color w:val="000000"/>
                <w:szCs w:val="20"/>
                <w:lang w:val="en-CA" w:eastAsia="en-CA"/>
              </w:rPr>
            </w:pPr>
            <w:r w:rsidRPr="00434534">
              <w:rPr>
                <w:rFonts w:ascii="Calibri" w:hAnsi="Calibri" w:cs="Calibri"/>
                <w:color w:val="000000"/>
                <w:szCs w:val="20"/>
                <w:lang w:val="en-CA" w:eastAsia="en-CA"/>
              </w:rPr>
              <w:t>Foreign exchange gain (loss)</w:t>
            </w:r>
          </w:p>
        </w:tc>
        <w:tc>
          <w:tcPr>
            <w:tcW w:w="1581" w:type="dxa"/>
            <w:tcBorders>
              <w:top w:val="nil"/>
              <w:left w:val="nil"/>
              <w:bottom w:val="nil"/>
              <w:right w:val="nil"/>
            </w:tcBorders>
            <w:shd w:val="clear" w:color="auto" w:fill="auto"/>
            <w:noWrap/>
            <w:vAlign w:val="center"/>
            <w:hideMark/>
          </w:tcPr>
          <w:p w14:paraId="1174348C" w14:textId="77777777" w:rsidR="00434534" w:rsidRPr="00434534" w:rsidRDefault="00434534" w:rsidP="00434534">
            <w:pPr>
              <w:rPr>
                <w:rFonts w:ascii="Calibri" w:hAnsi="Calibri" w:cs="Calibri"/>
                <w:color w:val="000000"/>
                <w:szCs w:val="20"/>
                <w:lang w:val="en-CA" w:eastAsia="en-CA"/>
              </w:rPr>
            </w:pPr>
          </w:p>
        </w:tc>
        <w:tc>
          <w:tcPr>
            <w:tcW w:w="1577" w:type="dxa"/>
            <w:tcBorders>
              <w:top w:val="nil"/>
              <w:left w:val="nil"/>
              <w:bottom w:val="nil"/>
              <w:right w:val="nil"/>
            </w:tcBorders>
            <w:shd w:val="clear" w:color="auto" w:fill="auto"/>
            <w:noWrap/>
            <w:vAlign w:val="bottom"/>
            <w:hideMark/>
          </w:tcPr>
          <w:p w14:paraId="321093FC" w14:textId="0C16CDC4" w:rsidR="00434534" w:rsidRPr="00434534" w:rsidRDefault="00434534" w:rsidP="004A3946">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(12,801)</w:t>
            </w:r>
          </w:p>
        </w:tc>
        <w:tc>
          <w:tcPr>
            <w:tcW w:w="1418" w:type="dxa"/>
            <w:tcBorders>
              <w:top w:val="nil"/>
              <w:left w:val="nil"/>
              <w:bottom w:val="nil"/>
              <w:right w:val="nil"/>
            </w:tcBorders>
            <w:shd w:val="clear" w:color="auto" w:fill="auto"/>
            <w:noWrap/>
            <w:vAlign w:val="center"/>
            <w:hideMark/>
          </w:tcPr>
          <w:p w14:paraId="4109FC12" w14:textId="5F6C68CC" w:rsidR="00434534" w:rsidRPr="00434534" w:rsidRDefault="00434534" w:rsidP="004A3946">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(9,143)</w:t>
            </w:r>
          </w:p>
        </w:tc>
        <w:tc>
          <w:tcPr>
            <w:tcW w:w="1377" w:type="dxa"/>
            <w:tcBorders>
              <w:top w:val="nil"/>
              <w:left w:val="nil"/>
              <w:bottom w:val="nil"/>
              <w:right w:val="nil"/>
            </w:tcBorders>
            <w:shd w:val="clear" w:color="auto" w:fill="auto"/>
            <w:noWrap/>
            <w:vAlign w:val="center"/>
            <w:hideMark/>
          </w:tcPr>
          <w:p w14:paraId="371809FE" w14:textId="6DFB87DC" w:rsidR="00434534" w:rsidRPr="00434534" w:rsidRDefault="00434534" w:rsidP="004A3946">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(22,725)</w:t>
            </w:r>
          </w:p>
        </w:tc>
        <w:tc>
          <w:tcPr>
            <w:tcW w:w="1417" w:type="dxa"/>
            <w:tcBorders>
              <w:top w:val="nil"/>
              <w:left w:val="nil"/>
              <w:bottom w:val="nil"/>
              <w:right w:val="nil"/>
            </w:tcBorders>
            <w:shd w:val="clear" w:color="auto" w:fill="auto"/>
            <w:noWrap/>
            <w:vAlign w:val="center"/>
            <w:hideMark/>
          </w:tcPr>
          <w:p w14:paraId="30442BBE" w14:textId="50146AE5" w:rsidR="00434534" w:rsidRPr="00434534" w:rsidRDefault="00434534" w:rsidP="004A3946">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(704)</w:t>
            </w:r>
          </w:p>
        </w:tc>
      </w:tr>
      <w:tr w:rsidR="00434534" w:rsidRPr="00434534" w14:paraId="5AB3E2A6" w14:textId="77777777" w:rsidTr="00572608">
        <w:trPr>
          <w:trHeight w:val="288"/>
          <w:jc w:val="center"/>
        </w:trPr>
        <w:tc>
          <w:tcPr>
            <w:tcW w:w="4253" w:type="dxa"/>
            <w:tcBorders>
              <w:top w:val="nil"/>
              <w:left w:val="nil"/>
              <w:bottom w:val="nil"/>
              <w:right w:val="nil"/>
            </w:tcBorders>
            <w:shd w:val="clear" w:color="auto" w:fill="auto"/>
            <w:vAlign w:val="center"/>
            <w:hideMark/>
          </w:tcPr>
          <w:p w14:paraId="67685690" w14:textId="77777777" w:rsidR="00434534" w:rsidRPr="00434534" w:rsidRDefault="00434534" w:rsidP="00434534">
            <w:pPr>
              <w:rPr>
                <w:rFonts w:ascii="Calibri" w:hAnsi="Calibri" w:cs="Calibri"/>
                <w:color w:val="000000"/>
                <w:szCs w:val="20"/>
                <w:lang w:val="en-CA" w:eastAsia="en-CA"/>
              </w:rPr>
            </w:pPr>
            <w:r w:rsidRPr="00434534">
              <w:rPr>
                <w:rFonts w:ascii="Calibri" w:hAnsi="Calibri" w:cs="Calibri"/>
                <w:color w:val="000000"/>
                <w:szCs w:val="20"/>
                <w:lang w:val="en-CA" w:eastAsia="en-CA"/>
              </w:rPr>
              <w:t>Miscellaneous income (expenses), net</w:t>
            </w:r>
          </w:p>
        </w:tc>
        <w:tc>
          <w:tcPr>
            <w:tcW w:w="1581" w:type="dxa"/>
            <w:tcBorders>
              <w:top w:val="nil"/>
              <w:left w:val="nil"/>
              <w:bottom w:val="nil"/>
              <w:right w:val="nil"/>
            </w:tcBorders>
            <w:shd w:val="clear" w:color="auto" w:fill="auto"/>
            <w:noWrap/>
            <w:vAlign w:val="bottom"/>
            <w:hideMark/>
          </w:tcPr>
          <w:p w14:paraId="28CDB60B" w14:textId="77777777" w:rsidR="00434534" w:rsidRPr="00434534" w:rsidRDefault="00434534" w:rsidP="00434534">
            <w:pPr>
              <w:rPr>
                <w:rFonts w:ascii="Calibri" w:hAnsi="Calibri" w:cs="Calibri"/>
                <w:color w:val="000000"/>
                <w:szCs w:val="20"/>
                <w:lang w:val="en-CA" w:eastAsia="en-CA"/>
              </w:rPr>
            </w:pPr>
          </w:p>
        </w:tc>
        <w:tc>
          <w:tcPr>
            <w:tcW w:w="1577" w:type="dxa"/>
            <w:tcBorders>
              <w:top w:val="nil"/>
              <w:left w:val="nil"/>
              <w:bottom w:val="nil"/>
              <w:right w:val="nil"/>
            </w:tcBorders>
            <w:shd w:val="clear" w:color="auto" w:fill="auto"/>
            <w:noWrap/>
            <w:vAlign w:val="bottom"/>
            <w:hideMark/>
          </w:tcPr>
          <w:p w14:paraId="76CD94C4" w14:textId="61E091AC" w:rsidR="00434534" w:rsidRPr="00434534" w:rsidRDefault="00434534" w:rsidP="004A3946">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(470)</w:t>
            </w:r>
          </w:p>
        </w:tc>
        <w:tc>
          <w:tcPr>
            <w:tcW w:w="1418" w:type="dxa"/>
            <w:tcBorders>
              <w:top w:val="nil"/>
              <w:left w:val="nil"/>
              <w:bottom w:val="nil"/>
              <w:right w:val="nil"/>
            </w:tcBorders>
            <w:shd w:val="clear" w:color="auto" w:fill="auto"/>
            <w:noWrap/>
            <w:vAlign w:val="center"/>
            <w:hideMark/>
          </w:tcPr>
          <w:p w14:paraId="47D11C10" w14:textId="0D505F80" w:rsidR="00434534" w:rsidRPr="00434534" w:rsidRDefault="00434534" w:rsidP="004A3946">
            <w:pPr>
              <w:ind w:right="125"/>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   </w:t>
            </w:r>
          </w:p>
        </w:tc>
        <w:tc>
          <w:tcPr>
            <w:tcW w:w="1377" w:type="dxa"/>
            <w:tcBorders>
              <w:top w:val="nil"/>
              <w:left w:val="nil"/>
              <w:bottom w:val="nil"/>
              <w:right w:val="nil"/>
            </w:tcBorders>
            <w:shd w:val="clear" w:color="auto" w:fill="auto"/>
            <w:noWrap/>
            <w:vAlign w:val="center"/>
            <w:hideMark/>
          </w:tcPr>
          <w:p w14:paraId="3C2E6B34" w14:textId="6597F21D" w:rsidR="00434534" w:rsidRPr="00434534" w:rsidRDefault="00434534" w:rsidP="00434534">
            <w:pPr>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72 </w:t>
            </w:r>
          </w:p>
        </w:tc>
        <w:tc>
          <w:tcPr>
            <w:tcW w:w="1417" w:type="dxa"/>
            <w:tcBorders>
              <w:top w:val="nil"/>
              <w:left w:val="nil"/>
              <w:bottom w:val="nil"/>
              <w:right w:val="nil"/>
            </w:tcBorders>
            <w:shd w:val="clear" w:color="auto" w:fill="auto"/>
            <w:noWrap/>
            <w:vAlign w:val="center"/>
            <w:hideMark/>
          </w:tcPr>
          <w:p w14:paraId="5BD3781D" w14:textId="5A08C461" w:rsidR="00434534" w:rsidRPr="00434534" w:rsidRDefault="00434534" w:rsidP="004A3946">
            <w:pPr>
              <w:ind w:right="125"/>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   </w:t>
            </w:r>
          </w:p>
        </w:tc>
      </w:tr>
      <w:tr w:rsidR="00434534" w:rsidRPr="00434534" w14:paraId="55FA4271" w14:textId="77777777" w:rsidTr="00572608">
        <w:trPr>
          <w:trHeight w:val="288"/>
          <w:jc w:val="center"/>
        </w:trPr>
        <w:tc>
          <w:tcPr>
            <w:tcW w:w="4253" w:type="dxa"/>
            <w:tcBorders>
              <w:top w:val="single" w:sz="8" w:space="0" w:color="auto"/>
              <w:left w:val="nil"/>
              <w:bottom w:val="nil"/>
              <w:right w:val="nil"/>
            </w:tcBorders>
            <w:shd w:val="clear" w:color="auto" w:fill="auto"/>
            <w:noWrap/>
            <w:vAlign w:val="center"/>
            <w:hideMark/>
          </w:tcPr>
          <w:p w14:paraId="420AECA5" w14:textId="77777777" w:rsidR="00434534" w:rsidRPr="00434534" w:rsidRDefault="00434534" w:rsidP="00434534">
            <w:pPr>
              <w:rPr>
                <w:rFonts w:ascii="Calibri" w:hAnsi="Calibri" w:cs="Calibri"/>
                <w:color w:val="000000"/>
                <w:szCs w:val="20"/>
                <w:lang w:val="en-CA" w:eastAsia="en-CA"/>
              </w:rPr>
            </w:pPr>
            <w:r w:rsidRPr="00434534">
              <w:rPr>
                <w:rFonts w:ascii="Calibri" w:hAnsi="Calibri" w:cs="Calibri"/>
                <w:color w:val="000000"/>
                <w:szCs w:val="20"/>
                <w:lang w:val="en-CA" w:eastAsia="en-CA"/>
              </w:rPr>
              <w:t> </w:t>
            </w:r>
          </w:p>
        </w:tc>
        <w:tc>
          <w:tcPr>
            <w:tcW w:w="1581" w:type="dxa"/>
            <w:tcBorders>
              <w:top w:val="single" w:sz="8" w:space="0" w:color="auto"/>
              <w:left w:val="nil"/>
              <w:bottom w:val="nil"/>
              <w:right w:val="nil"/>
            </w:tcBorders>
            <w:shd w:val="clear" w:color="auto" w:fill="auto"/>
            <w:noWrap/>
            <w:vAlign w:val="center"/>
            <w:hideMark/>
          </w:tcPr>
          <w:p w14:paraId="382556D3"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 </w:t>
            </w:r>
          </w:p>
        </w:tc>
        <w:tc>
          <w:tcPr>
            <w:tcW w:w="1577" w:type="dxa"/>
            <w:tcBorders>
              <w:top w:val="single" w:sz="8" w:space="0" w:color="auto"/>
              <w:left w:val="nil"/>
              <w:bottom w:val="nil"/>
              <w:right w:val="nil"/>
            </w:tcBorders>
            <w:shd w:val="clear" w:color="auto" w:fill="auto"/>
            <w:noWrap/>
            <w:vAlign w:val="center"/>
            <w:hideMark/>
          </w:tcPr>
          <w:p w14:paraId="0B80B12D" w14:textId="7F415988" w:rsidR="00434534" w:rsidRPr="00434534" w:rsidRDefault="00434534" w:rsidP="004A3946">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 xml:space="preserve">    (88,471)</w:t>
            </w:r>
          </w:p>
        </w:tc>
        <w:tc>
          <w:tcPr>
            <w:tcW w:w="1418" w:type="dxa"/>
            <w:tcBorders>
              <w:top w:val="single" w:sz="8" w:space="0" w:color="auto"/>
              <w:left w:val="nil"/>
              <w:bottom w:val="nil"/>
              <w:right w:val="nil"/>
            </w:tcBorders>
            <w:shd w:val="clear" w:color="auto" w:fill="auto"/>
            <w:noWrap/>
            <w:vAlign w:val="center"/>
            <w:hideMark/>
          </w:tcPr>
          <w:p w14:paraId="6319BAA0" w14:textId="0FDF8725" w:rsidR="00434534" w:rsidRPr="00434534" w:rsidRDefault="00434534" w:rsidP="004A3946">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(51,317)</w:t>
            </w:r>
          </w:p>
        </w:tc>
        <w:tc>
          <w:tcPr>
            <w:tcW w:w="1377" w:type="dxa"/>
            <w:tcBorders>
              <w:top w:val="single" w:sz="8" w:space="0" w:color="auto"/>
              <w:left w:val="nil"/>
              <w:bottom w:val="nil"/>
              <w:right w:val="nil"/>
            </w:tcBorders>
            <w:shd w:val="clear" w:color="auto" w:fill="auto"/>
            <w:noWrap/>
            <w:vAlign w:val="center"/>
            <w:hideMark/>
          </w:tcPr>
          <w:p w14:paraId="6D197D90" w14:textId="113031A8" w:rsidR="00434534" w:rsidRPr="00434534" w:rsidRDefault="00434534" w:rsidP="004A3946">
            <w:pPr>
              <w:ind w:right="-62"/>
              <w:jc w:val="right"/>
              <w:rPr>
                <w:rFonts w:ascii="Calibri" w:hAnsi="Calibri" w:cs="Calibri"/>
                <w:b/>
                <w:bCs/>
                <w:color w:val="000000"/>
                <w:szCs w:val="20"/>
                <w:lang w:val="en-CA" w:eastAsia="en-CA"/>
              </w:rPr>
            </w:pPr>
            <w:r w:rsidRPr="00434534">
              <w:rPr>
                <w:rFonts w:ascii="Calibri" w:hAnsi="Calibri" w:cs="Calibri"/>
                <w:b/>
                <w:bCs/>
                <w:color w:val="000000"/>
                <w:szCs w:val="20"/>
                <w:lang w:val="en-CA" w:eastAsia="en-CA"/>
              </w:rPr>
              <w:t>(213,493)</w:t>
            </w:r>
          </w:p>
        </w:tc>
        <w:tc>
          <w:tcPr>
            <w:tcW w:w="1417" w:type="dxa"/>
            <w:tcBorders>
              <w:top w:val="single" w:sz="8" w:space="0" w:color="auto"/>
              <w:left w:val="nil"/>
              <w:bottom w:val="nil"/>
              <w:right w:val="nil"/>
            </w:tcBorders>
            <w:shd w:val="clear" w:color="auto" w:fill="auto"/>
            <w:noWrap/>
            <w:vAlign w:val="center"/>
            <w:hideMark/>
          </w:tcPr>
          <w:p w14:paraId="05F2FDAB" w14:textId="5234D677" w:rsidR="00434534" w:rsidRPr="00434534" w:rsidRDefault="00434534" w:rsidP="004A3946">
            <w:pPr>
              <w:ind w:right="-62"/>
              <w:jc w:val="right"/>
              <w:rPr>
                <w:rFonts w:ascii="Calibri" w:hAnsi="Calibri" w:cs="Calibri"/>
                <w:color w:val="000000"/>
                <w:szCs w:val="20"/>
                <w:lang w:val="en-CA" w:eastAsia="en-CA"/>
              </w:rPr>
            </w:pPr>
            <w:r w:rsidRPr="00434534">
              <w:rPr>
                <w:rFonts w:ascii="Calibri" w:hAnsi="Calibri" w:cs="Calibri"/>
                <w:color w:val="000000"/>
                <w:szCs w:val="20"/>
                <w:lang w:val="en-CA" w:eastAsia="en-CA"/>
              </w:rPr>
              <w:t xml:space="preserve">  (77,905)</w:t>
            </w:r>
          </w:p>
        </w:tc>
      </w:tr>
      <w:tr w:rsidR="00434534" w:rsidRPr="00434534" w14:paraId="5311E454" w14:textId="77777777" w:rsidTr="00572608">
        <w:trPr>
          <w:trHeight w:val="288"/>
          <w:jc w:val="center"/>
        </w:trPr>
        <w:tc>
          <w:tcPr>
            <w:tcW w:w="4253" w:type="dxa"/>
            <w:tcBorders>
              <w:top w:val="single" w:sz="8" w:space="0" w:color="auto"/>
              <w:left w:val="nil"/>
              <w:bottom w:val="single" w:sz="8" w:space="0" w:color="auto"/>
              <w:right w:val="nil"/>
            </w:tcBorders>
            <w:shd w:val="clear" w:color="auto" w:fill="auto"/>
            <w:noWrap/>
            <w:vAlign w:val="center"/>
            <w:hideMark/>
          </w:tcPr>
          <w:p w14:paraId="7CD3C12A"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Loss and comprehensive loss</w:t>
            </w:r>
          </w:p>
        </w:tc>
        <w:tc>
          <w:tcPr>
            <w:tcW w:w="1581" w:type="dxa"/>
            <w:tcBorders>
              <w:top w:val="single" w:sz="8" w:space="0" w:color="auto"/>
              <w:left w:val="nil"/>
              <w:bottom w:val="single" w:sz="8" w:space="0" w:color="auto"/>
              <w:right w:val="nil"/>
            </w:tcBorders>
            <w:shd w:val="clear" w:color="auto" w:fill="auto"/>
            <w:noWrap/>
            <w:vAlign w:val="center"/>
            <w:hideMark/>
          </w:tcPr>
          <w:p w14:paraId="62A65979"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 </w:t>
            </w:r>
          </w:p>
        </w:tc>
        <w:tc>
          <w:tcPr>
            <w:tcW w:w="1577" w:type="dxa"/>
            <w:tcBorders>
              <w:top w:val="single" w:sz="8" w:space="0" w:color="auto"/>
              <w:left w:val="nil"/>
              <w:bottom w:val="single" w:sz="8" w:space="0" w:color="auto"/>
              <w:right w:val="nil"/>
            </w:tcBorders>
            <w:shd w:val="clear" w:color="auto" w:fill="auto"/>
            <w:noWrap/>
            <w:vAlign w:val="center"/>
            <w:hideMark/>
          </w:tcPr>
          <w:p w14:paraId="22C3627B" w14:textId="0914C5BF" w:rsidR="00434534" w:rsidRPr="00434534" w:rsidRDefault="00434534" w:rsidP="004A3946">
            <w:pPr>
              <w:ind w:right="-62"/>
              <w:jc w:val="right"/>
              <w:rPr>
                <w:rFonts w:ascii="Calibri" w:hAnsi="Calibri" w:cs="Calibri"/>
                <w:b/>
                <w:bCs/>
                <w:szCs w:val="20"/>
                <w:lang w:val="en-CA" w:eastAsia="en-CA"/>
              </w:rPr>
            </w:pPr>
            <w:r w:rsidRPr="00434534">
              <w:rPr>
                <w:rFonts w:ascii="Calibri" w:hAnsi="Calibri" w:cs="Calibri"/>
                <w:b/>
                <w:bCs/>
                <w:szCs w:val="20"/>
                <w:lang w:val="en-CA" w:eastAsia="en-CA"/>
              </w:rPr>
              <w:t xml:space="preserve"> $ (799,218)</w:t>
            </w:r>
          </w:p>
        </w:tc>
        <w:tc>
          <w:tcPr>
            <w:tcW w:w="1418" w:type="dxa"/>
            <w:tcBorders>
              <w:top w:val="single" w:sz="8" w:space="0" w:color="auto"/>
              <w:left w:val="nil"/>
              <w:bottom w:val="single" w:sz="8" w:space="0" w:color="auto"/>
              <w:right w:val="nil"/>
            </w:tcBorders>
            <w:shd w:val="clear" w:color="auto" w:fill="auto"/>
            <w:noWrap/>
            <w:vAlign w:val="center"/>
            <w:hideMark/>
          </w:tcPr>
          <w:p w14:paraId="3CA5D543" w14:textId="7CF2F64B" w:rsidR="00434534" w:rsidRPr="00434534" w:rsidRDefault="00434534" w:rsidP="004A3946">
            <w:pPr>
              <w:ind w:right="-62"/>
              <w:jc w:val="right"/>
              <w:rPr>
                <w:rFonts w:ascii="Calibri" w:hAnsi="Calibri" w:cs="Calibri"/>
                <w:szCs w:val="20"/>
                <w:lang w:val="en-CA" w:eastAsia="en-CA"/>
              </w:rPr>
            </w:pPr>
            <w:r w:rsidRPr="00434534">
              <w:rPr>
                <w:rFonts w:ascii="Calibri" w:hAnsi="Calibri" w:cs="Calibri"/>
                <w:szCs w:val="20"/>
                <w:lang w:val="en-CA" w:eastAsia="en-CA"/>
              </w:rPr>
              <w:t xml:space="preserve"> $ (709,852)</w:t>
            </w:r>
          </w:p>
        </w:tc>
        <w:tc>
          <w:tcPr>
            <w:tcW w:w="1377" w:type="dxa"/>
            <w:tcBorders>
              <w:top w:val="single" w:sz="8" w:space="0" w:color="auto"/>
              <w:left w:val="nil"/>
              <w:bottom w:val="single" w:sz="8" w:space="0" w:color="auto"/>
              <w:right w:val="nil"/>
            </w:tcBorders>
            <w:shd w:val="clear" w:color="auto" w:fill="auto"/>
            <w:noWrap/>
            <w:vAlign w:val="center"/>
            <w:hideMark/>
          </w:tcPr>
          <w:p w14:paraId="40F3373E" w14:textId="70443E80" w:rsidR="00434534" w:rsidRPr="00434534" w:rsidRDefault="00434534" w:rsidP="004A3946">
            <w:pPr>
              <w:ind w:right="-62"/>
              <w:jc w:val="right"/>
              <w:rPr>
                <w:rFonts w:ascii="Calibri" w:hAnsi="Calibri" w:cs="Calibri"/>
                <w:b/>
                <w:bCs/>
                <w:szCs w:val="20"/>
                <w:lang w:val="en-CA" w:eastAsia="en-CA"/>
              </w:rPr>
            </w:pPr>
            <w:r w:rsidRPr="00434534">
              <w:rPr>
                <w:rFonts w:ascii="Calibri" w:hAnsi="Calibri" w:cs="Calibri"/>
                <w:b/>
                <w:bCs/>
                <w:szCs w:val="20"/>
                <w:lang w:val="en-CA" w:eastAsia="en-CA"/>
              </w:rPr>
              <w:t xml:space="preserve"> $</w:t>
            </w:r>
            <w:r w:rsidR="00572608">
              <w:rPr>
                <w:rFonts w:ascii="Calibri" w:hAnsi="Calibri" w:cs="Calibri"/>
                <w:b/>
                <w:bCs/>
                <w:szCs w:val="20"/>
                <w:lang w:val="en-CA" w:eastAsia="en-CA"/>
              </w:rPr>
              <w:t xml:space="preserve"> </w:t>
            </w:r>
            <w:r w:rsidRPr="00434534">
              <w:rPr>
                <w:rFonts w:ascii="Calibri" w:hAnsi="Calibri" w:cs="Calibri"/>
                <w:b/>
                <w:bCs/>
                <w:szCs w:val="20"/>
                <w:lang w:val="en-CA" w:eastAsia="en-CA"/>
              </w:rPr>
              <w:t>(2,193,093)</w:t>
            </w:r>
          </w:p>
        </w:tc>
        <w:tc>
          <w:tcPr>
            <w:tcW w:w="1417" w:type="dxa"/>
            <w:tcBorders>
              <w:top w:val="single" w:sz="8" w:space="0" w:color="auto"/>
              <w:left w:val="nil"/>
              <w:bottom w:val="single" w:sz="8" w:space="0" w:color="auto"/>
              <w:right w:val="nil"/>
            </w:tcBorders>
            <w:shd w:val="clear" w:color="auto" w:fill="auto"/>
            <w:noWrap/>
            <w:vAlign w:val="center"/>
            <w:hideMark/>
          </w:tcPr>
          <w:p w14:paraId="4D9B1F70" w14:textId="23AC9EA6" w:rsidR="00434534" w:rsidRPr="00434534" w:rsidRDefault="00434534" w:rsidP="004A3946">
            <w:pPr>
              <w:ind w:right="-62"/>
              <w:jc w:val="right"/>
              <w:rPr>
                <w:rFonts w:ascii="Calibri" w:hAnsi="Calibri" w:cs="Calibri"/>
                <w:szCs w:val="20"/>
                <w:lang w:val="en-CA" w:eastAsia="en-CA"/>
              </w:rPr>
            </w:pPr>
            <w:r w:rsidRPr="00434534">
              <w:rPr>
                <w:rFonts w:ascii="Calibri" w:hAnsi="Calibri" w:cs="Calibri"/>
                <w:szCs w:val="20"/>
                <w:lang w:val="en-CA" w:eastAsia="en-CA"/>
              </w:rPr>
              <w:t xml:space="preserve"> $ (2,282,173)</w:t>
            </w:r>
          </w:p>
        </w:tc>
      </w:tr>
      <w:tr w:rsidR="00434534" w:rsidRPr="00434534" w14:paraId="6862B314" w14:textId="77777777" w:rsidTr="00572608">
        <w:trPr>
          <w:trHeight w:val="564"/>
          <w:jc w:val="center"/>
        </w:trPr>
        <w:tc>
          <w:tcPr>
            <w:tcW w:w="4253" w:type="dxa"/>
            <w:tcBorders>
              <w:top w:val="nil"/>
              <w:left w:val="nil"/>
              <w:bottom w:val="single" w:sz="8" w:space="0" w:color="auto"/>
              <w:right w:val="nil"/>
            </w:tcBorders>
            <w:shd w:val="clear" w:color="auto" w:fill="auto"/>
            <w:vAlign w:val="center"/>
            <w:hideMark/>
          </w:tcPr>
          <w:p w14:paraId="70713FC8"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Weighted average number of common shares outstanding  - basic and diluted</w:t>
            </w:r>
          </w:p>
        </w:tc>
        <w:tc>
          <w:tcPr>
            <w:tcW w:w="1581" w:type="dxa"/>
            <w:tcBorders>
              <w:top w:val="nil"/>
              <w:left w:val="nil"/>
              <w:bottom w:val="single" w:sz="8" w:space="0" w:color="auto"/>
              <w:right w:val="nil"/>
            </w:tcBorders>
            <w:shd w:val="clear" w:color="auto" w:fill="auto"/>
            <w:noWrap/>
            <w:vAlign w:val="center"/>
            <w:hideMark/>
          </w:tcPr>
          <w:p w14:paraId="43A8D09F" w14:textId="77777777" w:rsidR="00434534" w:rsidRPr="00434534" w:rsidRDefault="00434534" w:rsidP="00434534">
            <w:pPr>
              <w:jc w:val="center"/>
              <w:rPr>
                <w:rFonts w:ascii="Calibri" w:hAnsi="Calibri" w:cs="Calibri"/>
                <w:i/>
                <w:iCs/>
                <w:color w:val="000000"/>
                <w:szCs w:val="20"/>
                <w:lang w:val="en-CA" w:eastAsia="en-CA"/>
              </w:rPr>
            </w:pPr>
            <w:r w:rsidRPr="00434534">
              <w:rPr>
                <w:rFonts w:ascii="Calibri" w:hAnsi="Calibri" w:cs="Calibri"/>
                <w:i/>
                <w:iCs/>
                <w:color w:val="000000"/>
                <w:szCs w:val="20"/>
                <w:lang w:val="en-CA" w:eastAsia="en-CA"/>
              </w:rPr>
              <w:t> </w:t>
            </w:r>
          </w:p>
        </w:tc>
        <w:tc>
          <w:tcPr>
            <w:tcW w:w="1577" w:type="dxa"/>
            <w:tcBorders>
              <w:top w:val="nil"/>
              <w:left w:val="nil"/>
              <w:bottom w:val="single" w:sz="8" w:space="0" w:color="auto"/>
              <w:right w:val="nil"/>
            </w:tcBorders>
            <w:shd w:val="clear" w:color="auto" w:fill="auto"/>
            <w:noWrap/>
            <w:vAlign w:val="center"/>
            <w:hideMark/>
          </w:tcPr>
          <w:p w14:paraId="3E582C11" w14:textId="3A7F1652" w:rsidR="00434534" w:rsidRPr="00434534" w:rsidRDefault="00434534" w:rsidP="00434534">
            <w:pPr>
              <w:jc w:val="right"/>
              <w:rPr>
                <w:rFonts w:ascii="Calibri" w:hAnsi="Calibri" w:cs="Calibri"/>
                <w:b/>
                <w:bCs/>
                <w:szCs w:val="20"/>
                <w:lang w:val="en-CA" w:eastAsia="en-CA"/>
              </w:rPr>
            </w:pPr>
            <w:r w:rsidRPr="00434534">
              <w:rPr>
                <w:rFonts w:ascii="Calibri" w:hAnsi="Calibri" w:cs="Calibri"/>
                <w:b/>
                <w:bCs/>
                <w:szCs w:val="20"/>
                <w:lang w:val="en-CA" w:eastAsia="en-CA"/>
              </w:rPr>
              <w:t xml:space="preserve">76,143,709 </w:t>
            </w:r>
          </w:p>
        </w:tc>
        <w:tc>
          <w:tcPr>
            <w:tcW w:w="1418" w:type="dxa"/>
            <w:tcBorders>
              <w:top w:val="nil"/>
              <w:left w:val="nil"/>
              <w:bottom w:val="single" w:sz="8" w:space="0" w:color="auto"/>
              <w:right w:val="nil"/>
            </w:tcBorders>
            <w:shd w:val="clear" w:color="auto" w:fill="auto"/>
            <w:noWrap/>
            <w:vAlign w:val="center"/>
            <w:hideMark/>
          </w:tcPr>
          <w:p w14:paraId="579F6CE1" w14:textId="77777777" w:rsidR="00434534" w:rsidRPr="00434534" w:rsidRDefault="00434534" w:rsidP="00434534">
            <w:pPr>
              <w:jc w:val="right"/>
              <w:rPr>
                <w:rFonts w:ascii="Calibri" w:hAnsi="Calibri" w:cs="Calibri"/>
                <w:szCs w:val="20"/>
                <w:lang w:val="en-CA" w:eastAsia="en-CA"/>
              </w:rPr>
            </w:pPr>
            <w:r w:rsidRPr="00434534">
              <w:rPr>
                <w:rFonts w:ascii="Calibri" w:hAnsi="Calibri" w:cs="Calibri"/>
                <w:szCs w:val="20"/>
                <w:lang w:val="en-CA" w:eastAsia="en-CA"/>
              </w:rPr>
              <w:t xml:space="preserve">     76,143,709 </w:t>
            </w:r>
          </w:p>
        </w:tc>
        <w:tc>
          <w:tcPr>
            <w:tcW w:w="1377" w:type="dxa"/>
            <w:tcBorders>
              <w:top w:val="nil"/>
              <w:left w:val="nil"/>
              <w:bottom w:val="single" w:sz="8" w:space="0" w:color="auto"/>
              <w:right w:val="nil"/>
            </w:tcBorders>
            <w:shd w:val="clear" w:color="auto" w:fill="auto"/>
            <w:noWrap/>
            <w:vAlign w:val="center"/>
            <w:hideMark/>
          </w:tcPr>
          <w:p w14:paraId="1A20D260" w14:textId="3B4B2D33" w:rsidR="00434534" w:rsidRPr="00434534" w:rsidRDefault="00434534" w:rsidP="00434534">
            <w:pPr>
              <w:jc w:val="right"/>
              <w:rPr>
                <w:rFonts w:ascii="Calibri" w:hAnsi="Calibri" w:cs="Calibri"/>
                <w:b/>
                <w:bCs/>
                <w:szCs w:val="20"/>
                <w:lang w:val="en-CA" w:eastAsia="en-CA"/>
              </w:rPr>
            </w:pPr>
            <w:r w:rsidRPr="00434534">
              <w:rPr>
                <w:rFonts w:ascii="Calibri" w:hAnsi="Calibri" w:cs="Calibri"/>
                <w:b/>
                <w:bCs/>
                <w:szCs w:val="20"/>
                <w:lang w:val="en-CA" w:eastAsia="en-CA"/>
              </w:rPr>
              <w:t xml:space="preserve">  76,143,709 </w:t>
            </w:r>
          </w:p>
        </w:tc>
        <w:tc>
          <w:tcPr>
            <w:tcW w:w="1417" w:type="dxa"/>
            <w:tcBorders>
              <w:top w:val="nil"/>
              <w:left w:val="nil"/>
              <w:bottom w:val="single" w:sz="8" w:space="0" w:color="auto"/>
              <w:right w:val="nil"/>
            </w:tcBorders>
            <w:shd w:val="clear" w:color="auto" w:fill="auto"/>
            <w:noWrap/>
            <w:vAlign w:val="center"/>
            <w:hideMark/>
          </w:tcPr>
          <w:p w14:paraId="78337028" w14:textId="0DF70F0B" w:rsidR="00434534" w:rsidRPr="00434534" w:rsidRDefault="00434534" w:rsidP="00434534">
            <w:pPr>
              <w:jc w:val="right"/>
              <w:rPr>
                <w:rFonts w:ascii="Calibri" w:hAnsi="Calibri" w:cs="Calibri"/>
                <w:szCs w:val="20"/>
                <w:lang w:val="en-CA" w:eastAsia="en-CA"/>
              </w:rPr>
            </w:pPr>
            <w:r w:rsidRPr="00434534">
              <w:rPr>
                <w:rFonts w:ascii="Calibri" w:hAnsi="Calibri" w:cs="Calibri"/>
                <w:szCs w:val="20"/>
                <w:lang w:val="en-CA" w:eastAsia="en-CA"/>
              </w:rPr>
              <w:t xml:space="preserve">  67,922,249 </w:t>
            </w:r>
          </w:p>
        </w:tc>
      </w:tr>
      <w:tr w:rsidR="00434534" w:rsidRPr="00434534" w14:paraId="3123484E" w14:textId="77777777" w:rsidTr="00572608">
        <w:trPr>
          <w:trHeight w:val="288"/>
          <w:jc w:val="center"/>
        </w:trPr>
        <w:tc>
          <w:tcPr>
            <w:tcW w:w="4253" w:type="dxa"/>
            <w:tcBorders>
              <w:top w:val="single" w:sz="8" w:space="0" w:color="auto"/>
              <w:left w:val="nil"/>
              <w:bottom w:val="single" w:sz="12" w:space="0" w:color="auto"/>
              <w:right w:val="nil"/>
            </w:tcBorders>
            <w:shd w:val="clear" w:color="auto" w:fill="auto"/>
            <w:noWrap/>
            <w:vAlign w:val="center"/>
            <w:hideMark/>
          </w:tcPr>
          <w:p w14:paraId="2D7CEC8B" w14:textId="77777777" w:rsidR="00434534" w:rsidRPr="00434534" w:rsidRDefault="00434534" w:rsidP="00434534">
            <w:pPr>
              <w:rPr>
                <w:rFonts w:ascii="Calibri" w:hAnsi="Calibri" w:cs="Calibri"/>
                <w:b/>
                <w:bCs/>
                <w:color w:val="000000"/>
                <w:szCs w:val="20"/>
                <w:lang w:val="en-CA" w:eastAsia="en-CA"/>
              </w:rPr>
            </w:pPr>
            <w:r w:rsidRPr="00434534">
              <w:rPr>
                <w:rFonts w:ascii="Calibri" w:hAnsi="Calibri" w:cs="Calibri"/>
                <w:b/>
                <w:bCs/>
                <w:color w:val="000000"/>
                <w:szCs w:val="20"/>
                <w:lang w:val="en-CA" w:eastAsia="en-CA"/>
              </w:rPr>
              <w:t>Basic and diluted loss per share</w:t>
            </w:r>
          </w:p>
        </w:tc>
        <w:tc>
          <w:tcPr>
            <w:tcW w:w="1581" w:type="dxa"/>
            <w:tcBorders>
              <w:top w:val="single" w:sz="8" w:space="0" w:color="auto"/>
              <w:left w:val="nil"/>
              <w:bottom w:val="single" w:sz="12" w:space="0" w:color="auto"/>
              <w:right w:val="nil"/>
            </w:tcBorders>
            <w:shd w:val="clear" w:color="auto" w:fill="auto"/>
            <w:noWrap/>
            <w:vAlign w:val="center"/>
            <w:hideMark/>
          </w:tcPr>
          <w:p w14:paraId="2C8B6804" w14:textId="77777777" w:rsidR="00434534" w:rsidRPr="00434534" w:rsidRDefault="00434534" w:rsidP="00434534">
            <w:pPr>
              <w:jc w:val="center"/>
              <w:rPr>
                <w:rFonts w:ascii="Calibri" w:hAnsi="Calibri" w:cs="Calibri"/>
                <w:color w:val="000000"/>
                <w:szCs w:val="20"/>
                <w:lang w:val="en-CA" w:eastAsia="en-CA"/>
              </w:rPr>
            </w:pPr>
            <w:r w:rsidRPr="00434534">
              <w:rPr>
                <w:rFonts w:ascii="Calibri" w:hAnsi="Calibri" w:cs="Calibri"/>
                <w:color w:val="000000"/>
                <w:szCs w:val="20"/>
                <w:lang w:val="en-CA" w:eastAsia="en-CA"/>
              </w:rPr>
              <w:t> </w:t>
            </w:r>
          </w:p>
        </w:tc>
        <w:tc>
          <w:tcPr>
            <w:tcW w:w="1577" w:type="dxa"/>
            <w:tcBorders>
              <w:top w:val="single" w:sz="8" w:space="0" w:color="auto"/>
              <w:left w:val="nil"/>
              <w:bottom w:val="single" w:sz="12" w:space="0" w:color="auto"/>
              <w:right w:val="nil"/>
            </w:tcBorders>
            <w:shd w:val="clear" w:color="auto" w:fill="auto"/>
            <w:noWrap/>
            <w:vAlign w:val="center"/>
            <w:hideMark/>
          </w:tcPr>
          <w:p w14:paraId="7B221AEB" w14:textId="7ADAE48E" w:rsidR="00434534" w:rsidRPr="00434534" w:rsidRDefault="00434534" w:rsidP="004A3946">
            <w:pPr>
              <w:ind w:right="-62"/>
              <w:jc w:val="right"/>
              <w:rPr>
                <w:rFonts w:ascii="Calibri" w:hAnsi="Calibri" w:cs="Calibri"/>
                <w:b/>
                <w:bCs/>
                <w:szCs w:val="20"/>
                <w:lang w:val="en-CA" w:eastAsia="en-CA"/>
              </w:rPr>
            </w:pPr>
            <w:r w:rsidRPr="00434534">
              <w:rPr>
                <w:rFonts w:ascii="Calibri" w:hAnsi="Calibri" w:cs="Calibri"/>
                <w:b/>
                <w:bCs/>
                <w:szCs w:val="20"/>
                <w:lang w:val="en-CA" w:eastAsia="en-CA"/>
              </w:rPr>
              <w:t xml:space="preserve">    </w:t>
            </w:r>
            <w:r w:rsidR="0031318B">
              <w:rPr>
                <w:rFonts w:ascii="Calibri" w:hAnsi="Calibri" w:cs="Calibri"/>
                <w:b/>
                <w:bCs/>
                <w:szCs w:val="20"/>
                <w:lang w:val="en-CA" w:eastAsia="en-CA"/>
              </w:rPr>
              <w:t>$</w:t>
            </w:r>
            <w:r w:rsidRPr="00434534">
              <w:rPr>
                <w:rFonts w:ascii="Calibri" w:hAnsi="Calibri" w:cs="Calibri"/>
                <w:b/>
                <w:bCs/>
                <w:szCs w:val="20"/>
                <w:lang w:val="en-CA" w:eastAsia="en-CA"/>
              </w:rPr>
              <w:t xml:space="preserve"> (0.01)</w:t>
            </w:r>
          </w:p>
        </w:tc>
        <w:tc>
          <w:tcPr>
            <w:tcW w:w="1418" w:type="dxa"/>
            <w:tcBorders>
              <w:top w:val="single" w:sz="8" w:space="0" w:color="auto"/>
              <w:left w:val="nil"/>
              <w:bottom w:val="single" w:sz="12" w:space="0" w:color="auto"/>
              <w:right w:val="nil"/>
            </w:tcBorders>
            <w:shd w:val="clear" w:color="auto" w:fill="auto"/>
            <w:noWrap/>
            <w:vAlign w:val="center"/>
            <w:hideMark/>
          </w:tcPr>
          <w:p w14:paraId="666FB5C9" w14:textId="150EFBB4" w:rsidR="00434534" w:rsidRPr="00434534" w:rsidRDefault="00434534" w:rsidP="004A3946">
            <w:pPr>
              <w:ind w:right="-62"/>
              <w:jc w:val="right"/>
              <w:rPr>
                <w:rFonts w:ascii="Calibri" w:hAnsi="Calibri" w:cs="Calibri"/>
                <w:szCs w:val="20"/>
                <w:lang w:val="en-CA" w:eastAsia="en-CA"/>
              </w:rPr>
            </w:pPr>
            <w:r w:rsidRPr="00434534">
              <w:rPr>
                <w:rFonts w:ascii="Calibri" w:hAnsi="Calibri" w:cs="Calibri"/>
                <w:szCs w:val="20"/>
                <w:lang w:val="en-CA" w:eastAsia="en-CA"/>
              </w:rPr>
              <w:t xml:space="preserve">     </w:t>
            </w:r>
            <w:r w:rsidR="0031318B">
              <w:rPr>
                <w:rFonts w:ascii="Calibri" w:hAnsi="Calibri" w:cs="Calibri"/>
                <w:szCs w:val="20"/>
                <w:lang w:val="en-CA" w:eastAsia="en-CA"/>
              </w:rPr>
              <w:t>$</w:t>
            </w:r>
            <w:r w:rsidRPr="00434534">
              <w:rPr>
                <w:rFonts w:ascii="Calibri" w:hAnsi="Calibri" w:cs="Calibri"/>
                <w:szCs w:val="20"/>
                <w:lang w:val="en-CA" w:eastAsia="en-CA"/>
              </w:rPr>
              <w:t xml:space="preserve"> (0.01)</w:t>
            </w:r>
          </w:p>
        </w:tc>
        <w:tc>
          <w:tcPr>
            <w:tcW w:w="1377" w:type="dxa"/>
            <w:tcBorders>
              <w:top w:val="single" w:sz="8" w:space="0" w:color="auto"/>
              <w:left w:val="nil"/>
              <w:bottom w:val="single" w:sz="12" w:space="0" w:color="auto"/>
              <w:right w:val="nil"/>
            </w:tcBorders>
            <w:shd w:val="clear" w:color="auto" w:fill="auto"/>
            <w:noWrap/>
            <w:vAlign w:val="center"/>
            <w:hideMark/>
          </w:tcPr>
          <w:p w14:paraId="669DC924" w14:textId="69A3E677" w:rsidR="00434534" w:rsidRPr="00434534" w:rsidRDefault="008A4E80" w:rsidP="004A3946">
            <w:pPr>
              <w:ind w:right="-62"/>
              <w:jc w:val="right"/>
              <w:rPr>
                <w:rFonts w:ascii="Calibri" w:hAnsi="Calibri" w:cs="Calibri"/>
                <w:b/>
                <w:bCs/>
                <w:szCs w:val="20"/>
                <w:lang w:val="en-CA" w:eastAsia="en-CA"/>
              </w:rPr>
            </w:pPr>
            <w:r>
              <w:rPr>
                <w:rFonts w:ascii="Calibri" w:hAnsi="Calibri" w:cs="Calibri"/>
                <w:b/>
                <w:bCs/>
                <w:szCs w:val="20"/>
                <w:lang w:val="en-CA" w:eastAsia="en-CA"/>
              </w:rPr>
              <w:t>$</w:t>
            </w:r>
            <w:r w:rsidR="00434534" w:rsidRPr="00434534">
              <w:rPr>
                <w:rFonts w:ascii="Calibri" w:hAnsi="Calibri" w:cs="Calibri"/>
                <w:b/>
                <w:bCs/>
                <w:szCs w:val="20"/>
                <w:lang w:val="en-CA" w:eastAsia="en-CA"/>
              </w:rPr>
              <w:t xml:space="preserve"> (0.03)</w:t>
            </w:r>
          </w:p>
        </w:tc>
        <w:tc>
          <w:tcPr>
            <w:tcW w:w="1417" w:type="dxa"/>
            <w:tcBorders>
              <w:top w:val="single" w:sz="8" w:space="0" w:color="auto"/>
              <w:left w:val="nil"/>
              <w:bottom w:val="single" w:sz="12" w:space="0" w:color="auto"/>
              <w:right w:val="nil"/>
            </w:tcBorders>
            <w:shd w:val="clear" w:color="auto" w:fill="auto"/>
            <w:noWrap/>
            <w:vAlign w:val="center"/>
            <w:hideMark/>
          </w:tcPr>
          <w:p w14:paraId="4E3A6436" w14:textId="34162FCF" w:rsidR="00434534" w:rsidRPr="00434534" w:rsidRDefault="008A4E80" w:rsidP="004A3946">
            <w:pPr>
              <w:ind w:right="-62"/>
              <w:jc w:val="right"/>
              <w:rPr>
                <w:rFonts w:ascii="Calibri" w:hAnsi="Calibri" w:cs="Calibri"/>
                <w:szCs w:val="20"/>
                <w:lang w:val="en-CA" w:eastAsia="en-CA"/>
              </w:rPr>
            </w:pPr>
            <w:r>
              <w:rPr>
                <w:rFonts w:ascii="Calibri" w:hAnsi="Calibri" w:cs="Calibri"/>
                <w:szCs w:val="20"/>
                <w:lang w:val="en-CA" w:eastAsia="en-CA"/>
              </w:rPr>
              <w:t>$</w:t>
            </w:r>
            <w:r w:rsidR="00434534" w:rsidRPr="00434534">
              <w:rPr>
                <w:rFonts w:ascii="Calibri" w:hAnsi="Calibri" w:cs="Calibri"/>
                <w:szCs w:val="20"/>
                <w:lang w:val="en-CA" w:eastAsia="en-CA"/>
              </w:rPr>
              <w:t xml:space="preserve"> (0.03)</w:t>
            </w:r>
          </w:p>
        </w:tc>
      </w:tr>
    </w:tbl>
    <w:p w14:paraId="694D47AF" w14:textId="47982CC1" w:rsidR="000B5BA7" w:rsidRPr="00FC2211" w:rsidRDefault="000B5BA7" w:rsidP="00075FA9">
      <w:pPr>
        <w:jc w:val="center"/>
        <w:rPr>
          <w:rFonts w:cstheme="minorHAnsi"/>
          <w:szCs w:val="20"/>
        </w:rPr>
      </w:pPr>
    </w:p>
    <w:p w14:paraId="6CB4DDD0" w14:textId="77777777" w:rsidR="0035128F" w:rsidRPr="00FC2211" w:rsidRDefault="0035128F" w:rsidP="0035128F">
      <w:pPr>
        <w:jc w:val="center"/>
        <w:rPr>
          <w:rFonts w:cstheme="minorHAnsi"/>
          <w:szCs w:val="20"/>
        </w:rPr>
      </w:pPr>
      <w:r w:rsidRPr="00FC2211">
        <w:rPr>
          <w:rFonts w:cstheme="minorHAnsi"/>
          <w:szCs w:val="20"/>
        </w:rPr>
        <w:t>The accompanying notes are an integral part of these unaudited interim condensed consolidated financial statements.</w:t>
      </w:r>
    </w:p>
    <w:p w14:paraId="71AE70F1" w14:textId="77777777" w:rsidR="0035128F" w:rsidRPr="00FC2211" w:rsidRDefault="0035128F" w:rsidP="0035128F">
      <w:pPr>
        <w:jc w:val="center"/>
        <w:rPr>
          <w:rFonts w:cstheme="minorHAnsi"/>
          <w:szCs w:val="20"/>
        </w:rPr>
      </w:pPr>
    </w:p>
    <w:p w14:paraId="54C3E11C" w14:textId="35753667" w:rsidR="000B5BA7" w:rsidRPr="00FC2211" w:rsidRDefault="00537F43" w:rsidP="00075FA9">
      <w:pPr>
        <w:jc w:val="center"/>
        <w:rPr>
          <w:rFonts w:cstheme="minorHAnsi"/>
          <w:szCs w:val="20"/>
        </w:rPr>
        <w:sectPr w:rsidR="000B5BA7" w:rsidRPr="00FC2211" w:rsidSect="00A71F06">
          <w:headerReference w:type="default" r:id="rId22"/>
          <w:pgSz w:w="16838" w:h="11906" w:orient="landscape" w:code="9"/>
          <w:pgMar w:top="907" w:right="1440" w:bottom="1440" w:left="1440" w:header="720" w:footer="1021" w:gutter="0"/>
          <w:cols w:space="720"/>
          <w:docGrid w:linePitch="360"/>
        </w:sectPr>
      </w:pPr>
      <w:r w:rsidRPr="00FC2211">
        <w:rPr>
          <w:rFonts w:cstheme="minorHAnsi"/>
          <w:szCs w:val="20"/>
        </w:rPr>
        <w:t>.</w:t>
      </w:r>
    </w:p>
    <w:tbl>
      <w:tblPr>
        <w:tblW w:w="13325" w:type="dxa"/>
        <w:jc w:val="center"/>
        <w:tblLook w:val="04A0" w:firstRow="1" w:lastRow="0" w:firstColumn="1" w:lastColumn="0" w:noHBand="0" w:noVBand="1"/>
      </w:tblPr>
      <w:tblGrid>
        <w:gridCol w:w="3828"/>
        <w:gridCol w:w="1275"/>
        <w:gridCol w:w="1701"/>
        <w:gridCol w:w="1603"/>
        <w:gridCol w:w="1516"/>
        <w:gridCol w:w="1524"/>
        <w:gridCol w:w="1878"/>
      </w:tblGrid>
      <w:tr w:rsidR="00FF5198" w:rsidRPr="00FF5198" w14:paraId="6C52994B" w14:textId="77777777" w:rsidTr="002174E1">
        <w:trPr>
          <w:trHeight w:val="564"/>
          <w:jc w:val="center"/>
        </w:trPr>
        <w:tc>
          <w:tcPr>
            <w:tcW w:w="3828" w:type="dxa"/>
            <w:tcBorders>
              <w:top w:val="single" w:sz="12" w:space="0" w:color="auto"/>
              <w:left w:val="nil"/>
              <w:bottom w:val="single" w:sz="8" w:space="0" w:color="auto"/>
              <w:right w:val="nil"/>
            </w:tcBorders>
            <w:shd w:val="clear" w:color="auto" w:fill="auto"/>
            <w:noWrap/>
            <w:vAlign w:val="center"/>
            <w:hideMark/>
          </w:tcPr>
          <w:p w14:paraId="54CC3C01" w14:textId="77777777" w:rsidR="00FF5198" w:rsidRPr="00FF5198" w:rsidRDefault="00FF5198" w:rsidP="00FF5198">
            <w:pPr>
              <w:rPr>
                <w:rFonts w:ascii="Times New Roman" w:hAnsi="Times New Roman"/>
                <w:sz w:val="24"/>
                <w:szCs w:val="20"/>
                <w:lang w:val="en-CA" w:eastAsia="en-CA"/>
              </w:rPr>
            </w:pPr>
          </w:p>
        </w:tc>
        <w:tc>
          <w:tcPr>
            <w:tcW w:w="1275" w:type="dxa"/>
            <w:tcBorders>
              <w:top w:val="single" w:sz="12" w:space="0" w:color="auto"/>
              <w:left w:val="nil"/>
              <w:bottom w:val="single" w:sz="8" w:space="0" w:color="auto"/>
              <w:right w:val="nil"/>
            </w:tcBorders>
            <w:shd w:val="clear" w:color="auto" w:fill="auto"/>
            <w:noWrap/>
            <w:vAlign w:val="center"/>
            <w:hideMark/>
          </w:tcPr>
          <w:p w14:paraId="3A26DBB7" w14:textId="77777777" w:rsidR="00FF5198" w:rsidRPr="00FF5198" w:rsidRDefault="00FF5198" w:rsidP="00FF5198">
            <w:pPr>
              <w:jc w:val="center"/>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Notes </w:t>
            </w:r>
          </w:p>
        </w:tc>
        <w:tc>
          <w:tcPr>
            <w:tcW w:w="1701" w:type="dxa"/>
            <w:tcBorders>
              <w:top w:val="single" w:sz="12" w:space="0" w:color="auto"/>
              <w:left w:val="nil"/>
              <w:bottom w:val="single" w:sz="8" w:space="0" w:color="auto"/>
              <w:right w:val="nil"/>
            </w:tcBorders>
            <w:shd w:val="clear" w:color="auto" w:fill="auto"/>
            <w:vAlign w:val="center"/>
            <w:hideMark/>
          </w:tcPr>
          <w:p w14:paraId="7FC7BDCA" w14:textId="77777777" w:rsidR="00FF5198" w:rsidRPr="00FF5198" w:rsidRDefault="00FF5198" w:rsidP="00FF5198">
            <w:pPr>
              <w:jc w:val="center"/>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Number of shares </w:t>
            </w:r>
          </w:p>
        </w:tc>
        <w:tc>
          <w:tcPr>
            <w:tcW w:w="1603" w:type="dxa"/>
            <w:tcBorders>
              <w:top w:val="single" w:sz="12" w:space="0" w:color="auto"/>
              <w:left w:val="nil"/>
              <w:bottom w:val="single" w:sz="8" w:space="0" w:color="auto"/>
              <w:right w:val="nil"/>
            </w:tcBorders>
            <w:shd w:val="clear" w:color="auto" w:fill="auto"/>
            <w:noWrap/>
            <w:vAlign w:val="center"/>
            <w:hideMark/>
          </w:tcPr>
          <w:p w14:paraId="2CC8E512" w14:textId="77777777" w:rsidR="00FF5198" w:rsidRPr="00FF5198" w:rsidRDefault="00FF5198" w:rsidP="00FF5198">
            <w:pPr>
              <w:jc w:val="center"/>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Amount </w:t>
            </w:r>
          </w:p>
        </w:tc>
        <w:tc>
          <w:tcPr>
            <w:tcW w:w="1516" w:type="dxa"/>
            <w:tcBorders>
              <w:top w:val="single" w:sz="12" w:space="0" w:color="auto"/>
              <w:left w:val="nil"/>
              <w:bottom w:val="single" w:sz="8" w:space="0" w:color="auto"/>
              <w:right w:val="nil"/>
            </w:tcBorders>
            <w:shd w:val="clear" w:color="auto" w:fill="auto"/>
            <w:noWrap/>
            <w:vAlign w:val="center"/>
            <w:hideMark/>
          </w:tcPr>
          <w:p w14:paraId="3208B297" w14:textId="77777777" w:rsidR="00FF5198" w:rsidRPr="00FF5198" w:rsidRDefault="00FF5198" w:rsidP="00FF5198">
            <w:pPr>
              <w:jc w:val="center"/>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Reserves </w:t>
            </w:r>
          </w:p>
        </w:tc>
        <w:tc>
          <w:tcPr>
            <w:tcW w:w="1524" w:type="dxa"/>
            <w:tcBorders>
              <w:top w:val="single" w:sz="12" w:space="0" w:color="auto"/>
              <w:left w:val="nil"/>
              <w:bottom w:val="single" w:sz="8" w:space="0" w:color="auto"/>
              <w:right w:val="nil"/>
            </w:tcBorders>
            <w:shd w:val="clear" w:color="auto" w:fill="auto"/>
            <w:noWrap/>
            <w:vAlign w:val="center"/>
            <w:hideMark/>
          </w:tcPr>
          <w:p w14:paraId="12B81689" w14:textId="77777777" w:rsidR="00FF5198" w:rsidRPr="00FF5198" w:rsidRDefault="00FF5198" w:rsidP="00FF5198">
            <w:pPr>
              <w:jc w:val="center"/>
              <w:rPr>
                <w:rFonts w:ascii="Calibri" w:hAnsi="Calibri" w:cs="Calibri"/>
                <w:b/>
                <w:bCs/>
                <w:color w:val="000000"/>
                <w:szCs w:val="20"/>
                <w:lang w:val="en-CA" w:eastAsia="en-CA"/>
              </w:rPr>
            </w:pPr>
            <w:r w:rsidRPr="00FF5198">
              <w:rPr>
                <w:rFonts w:ascii="Calibri" w:hAnsi="Calibri" w:cs="Calibri"/>
                <w:b/>
                <w:bCs/>
                <w:color w:val="000000"/>
                <w:szCs w:val="20"/>
                <w:lang w:val="en-CA" w:eastAsia="en-CA"/>
              </w:rPr>
              <w:t>Deficit</w:t>
            </w:r>
          </w:p>
        </w:tc>
        <w:tc>
          <w:tcPr>
            <w:tcW w:w="1878" w:type="dxa"/>
            <w:tcBorders>
              <w:top w:val="single" w:sz="12" w:space="0" w:color="auto"/>
              <w:left w:val="nil"/>
              <w:bottom w:val="single" w:sz="8" w:space="0" w:color="auto"/>
              <w:right w:val="nil"/>
            </w:tcBorders>
            <w:shd w:val="clear" w:color="auto" w:fill="auto"/>
            <w:vAlign w:val="center"/>
            <w:hideMark/>
          </w:tcPr>
          <w:p w14:paraId="3B454AC7" w14:textId="77777777" w:rsidR="00FF5198" w:rsidRPr="00FF5198" w:rsidRDefault="00FF5198" w:rsidP="00FF5198">
            <w:pPr>
              <w:jc w:val="center"/>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Total Shareholders' Equity </w:t>
            </w:r>
          </w:p>
        </w:tc>
      </w:tr>
      <w:tr w:rsidR="00FF5198" w:rsidRPr="00FF5198" w14:paraId="66DB57FC" w14:textId="77777777" w:rsidTr="002174E1">
        <w:trPr>
          <w:trHeight w:val="288"/>
          <w:jc w:val="center"/>
        </w:trPr>
        <w:tc>
          <w:tcPr>
            <w:tcW w:w="3828" w:type="dxa"/>
            <w:tcBorders>
              <w:top w:val="single" w:sz="8" w:space="0" w:color="auto"/>
              <w:left w:val="nil"/>
              <w:bottom w:val="single" w:sz="8" w:space="0" w:color="auto"/>
              <w:right w:val="nil"/>
            </w:tcBorders>
            <w:shd w:val="clear" w:color="auto" w:fill="auto"/>
            <w:noWrap/>
            <w:vAlign w:val="center"/>
            <w:hideMark/>
          </w:tcPr>
          <w:p w14:paraId="37CFCCC1"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Balance, June 30,  2022 </w:t>
            </w:r>
          </w:p>
        </w:tc>
        <w:tc>
          <w:tcPr>
            <w:tcW w:w="1275" w:type="dxa"/>
            <w:tcBorders>
              <w:top w:val="single" w:sz="8" w:space="0" w:color="auto"/>
              <w:left w:val="nil"/>
              <w:bottom w:val="single" w:sz="8" w:space="0" w:color="auto"/>
              <w:right w:val="nil"/>
            </w:tcBorders>
            <w:shd w:val="clear" w:color="auto" w:fill="auto"/>
            <w:noWrap/>
            <w:vAlign w:val="center"/>
            <w:hideMark/>
          </w:tcPr>
          <w:p w14:paraId="39EEE15B" w14:textId="77777777" w:rsidR="00FF5198" w:rsidRPr="00FF5198" w:rsidRDefault="00FF5198" w:rsidP="00FF5198">
            <w:pPr>
              <w:jc w:val="center"/>
              <w:rPr>
                <w:rFonts w:ascii="Calibri" w:hAnsi="Calibri" w:cs="Calibri"/>
                <w:i/>
                <w:iCs/>
                <w:color w:val="000000"/>
                <w:szCs w:val="20"/>
                <w:lang w:val="en-CA" w:eastAsia="en-CA"/>
              </w:rPr>
            </w:pPr>
            <w:r w:rsidRPr="00FF5198">
              <w:rPr>
                <w:rFonts w:ascii="Calibri" w:hAnsi="Calibri" w:cs="Calibri"/>
                <w:i/>
                <w:iCs/>
                <w:color w:val="000000"/>
                <w:szCs w:val="20"/>
                <w:lang w:val="en-CA" w:eastAsia="en-CA"/>
              </w:rPr>
              <w:t> </w:t>
            </w:r>
          </w:p>
        </w:tc>
        <w:tc>
          <w:tcPr>
            <w:tcW w:w="1701" w:type="dxa"/>
            <w:tcBorders>
              <w:top w:val="single" w:sz="8" w:space="0" w:color="auto"/>
              <w:left w:val="nil"/>
              <w:bottom w:val="single" w:sz="8" w:space="0" w:color="auto"/>
              <w:right w:val="nil"/>
            </w:tcBorders>
            <w:shd w:val="clear" w:color="auto" w:fill="auto"/>
            <w:noWrap/>
            <w:vAlign w:val="center"/>
            <w:hideMark/>
          </w:tcPr>
          <w:p w14:paraId="1C482059" w14:textId="1A626DB6"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60,190,138 </w:t>
            </w:r>
          </w:p>
        </w:tc>
        <w:tc>
          <w:tcPr>
            <w:tcW w:w="1603" w:type="dxa"/>
            <w:tcBorders>
              <w:top w:val="single" w:sz="8" w:space="0" w:color="auto"/>
              <w:left w:val="nil"/>
              <w:bottom w:val="single" w:sz="8" w:space="0" w:color="auto"/>
              <w:right w:val="nil"/>
            </w:tcBorders>
            <w:shd w:val="clear" w:color="auto" w:fill="auto"/>
            <w:noWrap/>
            <w:vAlign w:val="center"/>
            <w:hideMark/>
          </w:tcPr>
          <w:p w14:paraId="160DCA54"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$ 13,535,082 </w:t>
            </w:r>
          </w:p>
        </w:tc>
        <w:tc>
          <w:tcPr>
            <w:tcW w:w="1516" w:type="dxa"/>
            <w:tcBorders>
              <w:top w:val="single" w:sz="8" w:space="0" w:color="auto"/>
              <w:left w:val="nil"/>
              <w:bottom w:val="single" w:sz="8" w:space="0" w:color="auto"/>
              <w:right w:val="nil"/>
            </w:tcBorders>
            <w:shd w:val="clear" w:color="auto" w:fill="auto"/>
            <w:noWrap/>
            <w:vAlign w:val="center"/>
            <w:hideMark/>
          </w:tcPr>
          <w:p w14:paraId="2A17C3BF" w14:textId="2B8E7E94"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$ 727,115 </w:t>
            </w:r>
          </w:p>
        </w:tc>
        <w:tc>
          <w:tcPr>
            <w:tcW w:w="1524" w:type="dxa"/>
            <w:tcBorders>
              <w:top w:val="single" w:sz="8" w:space="0" w:color="auto"/>
              <w:left w:val="nil"/>
              <w:bottom w:val="single" w:sz="8" w:space="0" w:color="auto"/>
              <w:right w:val="nil"/>
            </w:tcBorders>
            <w:shd w:val="clear" w:color="auto" w:fill="auto"/>
            <w:noWrap/>
            <w:vAlign w:val="center"/>
            <w:hideMark/>
          </w:tcPr>
          <w:p w14:paraId="6CBD37F2" w14:textId="21112CD6" w:rsidR="00FF5198" w:rsidRPr="00FF5198" w:rsidRDefault="00FF5198" w:rsidP="00D53FCF">
            <w:pPr>
              <w:ind w:right="-62"/>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w:t>
            </w:r>
            <w:r w:rsidR="008131C8">
              <w:rPr>
                <w:rFonts w:ascii="Calibri" w:hAnsi="Calibri" w:cs="Calibri"/>
                <w:color w:val="000000"/>
                <w:szCs w:val="20"/>
                <w:lang w:val="en-CA" w:eastAsia="en-CA"/>
              </w:rPr>
              <w:t xml:space="preserve"> </w:t>
            </w:r>
            <w:r w:rsidRPr="00FF5198">
              <w:rPr>
                <w:rFonts w:ascii="Calibri" w:hAnsi="Calibri" w:cs="Calibri"/>
                <w:color w:val="000000"/>
                <w:szCs w:val="20"/>
                <w:lang w:val="en-CA" w:eastAsia="en-CA"/>
              </w:rPr>
              <w:t>(11,913,836)</w:t>
            </w:r>
          </w:p>
        </w:tc>
        <w:tc>
          <w:tcPr>
            <w:tcW w:w="1878" w:type="dxa"/>
            <w:tcBorders>
              <w:top w:val="single" w:sz="8" w:space="0" w:color="auto"/>
              <w:left w:val="nil"/>
              <w:bottom w:val="single" w:sz="8" w:space="0" w:color="auto"/>
              <w:right w:val="nil"/>
            </w:tcBorders>
            <w:shd w:val="clear" w:color="auto" w:fill="auto"/>
            <w:noWrap/>
            <w:vAlign w:val="center"/>
            <w:hideMark/>
          </w:tcPr>
          <w:p w14:paraId="32183CA5" w14:textId="149AAAEA"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$ 2,348,361 </w:t>
            </w:r>
          </w:p>
        </w:tc>
      </w:tr>
      <w:tr w:rsidR="00FF5198" w:rsidRPr="00FF5198" w14:paraId="559D663B" w14:textId="77777777" w:rsidTr="006902CF">
        <w:trPr>
          <w:trHeight w:val="276"/>
          <w:jc w:val="center"/>
        </w:trPr>
        <w:tc>
          <w:tcPr>
            <w:tcW w:w="3828" w:type="dxa"/>
            <w:tcBorders>
              <w:top w:val="nil"/>
              <w:left w:val="nil"/>
              <w:bottom w:val="nil"/>
              <w:right w:val="nil"/>
            </w:tcBorders>
            <w:shd w:val="clear" w:color="auto" w:fill="auto"/>
            <w:noWrap/>
            <w:vAlign w:val="center"/>
            <w:hideMark/>
          </w:tcPr>
          <w:p w14:paraId="07CB5AC8"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Share issuance during the year</w:t>
            </w:r>
          </w:p>
        </w:tc>
        <w:tc>
          <w:tcPr>
            <w:tcW w:w="1275" w:type="dxa"/>
            <w:tcBorders>
              <w:top w:val="nil"/>
              <w:left w:val="nil"/>
              <w:bottom w:val="nil"/>
              <w:right w:val="nil"/>
            </w:tcBorders>
            <w:shd w:val="clear" w:color="auto" w:fill="auto"/>
            <w:noWrap/>
            <w:vAlign w:val="center"/>
            <w:hideMark/>
          </w:tcPr>
          <w:p w14:paraId="1F666447" w14:textId="77777777" w:rsidR="00FF5198" w:rsidRPr="00FF5198" w:rsidRDefault="00FF5198" w:rsidP="00FF5198">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3621C56B" w14:textId="77777777" w:rsidR="00FF5198" w:rsidRPr="00FF5198" w:rsidRDefault="00FF5198" w:rsidP="008131C8">
            <w:pPr>
              <w:jc w:val="right"/>
              <w:rPr>
                <w:rFonts w:ascii="Times New Roman" w:hAnsi="Times New Roman"/>
                <w:szCs w:val="20"/>
                <w:lang w:val="en-CA" w:eastAsia="en-CA"/>
              </w:rPr>
            </w:pPr>
          </w:p>
        </w:tc>
        <w:tc>
          <w:tcPr>
            <w:tcW w:w="1603" w:type="dxa"/>
            <w:tcBorders>
              <w:top w:val="nil"/>
              <w:left w:val="nil"/>
              <w:bottom w:val="nil"/>
              <w:right w:val="nil"/>
            </w:tcBorders>
            <w:shd w:val="clear" w:color="auto" w:fill="auto"/>
            <w:noWrap/>
            <w:vAlign w:val="center"/>
            <w:hideMark/>
          </w:tcPr>
          <w:p w14:paraId="489F7A9A" w14:textId="77777777" w:rsidR="00FF5198" w:rsidRPr="00FF5198" w:rsidRDefault="00FF5198" w:rsidP="008131C8">
            <w:pPr>
              <w:jc w:val="right"/>
              <w:rPr>
                <w:rFonts w:ascii="Times New Roman" w:hAnsi="Times New Roman"/>
                <w:szCs w:val="20"/>
                <w:lang w:val="en-CA" w:eastAsia="en-CA"/>
              </w:rPr>
            </w:pPr>
          </w:p>
        </w:tc>
        <w:tc>
          <w:tcPr>
            <w:tcW w:w="1516" w:type="dxa"/>
            <w:tcBorders>
              <w:top w:val="nil"/>
              <w:left w:val="nil"/>
              <w:bottom w:val="nil"/>
              <w:right w:val="nil"/>
            </w:tcBorders>
            <w:shd w:val="clear" w:color="auto" w:fill="auto"/>
            <w:noWrap/>
            <w:vAlign w:val="center"/>
            <w:hideMark/>
          </w:tcPr>
          <w:p w14:paraId="292F52E5" w14:textId="77777777" w:rsidR="00FF5198" w:rsidRPr="00FF5198" w:rsidRDefault="00FF5198" w:rsidP="008131C8">
            <w:pPr>
              <w:jc w:val="right"/>
              <w:rPr>
                <w:rFonts w:ascii="Times New Roman" w:hAnsi="Times New Roman"/>
                <w:szCs w:val="20"/>
                <w:lang w:val="en-CA" w:eastAsia="en-CA"/>
              </w:rPr>
            </w:pPr>
          </w:p>
        </w:tc>
        <w:tc>
          <w:tcPr>
            <w:tcW w:w="1524" w:type="dxa"/>
            <w:tcBorders>
              <w:top w:val="nil"/>
              <w:left w:val="nil"/>
              <w:bottom w:val="nil"/>
              <w:right w:val="nil"/>
            </w:tcBorders>
            <w:shd w:val="clear" w:color="auto" w:fill="auto"/>
            <w:noWrap/>
            <w:vAlign w:val="center"/>
            <w:hideMark/>
          </w:tcPr>
          <w:p w14:paraId="178BD2B7" w14:textId="77777777" w:rsidR="00FF5198" w:rsidRPr="00FF5198" w:rsidRDefault="00FF5198" w:rsidP="008131C8">
            <w:pPr>
              <w:jc w:val="right"/>
              <w:rPr>
                <w:rFonts w:ascii="Times New Roman" w:hAnsi="Times New Roman"/>
                <w:szCs w:val="20"/>
                <w:lang w:val="en-CA" w:eastAsia="en-CA"/>
              </w:rPr>
            </w:pPr>
          </w:p>
        </w:tc>
        <w:tc>
          <w:tcPr>
            <w:tcW w:w="1878" w:type="dxa"/>
            <w:tcBorders>
              <w:top w:val="nil"/>
              <w:left w:val="nil"/>
              <w:bottom w:val="nil"/>
              <w:right w:val="nil"/>
            </w:tcBorders>
            <w:shd w:val="clear" w:color="auto" w:fill="auto"/>
            <w:noWrap/>
            <w:vAlign w:val="center"/>
            <w:hideMark/>
          </w:tcPr>
          <w:p w14:paraId="6A1F80CF" w14:textId="77777777" w:rsidR="00FF5198" w:rsidRPr="00FF5198" w:rsidRDefault="00FF5198" w:rsidP="008131C8">
            <w:pPr>
              <w:jc w:val="right"/>
              <w:rPr>
                <w:rFonts w:ascii="Times New Roman" w:hAnsi="Times New Roman"/>
                <w:szCs w:val="20"/>
                <w:lang w:val="en-CA" w:eastAsia="en-CA"/>
              </w:rPr>
            </w:pPr>
          </w:p>
        </w:tc>
      </w:tr>
      <w:tr w:rsidR="00FF5198" w:rsidRPr="00FF5198" w14:paraId="74D6363F" w14:textId="77777777" w:rsidTr="006902CF">
        <w:trPr>
          <w:trHeight w:val="276"/>
          <w:jc w:val="center"/>
        </w:trPr>
        <w:tc>
          <w:tcPr>
            <w:tcW w:w="3828" w:type="dxa"/>
            <w:tcBorders>
              <w:top w:val="nil"/>
              <w:left w:val="nil"/>
              <w:bottom w:val="nil"/>
              <w:right w:val="nil"/>
            </w:tcBorders>
            <w:shd w:val="clear" w:color="auto" w:fill="auto"/>
            <w:noWrap/>
            <w:vAlign w:val="center"/>
            <w:hideMark/>
          </w:tcPr>
          <w:p w14:paraId="1267C7E4" w14:textId="77777777" w:rsidR="00FF5198" w:rsidRPr="00FF5198" w:rsidRDefault="00FF5198" w:rsidP="00FF5198">
            <w:pPr>
              <w:ind w:firstLineChars="100" w:firstLine="200"/>
              <w:rPr>
                <w:rFonts w:ascii="Calibri" w:hAnsi="Calibri" w:cs="Calibri"/>
                <w:color w:val="000000"/>
                <w:szCs w:val="20"/>
                <w:lang w:val="en-CA" w:eastAsia="en-CA"/>
              </w:rPr>
            </w:pPr>
            <w:r w:rsidRPr="00FF5198">
              <w:rPr>
                <w:rFonts w:ascii="Calibri" w:hAnsi="Calibri" w:cs="Calibri"/>
                <w:color w:val="000000"/>
                <w:szCs w:val="20"/>
                <w:lang w:val="en-CA" w:eastAsia="en-CA"/>
              </w:rPr>
              <w:t>Private placement</w:t>
            </w:r>
          </w:p>
        </w:tc>
        <w:tc>
          <w:tcPr>
            <w:tcW w:w="1275" w:type="dxa"/>
            <w:tcBorders>
              <w:top w:val="nil"/>
              <w:left w:val="nil"/>
              <w:bottom w:val="nil"/>
              <w:right w:val="nil"/>
            </w:tcBorders>
            <w:shd w:val="clear" w:color="auto" w:fill="auto"/>
            <w:noWrap/>
            <w:vAlign w:val="center"/>
            <w:hideMark/>
          </w:tcPr>
          <w:p w14:paraId="326C433B" w14:textId="77777777" w:rsidR="00FF5198" w:rsidRPr="00FF5198" w:rsidRDefault="00FF5198" w:rsidP="00FF5198">
            <w:pPr>
              <w:jc w:val="center"/>
              <w:rPr>
                <w:rFonts w:ascii="Calibri" w:hAnsi="Calibri" w:cs="Calibri"/>
                <w:i/>
                <w:iCs/>
                <w:color w:val="000000"/>
                <w:szCs w:val="20"/>
                <w:lang w:val="en-CA" w:eastAsia="en-CA"/>
              </w:rPr>
            </w:pPr>
            <w:r w:rsidRPr="00FF5198">
              <w:rPr>
                <w:rFonts w:ascii="Calibri" w:hAnsi="Calibri" w:cs="Calibri"/>
                <w:i/>
                <w:iCs/>
                <w:color w:val="000000"/>
                <w:szCs w:val="20"/>
                <w:lang w:val="en-CA" w:eastAsia="en-CA"/>
              </w:rPr>
              <w:t>16</w:t>
            </w:r>
          </w:p>
        </w:tc>
        <w:tc>
          <w:tcPr>
            <w:tcW w:w="1701" w:type="dxa"/>
            <w:tcBorders>
              <w:top w:val="nil"/>
              <w:left w:val="nil"/>
              <w:bottom w:val="nil"/>
              <w:right w:val="nil"/>
            </w:tcBorders>
            <w:shd w:val="clear" w:color="auto" w:fill="auto"/>
            <w:noWrap/>
            <w:vAlign w:val="center"/>
            <w:hideMark/>
          </w:tcPr>
          <w:p w14:paraId="7E5BFA42"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14,525,000 </w:t>
            </w:r>
          </w:p>
        </w:tc>
        <w:tc>
          <w:tcPr>
            <w:tcW w:w="1603" w:type="dxa"/>
            <w:tcBorders>
              <w:top w:val="nil"/>
              <w:left w:val="nil"/>
              <w:bottom w:val="nil"/>
              <w:right w:val="nil"/>
            </w:tcBorders>
            <w:shd w:val="clear" w:color="auto" w:fill="auto"/>
            <w:noWrap/>
            <w:vAlign w:val="center"/>
            <w:hideMark/>
          </w:tcPr>
          <w:p w14:paraId="299CAF4A"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1,743,000 </w:t>
            </w:r>
          </w:p>
        </w:tc>
        <w:tc>
          <w:tcPr>
            <w:tcW w:w="1516" w:type="dxa"/>
            <w:tcBorders>
              <w:top w:val="nil"/>
              <w:left w:val="nil"/>
              <w:bottom w:val="nil"/>
              <w:right w:val="nil"/>
            </w:tcBorders>
            <w:shd w:val="clear" w:color="auto" w:fill="auto"/>
            <w:noWrap/>
            <w:vAlign w:val="center"/>
            <w:hideMark/>
          </w:tcPr>
          <w:p w14:paraId="7AFD605A"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524" w:type="dxa"/>
            <w:tcBorders>
              <w:top w:val="nil"/>
              <w:left w:val="nil"/>
              <w:bottom w:val="nil"/>
              <w:right w:val="nil"/>
            </w:tcBorders>
            <w:shd w:val="clear" w:color="auto" w:fill="auto"/>
            <w:noWrap/>
            <w:vAlign w:val="center"/>
            <w:hideMark/>
          </w:tcPr>
          <w:p w14:paraId="65665EEB"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878" w:type="dxa"/>
            <w:tcBorders>
              <w:top w:val="nil"/>
              <w:left w:val="nil"/>
              <w:bottom w:val="nil"/>
              <w:right w:val="nil"/>
            </w:tcBorders>
            <w:shd w:val="clear" w:color="auto" w:fill="auto"/>
            <w:noWrap/>
            <w:vAlign w:val="center"/>
            <w:hideMark/>
          </w:tcPr>
          <w:p w14:paraId="235451E3" w14:textId="01AF6154"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1,743,000 </w:t>
            </w:r>
          </w:p>
        </w:tc>
      </w:tr>
      <w:tr w:rsidR="00FF5198" w:rsidRPr="00FF5198" w14:paraId="15975351" w14:textId="77777777" w:rsidTr="006902CF">
        <w:trPr>
          <w:trHeight w:val="276"/>
          <w:jc w:val="center"/>
        </w:trPr>
        <w:tc>
          <w:tcPr>
            <w:tcW w:w="3828" w:type="dxa"/>
            <w:tcBorders>
              <w:top w:val="nil"/>
              <w:left w:val="nil"/>
              <w:bottom w:val="nil"/>
              <w:right w:val="nil"/>
            </w:tcBorders>
            <w:shd w:val="clear" w:color="auto" w:fill="auto"/>
            <w:noWrap/>
            <w:vAlign w:val="center"/>
            <w:hideMark/>
          </w:tcPr>
          <w:p w14:paraId="58EC0559" w14:textId="77777777" w:rsidR="00FF5198" w:rsidRPr="00FF5198" w:rsidRDefault="00FF5198" w:rsidP="00FF5198">
            <w:pPr>
              <w:ind w:firstLineChars="100" w:firstLine="200"/>
              <w:rPr>
                <w:rFonts w:ascii="Calibri" w:hAnsi="Calibri" w:cs="Calibri"/>
                <w:color w:val="000000"/>
                <w:szCs w:val="20"/>
                <w:lang w:val="en-CA" w:eastAsia="en-CA"/>
              </w:rPr>
            </w:pPr>
            <w:r w:rsidRPr="00FF5198">
              <w:rPr>
                <w:rFonts w:ascii="Calibri" w:hAnsi="Calibri" w:cs="Calibri"/>
                <w:color w:val="000000"/>
                <w:szCs w:val="20"/>
                <w:lang w:val="en-CA" w:eastAsia="en-CA"/>
              </w:rPr>
              <w:t>Bonus Shares</w:t>
            </w:r>
          </w:p>
        </w:tc>
        <w:tc>
          <w:tcPr>
            <w:tcW w:w="1275" w:type="dxa"/>
            <w:tcBorders>
              <w:top w:val="nil"/>
              <w:left w:val="nil"/>
              <w:bottom w:val="nil"/>
              <w:right w:val="nil"/>
            </w:tcBorders>
            <w:shd w:val="clear" w:color="auto" w:fill="auto"/>
            <w:noWrap/>
            <w:vAlign w:val="center"/>
            <w:hideMark/>
          </w:tcPr>
          <w:p w14:paraId="719607E9" w14:textId="77777777" w:rsidR="00FF5198" w:rsidRPr="00FF5198" w:rsidRDefault="00FF5198" w:rsidP="00FF5198">
            <w:pPr>
              <w:jc w:val="center"/>
              <w:rPr>
                <w:rFonts w:ascii="Calibri" w:hAnsi="Calibri" w:cs="Calibri"/>
                <w:i/>
                <w:iCs/>
                <w:color w:val="000000"/>
                <w:szCs w:val="20"/>
                <w:lang w:val="en-CA" w:eastAsia="en-CA"/>
              </w:rPr>
            </w:pPr>
            <w:r w:rsidRPr="00FF5198">
              <w:rPr>
                <w:rFonts w:ascii="Calibri" w:hAnsi="Calibri" w:cs="Calibri"/>
                <w:i/>
                <w:iCs/>
                <w:color w:val="000000"/>
                <w:szCs w:val="20"/>
                <w:lang w:val="en-CA" w:eastAsia="en-CA"/>
              </w:rPr>
              <w:t>12</w:t>
            </w:r>
          </w:p>
        </w:tc>
        <w:tc>
          <w:tcPr>
            <w:tcW w:w="1701" w:type="dxa"/>
            <w:tcBorders>
              <w:top w:val="nil"/>
              <w:left w:val="nil"/>
              <w:bottom w:val="nil"/>
              <w:right w:val="nil"/>
            </w:tcBorders>
            <w:shd w:val="clear" w:color="auto" w:fill="auto"/>
            <w:noWrap/>
            <w:vAlign w:val="center"/>
            <w:hideMark/>
          </w:tcPr>
          <w:p w14:paraId="23BA7B05"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1,428,571 </w:t>
            </w:r>
          </w:p>
        </w:tc>
        <w:tc>
          <w:tcPr>
            <w:tcW w:w="1603" w:type="dxa"/>
            <w:tcBorders>
              <w:top w:val="nil"/>
              <w:left w:val="nil"/>
              <w:bottom w:val="nil"/>
              <w:right w:val="nil"/>
            </w:tcBorders>
            <w:shd w:val="clear" w:color="auto" w:fill="auto"/>
            <w:noWrap/>
            <w:vAlign w:val="center"/>
            <w:hideMark/>
          </w:tcPr>
          <w:p w14:paraId="440E2E95"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171,429 </w:t>
            </w:r>
          </w:p>
        </w:tc>
        <w:tc>
          <w:tcPr>
            <w:tcW w:w="1516" w:type="dxa"/>
            <w:tcBorders>
              <w:top w:val="nil"/>
              <w:left w:val="nil"/>
              <w:bottom w:val="nil"/>
              <w:right w:val="nil"/>
            </w:tcBorders>
            <w:shd w:val="clear" w:color="auto" w:fill="auto"/>
            <w:noWrap/>
            <w:vAlign w:val="center"/>
            <w:hideMark/>
          </w:tcPr>
          <w:p w14:paraId="6F1DD3B5"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524" w:type="dxa"/>
            <w:tcBorders>
              <w:top w:val="nil"/>
              <w:left w:val="nil"/>
              <w:bottom w:val="nil"/>
              <w:right w:val="nil"/>
            </w:tcBorders>
            <w:shd w:val="clear" w:color="auto" w:fill="auto"/>
            <w:noWrap/>
            <w:vAlign w:val="center"/>
            <w:hideMark/>
          </w:tcPr>
          <w:p w14:paraId="664FAED4"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878" w:type="dxa"/>
            <w:tcBorders>
              <w:top w:val="nil"/>
              <w:left w:val="nil"/>
              <w:bottom w:val="nil"/>
              <w:right w:val="nil"/>
            </w:tcBorders>
            <w:shd w:val="clear" w:color="auto" w:fill="auto"/>
            <w:noWrap/>
            <w:vAlign w:val="center"/>
            <w:hideMark/>
          </w:tcPr>
          <w:p w14:paraId="19F2E065" w14:textId="4035953A"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171,429 </w:t>
            </w:r>
          </w:p>
        </w:tc>
      </w:tr>
      <w:tr w:rsidR="00FF5198" w:rsidRPr="00FF5198" w14:paraId="26F44CD3" w14:textId="77777777" w:rsidTr="006902CF">
        <w:trPr>
          <w:trHeight w:val="276"/>
          <w:jc w:val="center"/>
        </w:trPr>
        <w:tc>
          <w:tcPr>
            <w:tcW w:w="3828" w:type="dxa"/>
            <w:tcBorders>
              <w:top w:val="nil"/>
              <w:left w:val="nil"/>
              <w:bottom w:val="nil"/>
              <w:right w:val="nil"/>
            </w:tcBorders>
            <w:shd w:val="clear" w:color="auto" w:fill="auto"/>
            <w:noWrap/>
            <w:vAlign w:val="center"/>
            <w:hideMark/>
          </w:tcPr>
          <w:p w14:paraId="69640EFC"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Stock-based compensation</w:t>
            </w:r>
          </w:p>
        </w:tc>
        <w:tc>
          <w:tcPr>
            <w:tcW w:w="1275" w:type="dxa"/>
            <w:tcBorders>
              <w:top w:val="nil"/>
              <w:left w:val="nil"/>
              <w:bottom w:val="nil"/>
              <w:right w:val="nil"/>
            </w:tcBorders>
            <w:shd w:val="clear" w:color="auto" w:fill="auto"/>
            <w:noWrap/>
            <w:vAlign w:val="center"/>
            <w:hideMark/>
          </w:tcPr>
          <w:p w14:paraId="3E9FBB1B" w14:textId="77777777" w:rsidR="00FF5198" w:rsidRPr="00FF5198" w:rsidRDefault="00FF5198" w:rsidP="00FF5198">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10D9C152"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603" w:type="dxa"/>
            <w:tcBorders>
              <w:top w:val="nil"/>
              <w:left w:val="nil"/>
              <w:bottom w:val="nil"/>
              <w:right w:val="nil"/>
            </w:tcBorders>
            <w:shd w:val="clear" w:color="auto" w:fill="auto"/>
            <w:noWrap/>
            <w:vAlign w:val="center"/>
            <w:hideMark/>
          </w:tcPr>
          <w:p w14:paraId="0CDA1759"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516" w:type="dxa"/>
            <w:tcBorders>
              <w:top w:val="nil"/>
              <w:left w:val="nil"/>
              <w:bottom w:val="nil"/>
              <w:right w:val="nil"/>
            </w:tcBorders>
            <w:shd w:val="clear" w:color="auto" w:fill="auto"/>
            <w:noWrap/>
            <w:vAlign w:val="center"/>
            <w:hideMark/>
          </w:tcPr>
          <w:p w14:paraId="25BE596C"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156,564 </w:t>
            </w:r>
          </w:p>
        </w:tc>
        <w:tc>
          <w:tcPr>
            <w:tcW w:w="1524" w:type="dxa"/>
            <w:tcBorders>
              <w:top w:val="nil"/>
              <w:left w:val="nil"/>
              <w:bottom w:val="nil"/>
              <w:right w:val="nil"/>
            </w:tcBorders>
            <w:shd w:val="clear" w:color="auto" w:fill="auto"/>
            <w:noWrap/>
            <w:vAlign w:val="center"/>
            <w:hideMark/>
          </w:tcPr>
          <w:p w14:paraId="12793E88"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878" w:type="dxa"/>
            <w:tcBorders>
              <w:top w:val="nil"/>
              <w:left w:val="nil"/>
              <w:bottom w:val="nil"/>
              <w:right w:val="nil"/>
            </w:tcBorders>
            <w:shd w:val="clear" w:color="auto" w:fill="auto"/>
            <w:noWrap/>
            <w:vAlign w:val="center"/>
            <w:hideMark/>
          </w:tcPr>
          <w:p w14:paraId="5060A705" w14:textId="62AAB760"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156,564 </w:t>
            </w:r>
          </w:p>
        </w:tc>
      </w:tr>
      <w:tr w:rsidR="00FF5198" w:rsidRPr="00FF5198" w14:paraId="1D9349CA" w14:textId="77777777" w:rsidTr="006902CF">
        <w:trPr>
          <w:trHeight w:val="276"/>
          <w:jc w:val="center"/>
        </w:trPr>
        <w:tc>
          <w:tcPr>
            <w:tcW w:w="3828" w:type="dxa"/>
            <w:tcBorders>
              <w:top w:val="nil"/>
              <w:left w:val="nil"/>
              <w:bottom w:val="nil"/>
              <w:right w:val="nil"/>
            </w:tcBorders>
            <w:shd w:val="clear" w:color="auto" w:fill="auto"/>
            <w:noWrap/>
            <w:vAlign w:val="center"/>
            <w:hideMark/>
          </w:tcPr>
          <w:p w14:paraId="0534049C"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Share issuance costs </w:t>
            </w:r>
          </w:p>
        </w:tc>
        <w:tc>
          <w:tcPr>
            <w:tcW w:w="1275" w:type="dxa"/>
            <w:tcBorders>
              <w:top w:val="nil"/>
              <w:left w:val="nil"/>
              <w:bottom w:val="nil"/>
              <w:right w:val="nil"/>
            </w:tcBorders>
            <w:shd w:val="clear" w:color="auto" w:fill="auto"/>
            <w:noWrap/>
            <w:vAlign w:val="center"/>
            <w:hideMark/>
          </w:tcPr>
          <w:p w14:paraId="37A192DD" w14:textId="77777777" w:rsidR="00FF5198" w:rsidRPr="00FF5198" w:rsidRDefault="00FF5198" w:rsidP="00FF5198">
            <w:pPr>
              <w:jc w:val="center"/>
              <w:rPr>
                <w:rFonts w:ascii="Calibri" w:hAnsi="Calibri" w:cs="Calibri"/>
                <w:i/>
                <w:iCs/>
                <w:color w:val="000000"/>
                <w:szCs w:val="20"/>
                <w:lang w:val="en-CA" w:eastAsia="en-CA"/>
              </w:rPr>
            </w:pPr>
            <w:r w:rsidRPr="00FF5198">
              <w:rPr>
                <w:rFonts w:ascii="Calibri" w:hAnsi="Calibri" w:cs="Calibri"/>
                <w:i/>
                <w:iCs/>
                <w:color w:val="000000"/>
                <w:szCs w:val="20"/>
                <w:lang w:val="en-CA" w:eastAsia="en-CA"/>
              </w:rPr>
              <w:t>16</w:t>
            </w:r>
          </w:p>
        </w:tc>
        <w:tc>
          <w:tcPr>
            <w:tcW w:w="1701" w:type="dxa"/>
            <w:tcBorders>
              <w:top w:val="nil"/>
              <w:left w:val="nil"/>
              <w:bottom w:val="nil"/>
              <w:right w:val="nil"/>
            </w:tcBorders>
            <w:shd w:val="clear" w:color="auto" w:fill="auto"/>
            <w:noWrap/>
            <w:vAlign w:val="center"/>
            <w:hideMark/>
          </w:tcPr>
          <w:p w14:paraId="4C8BF8FC"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603" w:type="dxa"/>
            <w:tcBorders>
              <w:top w:val="nil"/>
              <w:left w:val="nil"/>
              <w:bottom w:val="nil"/>
              <w:right w:val="nil"/>
            </w:tcBorders>
            <w:shd w:val="clear" w:color="auto" w:fill="auto"/>
            <w:noWrap/>
            <w:vAlign w:val="center"/>
            <w:hideMark/>
          </w:tcPr>
          <w:p w14:paraId="30DBA713" w14:textId="77777777" w:rsidR="00FF5198" w:rsidRPr="00FF5198" w:rsidRDefault="00FF5198" w:rsidP="000926B5">
            <w:pPr>
              <w:ind w:right="-62"/>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(419,029)</w:t>
            </w:r>
          </w:p>
        </w:tc>
        <w:tc>
          <w:tcPr>
            <w:tcW w:w="1516" w:type="dxa"/>
            <w:tcBorders>
              <w:top w:val="nil"/>
              <w:left w:val="nil"/>
              <w:bottom w:val="nil"/>
              <w:right w:val="nil"/>
            </w:tcBorders>
            <w:shd w:val="clear" w:color="auto" w:fill="auto"/>
            <w:noWrap/>
            <w:vAlign w:val="center"/>
            <w:hideMark/>
          </w:tcPr>
          <w:p w14:paraId="75A56156"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524" w:type="dxa"/>
            <w:tcBorders>
              <w:top w:val="nil"/>
              <w:left w:val="nil"/>
              <w:bottom w:val="nil"/>
              <w:right w:val="nil"/>
            </w:tcBorders>
            <w:shd w:val="clear" w:color="auto" w:fill="auto"/>
            <w:noWrap/>
            <w:vAlign w:val="center"/>
            <w:hideMark/>
          </w:tcPr>
          <w:p w14:paraId="64940D7C"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878" w:type="dxa"/>
            <w:tcBorders>
              <w:top w:val="nil"/>
              <w:left w:val="nil"/>
              <w:bottom w:val="nil"/>
              <w:right w:val="nil"/>
            </w:tcBorders>
            <w:shd w:val="clear" w:color="auto" w:fill="auto"/>
            <w:noWrap/>
            <w:vAlign w:val="center"/>
            <w:hideMark/>
          </w:tcPr>
          <w:p w14:paraId="1ED647F5" w14:textId="4A49BE88" w:rsidR="00FF5198" w:rsidRPr="00FF5198" w:rsidRDefault="00FF5198" w:rsidP="009D4FFD">
            <w:pPr>
              <w:ind w:right="-62"/>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(419,029)</w:t>
            </w:r>
          </w:p>
        </w:tc>
      </w:tr>
      <w:tr w:rsidR="00FF5198" w:rsidRPr="00FF5198" w14:paraId="721FDBE1" w14:textId="77777777" w:rsidTr="006902CF">
        <w:trPr>
          <w:trHeight w:val="276"/>
          <w:jc w:val="center"/>
        </w:trPr>
        <w:tc>
          <w:tcPr>
            <w:tcW w:w="3828" w:type="dxa"/>
            <w:tcBorders>
              <w:top w:val="nil"/>
              <w:left w:val="nil"/>
              <w:bottom w:val="nil"/>
              <w:right w:val="nil"/>
            </w:tcBorders>
            <w:shd w:val="clear" w:color="auto" w:fill="auto"/>
            <w:noWrap/>
            <w:vAlign w:val="center"/>
            <w:hideMark/>
          </w:tcPr>
          <w:p w14:paraId="36827E4F"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Warrants issued for Short Form prospectus </w:t>
            </w:r>
          </w:p>
        </w:tc>
        <w:tc>
          <w:tcPr>
            <w:tcW w:w="1275" w:type="dxa"/>
            <w:tcBorders>
              <w:top w:val="nil"/>
              <w:left w:val="nil"/>
              <w:bottom w:val="nil"/>
              <w:right w:val="nil"/>
            </w:tcBorders>
            <w:shd w:val="clear" w:color="auto" w:fill="auto"/>
            <w:noWrap/>
            <w:vAlign w:val="center"/>
            <w:hideMark/>
          </w:tcPr>
          <w:p w14:paraId="473471D1" w14:textId="77777777" w:rsidR="00FF5198" w:rsidRPr="00FF5198" w:rsidRDefault="00FF5198" w:rsidP="00FF5198">
            <w:pPr>
              <w:jc w:val="center"/>
              <w:rPr>
                <w:rFonts w:ascii="Calibri" w:hAnsi="Calibri" w:cs="Calibri"/>
                <w:i/>
                <w:iCs/>
                <w:color w:val="000000"/>
                <w:szCs w:val="20"/>
                <w:lang w:val="en-CA" w:eastAsia="en-CA"/>
              </w:rPr>
            </w:pPr>
            <w:r w:rsidRPr="00FF5198">
              <w:rPr>
                <w:rFonts w:ascii="Calibri" w:hAnsi="Calibri" w:cs="Calibri"/>
                <w:i/>
                <w:iCs/>
                <w:color w:val="000000"/>
                <w:szCs w:val="20"/>
                <w:lang w:val="en-CA" w:eastAsia="en-CA"/>
              </w:rPr>
              <w:t>16</w:t>
            </w:r>
          </w:p>
        </w:tc>
        <w:tc>
          <w:tcPr>
            <w:tcW w:w="1701" w:type="dxa"/>
            <w:tcBorders>
              <w:top w:val="nil"/>
              <w:left w:val="nil"/>
              <w:bottom w:val="nil"/>
              <w:right w:val="nil"/>
            </w:tcBorders>
            <w:shd w:val="clear" w:color="auto" w:fill="auto"/>
            <w:noWrap/>
            <w:vAlign w:val="center"/>
            <w:hideMark/>
          </w:tcPr>
          <w:p w14:paraId="41FF45F4"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603" w:type="dxa"/>
            <w:tcBorders>
              <w:top w:val="nil"/>
              <w:left w:val="nil"/>
              <w:bottom w:val="nil"/>
              <w:right w:val="nil"/>
            </w:tcBorders>
            <w:shd w:val="clear" w:color="auto" w:fill="auto"/>
            <w:noWrap/>
            <w:vAlign w:val="center"/>
            <w:hideMark/>
          </w:tcPr>
          <w:p w14:paraId="792B721C" w14:textId="77777777" w:rsidR="00FF5198" w:rsidRPr="00FF5198" w:rsidRDefault="00FF5198" w:rsidP="000926B5">
            <w:pPr>
              <w:ind w:right="-62"/>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(61,503)</w:t>
            </w:r>
          </w:p>
        </w:tc>
        <w:tc>
          <w:tcPr>
            <w:tcW w:w="1516" w:type="dxa"/>
            <w:tcBorders>
              <w:top w:val="nil"/>
              <w:left w:val="nil"/>
              <w:bottom w:val="nil"/>
              <w:right w:val="nil"/>
            </w:tcBorders>
            <w:shd w:val="clear" w:color="auto" w:fill="auto"/>
            <w:noWrap/>
            <w:vAlign w:val="center"/>
            <w:hideMark/>
          </w:tcPr>
          <w:p w14:paraId="12C59F86"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61,503 </w:t>
            </w:r>
          </w:p>
        </w:tc>
        <w:tc>
          <w:tcPr>
            <w:tcW w:w="1524" w:type="dxa"/>
            <w:tcBorders>
              <w:top w:val="nil"/>
              <w:left w:val="nil"/>
              <w:bottom w:val="nil"/>
              <w:right w:val="nil"/>
            </w:tcBorders>
            <w:shd w:val="clear" w:color="auto" w:fill="auto"/>
            <w:noWrap/>
            <w:vAlign w:val="center"/>
            <w:hideMark/>
          </w:tcPr>
          <w:p w14:paraId="42859B31"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878" w:type="dxa"/>
            <w:tcBorders>
              <w:top w:val="nil"/>
              <w:left w:val="nil"/>
              <w:bottom w:val="nil"/>
              <w:right w:val="nil"/>
            </w:tcBorders>
            <w:shd w:val="clear" w:color="auto" w:fill="auto"/>
            <w:noWrap/>
            <w:vAlign w:val="center"/>
            <w:hideMark/>
          </w:tcPr>
          <w:p w14:paraId="1A9F7388" w14:textId="0A1F4D63"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r>
      <w:tr w:rsidR="00FF5198" w:rsidRPr="00FF5198" w14:paraId="6897EC9A" w14:textId="77777777" w:rsidTr="006902CF">
        <w:trPr>
          <w:trHeight w:val="288"/>
          <w:jc w:val="center"/>
        </w:trPr>
        <w:tc>
          <w:tcPr>
            <w:tcW w:w="3828" w:type="dxa"/>
            <w:tcBorders>
              <w:top w:val="nil"/>
              <w:left w:val="nil"/>
              <w:bottom w:val="nil"/>
              <w:right w:val="nil"/>
            </w:tcBorders>
            <w:shd w:val="clear" w:color="auto" w:fill="auto"/>
            <w:noWrap/>
            <w:vAlign w:val="center"/>
            <w:hideMark/>
          </w:tcPr>
          <w:p w14:paraId="4B433EC6"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Net loss and comprehensive loss </w:t>
            </w:r>
          </w:p>
        </w:tc>
        <w:tc>
          <w:tcPr>
            <w:tcW w:w="1275" w:type="dxa"/>
            <w:tcBorders>
              <w:top w:val="nil"/>
              <w:left w:val="nil"/>
              <w:bottom w:val="nil"/>
              <w:right w:val="nil"/>
            </w:tcBorders>
            <w:shd w:val="clear" w:color="auto" w:fill="auto"/>
            <w:noWrap/>
            <w:vAlign w:val="center"/>
            <w:hideMark/>
          </w:tcPr>
          <w:p w14:paraId="6DCC0B77" w14:textId="77777777" w:rsidR="00FF5198" w:rsidRPr="00FF5198" w:rsidRDefault="00FF5198" w:rsidP="00FF5198">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47E0D6C1"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603" w:type="dxa"/>
            <w:tcBorders>
              <w:top w:val="nil"/>
              <w:left w:val="nil"/>
              <w:bottom w:val="nil"/>
              <w:right w:val="nil"/>
            </w:tcBorders>
            <w:shd w:val="clear" w:color="auto" w:fill="auto"/>
            <w:noWrap/>
            <w:vAlign w:val="center"/>
            <w:hideMark/>
          </w:tcPr>
          <w:p w14:paraId="179B9424"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516" w:type="dxa"/>
            <w:tcBorders>
              <w:top w:val="nil"/>
              <w:left w:val="nil"/>
              <w:bottom w:val="nil"/>
              <w:right w:val="nil"/>
            </w:tcBorders>
            <w:shd w:val="clear" w:color="auto" w:fill="auto"/>
            <w:noWrap/>
            <w:vAlign w:val="center"/>
            <w:hideMark/>
          </w:tcPr>
          <w:p w14:paraId="468EDD61" w14:textId="77777777" w:rsidR="00FF5198" w:rsidRPr="00FF5198" w:rsidRDefault="00FF5198" w:rsidP="009D4FFD">
            <w:pPr>
              <w:ind w:right="125"/>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   </w:t>
            </w:r>
          </w:p>
        </w:tc>
        <w:tc>
          <w:tcPr>
            <w:tcW w:w="1524" w:type="dxa"/>
            <w:tcBorders>
              <w:top w:val="nil"/>
              <w:left w:val="nil"/>
              <w:bottom w:val="nil"/>
              <w:right w:val="nil"/>
            </w:tcBorders>
            <w:shd w:val="clear" w:color="auto" w:fill="auto"/>
            <w:noWrap/>
            <w:vAlign w:val="center"/>
            <w:hideMark/>
          </w:tcPr>
          <w:p w14:paraId="71CFA3D5" w14:textId="77777777" w:rsidR="00FF5198" w:rsidRPr="00FF5198" w:rsidRDefault="00FF5198" w:rsidP="000926B5">
            <w:pPr>
              <w:ind w:right="-62"/>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(3,331,491)</w:t>
            </w:r>
          </w:p>
        </w:tc>
        <w:tc>
          <w:tcPr>
            <w:tcW w:w="1878" w:type="dxa"/>
            <w:tcBorders>
              <w:top w:val="nil"/>
              <w:left w:val="nil"/>
              <w:bottom w:val="nil"/>
              <w:right w:val="nil"/>
            </w:tcBorders>
            <w:shd w:val="clear" w:color="auto" w:fill="auto"/>
            <w:noWrap/>
            <w:vAlign w:val="center"/>
            <w:hideMark/>
          </w:tcPr>
          <w:p w14:paraId="45CD1B2A" w14:textId="6DE88A9B" w:rsidR="00FF5198" w:rsidRPr="00FF5198" w:rsidRDefault="00FF5198" w:rsidP="009D4FFD">
            <w:pPr>
              <w:ind w:right="-62"/>
              <w:jc w:val="right"/>
              <w:rPr>
                <w:rFonts w:ascii="Calibri" w:hAnsi="Calibri" w:cs="Calibri"/>
                <w:color w:val="000000"/>
                <w:szCs w:val="20"/>
                <w:lang w:val="en-CA" w:eastAsia="en-CA"/>
              </w:rPr>
            </w:pPr>
            <w:r w:rsidRPr="00FF5198">
              <w:rPr>
                <w:rFonts w:ascii="Calibri" w:hAnsi="Calibri" w:cs="Calibri"/>
                <w:color w:val="000000"/>
                <w:szCs w:val="20"/>
                <w:lang w:val="en-CA" w:eastAsia="en-CA"/>
              </w:rPr>
              <w:t>(3,331,491)</w:t>
            </w:r>
          </w:p>
        </w:tc>
      </w:tr>
      <w:tr w:rsidR="00FF5198" w:rsidRPr="00FF5198" w14:paraId="27847026" w14:textId="77777777" w:rsidTr="006902CF">
        <w:trPr>
          <w:trHeight w:val="288"/>
          <w:jc w:val="center"/>
        </w:trPr>
        <w:tc>
          <w:tcPr>
            <w:tcW w:w="3828" w:type="dxa"/>
            <w:tcBorders>
              <w:top w:val="single" w:sz="8" w:space="0" w:color="auto"/>
              <w:left w:val="nil"/>
              <w:bottom w:val="single" w:sz="8" w:space="0" w:color="auto"/>
              <w:right w:val="nil"/>
            </w:tcBorders>
            <w:shd w:val="clear" w:color="auto" w:fill="auto"/>
            <w:noWrap/>
            <w:vAlign w:val="center"/>
            <w:hideMark/>
          </w:tcPr>
          <w:p w14:paraId="275CC1B0"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Balance, June 30,  2023</w:t>
            </w:r>
          </w:p>
        </w:tc>
        <w:tc>
          <w:tcPr>
            <w:tcW w:w="1275" w:type="dxa"/>
            <w:tcBorders>
              <w:top w:val="single" w:sz="8" w:space="0" w:color="auto"/>
              <w:left w:val="nil"/>
              <w:bottom w:val="single" w:sz="8" w:space="0" w:color="auto"/>
              <w:right w:val="nil"/>
            </w:tcBorders>
            <w:shd w:val="clear" w:color="auto" w:fill="auto"/>
            <w:noWrap/>
            <w:vAlign w:val="center"/>
            <w:hideMark/>
          </w:tcPr>
          <w:p w14:paraId="2C7F4C70" w14:textId="77777777" w:rsidR="00FF5198" w:rsidRPr="00FF5198" w:rsidRDefault="00FF5198" w:rsidP="00FF5198">
            <w:pPr>
              <w:jc w:val="center"/>
              <w:rPr>
                <w:rFonts w:ascii="Calibri" w:hAnsi="Calibri" w:cs="Calibri"/>
                <w:i/>
                <w:iCs/>
                <w:color w:val="000000"/>
                <w:szCs w:val="20"/>
                <w:lang w:val="en-CA" w:eastAsia="en-CA"/>
              </w:rPr>
            </w:pPr>
            <w:r w:rsidRPr="00FF5198">
              <w:rPr>
                <w:rFonts w:ascii="Calibri" w:hAnsi="Calibri" w:cs="Calibri"/>
                <w:i/>
                <w:iCs/>
                <w:color w:val="000000"/>
                <w:szCs w:val="20"/>
                <w:lang w:val="en-CA" w:eastAsia="en-CA"/>
              </w:rPr>
              <w:t> </w:t>
            </w:r>
          </w:p>
        </w:tc>
        <w:tc>
          <w:tcPr>
            <w:tcW w:w="1701" w:type="dxa"/>
            <w:tcBorders>
              <w:top w:val="single" w:sz="8" w:space="0" w:color="auto"/>
              <w:left w:val="nil"/>
              <w:bottom w:val="single" w:sz="8" w:space="0" w:color="auto"/>
              <w:right w:val="nil"/>
            </w:tcBorders>
            <w:shd w:val="clear" w:color="auto" w:fill="auto"/>
            <w:noWrap/>
            <w:vAlign w:val="center"/>
            <w:hideMark/>
          </w:tcPr>
          <w:p w14:paraId="2AA433D0"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76,143,709 </w:t>
            </w:r>
          </w:p>
        </w:tc>
        <w:tc>
          <w:tcPr>
            <w:tcW w:w="1603" w:type="dxa"/>
            <w:tcBorders>
              <w:top w:val="single" w:sz="8" w:space="0" w:color="auto"/>
              <w:left w:val="nil"/>
              <w:bottom w:val="single" w:sz="8" w:space="0" w:color="auto"/>
              <w:right w:val="nil"/>
            </w:tcBorders>
            <w:shd w:val="clear" w:color="auto" w:fill="auto"/>
            <w:noWrap/>
            <w:vAlign w:val="center"/>
            <w:hideMark/>
          </w:tcPr>
          <w:p w14:paraId="78648535"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14,968,979 </w:t>
            </w:r>
          </w:p>
        </w:tc>
        <w:tc>
          <w:tcPr>
            <w:tcW w:w="1516" w:type="dxa"/>
            <w:tcBorders>
              <w:top w:val="single" w:sz="8" w:space="0" w:color="auto"/>
              <w:left w:val="nil"/>
              <w:bottom w:val="single" w:sz="8" w:space="0" w:color="auto"/>
              <w:right w:val="nil"/>
            </w:tcBorders>
            <w:shd w:val="clear" w:color="auto" w:fill="auto"/>
            <w:noWrap/>
            <w:vAlign w:val="center"/>
            <w:hideMark/>
          </w:tcPr>
          <w:p w14:paraId="43572981" w14:textId="77777777"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945,182 </w:t>
            </w:r>
          </w:p>
        </w:tc>
        <w:tc>
          <w:tcPr>
            <w:tcW w:w="1524" w:type="dxa"/>
            <w:tcBorders>
              <w:top w:val="single" w:sz="8" w:space="0" w:color="auto"/>
              <w:left w:val="nil"/>
              <w:bottom w:val="single" w:sz="8" w:space="0" w:color="auto"/>
              <w:right w:val="nil"/>
            </w:tcBorders>
            <w:shd w:val="clear" w:color="auto" w:fill="auto"/>
            <w:noWrap/>
            <w:vAlign w:val="center"/>
            <w:hideMark/>
          </w:tcPr>
          <w:p w14:paraId="01E01F65" w14:textId="77777777" w:rsidR="00FF5198" w:rsidRPr="00FF5198" w:rsidRDefault="00FF5198" w:rsidP="000926B5">
            <w:pPr>
              <w:ind w:right="-62"/>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(15,245,327)</w:t>
            </w:r>
          </w:p>
        </w:tc>
        <w:tc>
          <w:tcPr>
            <w:tcW w:w="1878" w:type="dxa"/>
            <w:tcBorders>
              <w:top w:val="single" w:sz="8" w:space="0" w:color="auto"/>
              <w:left w:val="nil"/>
              <w:bottom w:val="single" w:sz="8" w:space="0" w:color="auto"/>
              <w:right w:val="nil"/>
            </w:tcBorders>
            <w:shd w:val="clear" w:color="auto" w:fill="auto"/>
            <w:noWrap/>
            <w:vAlign w:val="center"/>
            <w:hideMark/>
          </w:tcPr>
          <w:p w14:paraId="0E211DE4" w14:textId="0D1A4CA1" w:rsidR="00FF5198" w:rsidRPr="00FF5198" w:rsidRDefault="00FF5198" w:rsidP="008131C8">
            <w:pPr>
              <w:jc w:val="right"/>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668,834 </w:t>
            </w:r>
          </w:p>
        </w:tc>
      </w:tr>
      <w:tr w:rsidR="00FF5198" w:rsidRPr="00FF5198" w14:paraId="1A35D818" w14:textId="77777777" w:rsidTr="006902CF">
        <w:trPr>
          <w:trHeight w:val="276"/>
          <w:jc w:val="center"/>
        </w:trPr>
        <w:tc>
          <w:tcPr>
            <w:tcW w:w="3828" w:type="dxa"/>
            <w:tcBorders>
              <w:top w:val="nil"/>
              <w:left w:val="nil"/>
              <w:bottom w:val="nil"/>
              <w:right w:val="nil"/>
            </w:tcBorders>
            <w:shd w:val="clear" w:color="auto" w:fill="auto"/>
            <w:noWrap/>
            <w:vAlign w:val="center"/>
            <w:hideMark/>
          </w:tcPr>
          <w:p w14:paraId="1ECF34C1"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Stock-based compensation</w:t>
            </w:r>
          </w:p>
        </w:tc>
        <w:tc>
          <w:tcPr>
            <w:tcW w:w="1275" w:type="dxa"/>
            <w:tcBorders>
              <w:top w:val="nil"/>
              <w:left w:val="nil"/>
              <w:bottom w:val="nil"/>
              <w:right w:val="nil"/>
            </w:tcBorders>
            <w:shd w:val="clear" w:color="auto" w:fill="auto"/>
            <w:noWrap/>
            <w:vAlign w:val="bottom"/>
            <w:hideMark/>
          </w:tcPr>
          <w:p w14:paraId="0E278684" w14:textId="77777777" w:rsidR="00FF5198" w:rsidRPr="00FF5198" w:rsidRDefault="00FF5198" w:rsidP="00FF5198">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1D60247C" w14:textId="707E3161" w:rsidR="00FF5198" w:rsidRPr="00FF5198" w:rsidRDefault="00FF5198" w:rsidP="009D4FFD">
            <w:pPr>
              <w:ind w:right="125"/>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w:t>
            </w:r>
          </w:p>
        </w:tc>
        <w:tc>
          <w:tcPr>
            <w:tcW w:w="1603" w:type="dxa"/>
            <w:tcBorders>
              <w:top w:val="nil"/>
              <w:left w:val="nil"/>
              <w:bottom w:val="nil"/>
              <w:right w:val="nil"/>
            </w:tcBorders>
            <w:shd w:val="clear" w:color="auto" w:fill="auto"/>
            <w:noWrap/>
            <w:vAlign w:val="center"/>
            <w:hideMark/>
          </w:tcPr>
          <w:p w14:paraId="0C647B2C" w14:textId="6828C67E" w:rsidR="00FF5198" w:rsidRPr="00FF5198" w:rsidRDefault="00FF5198" w:rsidP="009D4FFD">
            <w:pPr>
              <w:ind w:right="125"/>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w:t>
            </w:r>
          </w:p>
        </w:tc>
        <w:tc>
          <w:tcPr>
            <w:tcW w:w="1516" w:type="dxa"/>
            <w:tcBorders>
              <w:top w:val="nil"/>
              <w:left w:val="nil"/>
              <w:bottom w:val="nil"/>
              <w:right w:val="nil"/>
            </w:tcBorders>
            <w:shd w:val="clear" w:color="auto" w:fill="auto"/>
            <w:noWrap/>
            <w:vAlign w:val="center"/>
            <w:hideMark/>
          </w:tcPr>
          <w:p w14:paraId="05D5FD76" w14:textId="7F53B5D2" w:rsidR="00FF5198" w:rsidRPr="00FF5198" w:rsidRDefault="00FF5198" w:rsidP="008131C8">
            <w:pPr>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211,269 </w:t>
            </w:r>
          </w:p>
        </w:tc>
        <w:tc>
          <w:tcPr>
            <w:tcW w:w="1524" w:type="dxa"/>
            <w:tcBorders>
              <w:top w:val="nil"/>
              <w:left w:val="nil"/>
              <w:bottom w:val="nil"/>
              <w:right w:val="nil"/>
            </w:tcBorders>
            <w:shd w:val="clear" w:color="auto" w:fill="auto"/>
            <w:noWrap/>
            <w:vAlign w:val="center"/>
            <w:hideMark/>
          </w:tcPr>
          <w:p w14:paraId="7D694D5D" w14:textId="675CA4BD" w:rsidR="00FF5198" w:rsidRPr="00FF5198" w:rsidRDefault="00FF5198" w:rsidP="009D4FFD">
            <w:pPr>
              <w:ind w:right="125"/>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w:t>
            </w:r>
          </w:p>
        </w:tc>
        <w:tc>
          <w:tcPr>
            <w:tcW w:w="1878" w:type="dxa"/>
            <w:tcBorders>
              <w:top w:val="nil"/>
              <w:left w:val="nil"/>
              <w:bottom w:val="nil"/>
              <w:right w:val="nil"/>
            </w:tcBorders>
            <w:shd w:val="clear" w:color="auto" w:fill="auto"/>
            <w:noWrap/>
            <w:vAlign w:val="center"/>
            <w:hideMark/>
          </w:tcPr>
          <w:p w14:paraId="4BC9DD26" w14:textId="3B711E97" w:rsidR="00FF5198" w:rsidRPr="00FF5198" w:rsidRDefault="00FF5198" w:rsidP="008131C8">
            <w:pPr>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211,269 </w:t>
            </w:r>
          </w:p>
        </w:tc>
      </w:tr>
      <w:tr w:rsidR="00FF5198" w:rsidRPr="00FF5198" w14:paraId="21AB5319" w14:textId="77777777" w:rsidTr="006902CF">
        <w:trPr>
          <w:trHeight w:val="276"/>
          <w:jc w:val="center"/>
        </w:trPr>
        <w:tc>
          <w:tcPr>
            <w:tcW w:w="3828" w:type="dxa"/>
            <w:tcBorders>
              <w:top w:val="nil"/>
              <w:left w:val="nil"/>
              <w:bottom w:val="nil"/>
              <w:right w:val="nil"/>
            </w:tcBorders>
            <w:shd w:val="clear" w:color="auto" w:fill="auto"/>
            <w:noWrap/>
            <w:vAlign w:val="center"/>
            <w:hideMark/>
          </w:tcPr>
          <w:p w14:paraId="1EAFC9AB"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Warrants issued</w:t>
            </w:r>
          </w:p>
        </w:tc>
        <w:tc>
          <w:tcPr>
            <w:tcW w:w="1275" w:type="dxa"/>
            <w:tcBorders>
              <w:top w:val="nil"/>
              <w:left w:val="nil"/>
              <w:bottom w:val="nil"/>
              <w:right w:val="nil"/>
            </w:tcBorders>
            <w:shd w:val="clear" w:color="auto" w:fill="auto"/>
            <w:noWrap/>
            <w:vAlign w:val="center"/>
            <w:hideMark/>
          </w:tcPr>
          <w:p w14:paraId="58D85A65" w14:textId="77777777" w:rsidR="00FF5198" w:rsidRPr="00FF5198" w:rsidRDefault="00FF5198" w:rsidP="00FF5198">
            <w:pPr>
              <w:jc w:val="center"/>
              <w:rPr>
                <w:rFonts w:ascii="Calibri" w:hAnsi="Calibri" w:cs="Calibri"/>
                <w:i/>
                <w:iCs/>
                <w:color w:val="000000"/>
                <w:szCs w:val="20"/>
                <w:lang w:val="en-CA" w:eastAsia="en-CA"/>
              </w:rPr>
            </w:pPr>
            <w:r w:rsidRPr="00FF5198">
              <w:rPr>
                <w:rFonts w:ascii="Calibri" w:hAnsi="Calibri" w:cs="Calibri"/>
                <w:i/>
                <w:iCs/>
                <w:color w:val="000000"/>
                <w:szCs w:val="20"/>
                <w:lang w:val="en-CA" w:eastAsia="en-CA"/>
              </w:rPr>
              <w:t>13,16</w:t>
            </w:r>
          </w:p>
        </w:tc>
        <w:tc>
          <w:tcPr>
            <w:tcW w:w="1701" w:type="dxa"/>
            <w:tcBorders>
              <w:top w:val="nil"/>
              <w:left w:val="nil"/>
              <w:bottom w:val="nil"/>
              <w:right w:val="nil"/>
            </w:tcBorders>
            <w:shd w:val="clear" w:color="auto" w:fill="auto"/>
            <w:noWrap/>
            <w:vAlign w:val="center"/>
            <w:hideMark/>
          </w:tcPr>
          <w:p w14:paraId="7F10B426" w14:textId="343938FF" w:rsidR="00FF5198" w:rsidRPr="00FF5198" w:rsidRDefault="00FF5198" w:rsidP="009D4FFD">
            <w:pPr>
              <w:ind w:right="125"/>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w:t>
            </w:r>
          </w:p>
        </w:tc>
        <w:tc>
          <w:tcPr>
            <w:tcW w:w="1603" w:type="dxa"/>
            <w:tcBorders>
              <w:top w:val="nil"/>
              <w:left w:val="nil"/>
              <w:bottom w:val="nil"/>
              <w:right w:val="nil"/>
            </w:tcBorders>
            <w:shd w:val="clear" w:color="auto" w:fill="auto"/>
            <w:noWrap/>
            <w:vAlign w:val="center"/>
            <w:hideMark/>
          </w:tcPr>
          <w:p w14:paraId="3EDBFF61" w14:textId="71532496" w:rsidR="00FF5198" w:rsidRPr="00FF5198" w:rsidRDefault="00FF5198" w:rsidP="009D4FFD">
            <w:pPr>
              <w:ind w:right="125"/>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w:t>
            </w:r>
          </w:p>
        </w:tc>
        <w:tc>
          <w:tcPr>
            <w:tcW w:w="1516" w:type="dxa"/>
            <w:tcBorders>
              <w:top w:val="nil"/>
              <w:left w:val="nil"/>
              <w:bottom w:val="nil"/>
              <w:right w:val="nil"/>
            </w:tcBorders>
            <w:shd w:val="clear" w:color="auto" w:fill="auto"/>
            <w:noWrap/>
            <w:vAlign w:val="center"/>
            <w:hideMark/>
          </w:tcPr>
          <w:p w14:paraId="18E10388" w14:textId="497348A0" w:rsidR="00FF5198" w:rsidRPr="00FF5198" w:rsidRDefault="00FF5198" w:rsidP="008131C8">
            <w:pPr>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16,659 </w:t>
            </w:r>
          </w:p>
        </w:tc>
        <w:tc>
          <w:tcPr>
            <w:tcW w:w="1524" w:type="dxa"/>
            <w:tcBorders>
              <w:top w:val="nil"/>
              <w:left w:val="nil"/>
              <w:bottom w:val="nil"/>
              <w:right w:val="nil"/>
            </w:tcBorders>
            <w:shd w:val="clear" w:color="auto" w:fill="auto"/>
            <w:noWrap/>
            <w:vAlign w:val="center"/>
            <w:hideMark/>
          </w:tcPr>
          <w:p w14:paraId="0B514357" w14:textId="782CBD07" w:rsidR="00FF5198" w:rsidRPr="00FF5198" w:rsidRDefault="00FF5198" w:rsidP="009D4FFD">
            <w:pPr>
              <w:ind w:right="125"/>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w:t>
            </w:r>
          </w:p>
        </w:tc>
        <w:tc>
          <w:tcPr>
            <w:tcW w:w="1878" w:type="dxa"/>
            <w:tcBorders>
              <w:top w:val="nil"/>
              <w:left w:val="nil"/>
              <w:bottom w:val="nil"/>
              <w:right w:val="nil"/>
            </w:tcBorders>
            <w:shd w:val="clear" w:color="auto" w:fill="auto"/>
            <w:noWrap/>
            <w:vAlign w:val="center"/>
            <w:hideMark/>
          </w:tcPr>
          <w:p w14:paraId="4791064B" w14:textId="7DAF676F" w:rsidR="00FF5198" w:rsidRPr="00FF5198" w:rsidRDefault="00FF5198" w:rsidP="008131C8">
            <w:pPr>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16,659 </w:t>
            </w:r>
          </w:p>
        </w:tc>
      </w:tr>
      <w:tr w:rsidR="00FF5198" w:rsidRPr="00FF5198" w14:paraId="178DA388" w14:textId="77777777" w:rsidTr="002174E1">
        <w:trPr>
          <w:trHeight w:val="288"/>
          <w:jc w:val="center"/>
        </w:trPr>
        <w:tc>
          <w:tcPr>
            <w:tcW w:w="3828" w:type="dxa"/>
            <w:tcBorders>
              <w:top w:val="nil"/>
              <w:left w:val="nil"/>
              <w:bottom w:val="single" w:sz="8" w:space="0" w:color="auto"/>
              <w:right w:val="nil"/>
            </w:tcBorders>
            <w:shd w:val="clear" w:color="auto" w:fill="auto"/>
            <w:noWrap/>
            <w:vAlign w:val="center"/>
            <w:hideMark/>
          </w:tcPr>
          <w:p w14:paraId="449FB67B" w14:textId="77777777" w:rsidR="00FF5198" w:rsidRPr="00FF5198" w:rsidRDefault="00FF5198" w:rsidP="00FF5198">
            <w:pPr>
              <w:rPr>
                <w:rFonts w:ascii="Calibri" w:hAnsi="Calibri" w:cs="Calibri"/>
                <w:color w:val="000000"/>
                <w:szCs w:val="20"/>
                <w:lang w:val="en-CA" w:eastAsia="en-CA"/>
              </w:rPr>
            </w:pPr>
            <w:r w:rsidRPr="00FF5198">
              <w:rPr>
                <w:rFonts w:ascii="Calibri" w:hAnsi="Calibri" w:cs="Calibri"/>
                <w:color w:val="000000"/>
                <w:szCs w:val="20"/>
                <w:lang w:val="en-CA" w:eastAsia="en-CA"/>
              </w:rPr>
              <w:t xml:space="preserve"> Net loss and comprehensive loss </w:t>
            </w:r>
          </w:p>
        </w:tc>
        <w:tc>
          <w:tcPr>
            <w:tcW w:w="1275" w:type="dxa"/>
            <w:tcBorders>
              <w:top w:val="nil"/>
              <w:left w:val="nil"/>
              <w:bottom w:val="single" w:sz="8" w:space="0" w:color="auto"/>
              <w:right w:val="nil"/>
            </w:tcBorders>
            <w:shd w:val="clear" w:color="auto" w:fill="auto"/>
            <w:noWrap/>
            <w:vAlign w:val="center"/>
            <w:hideMark/>
          </w:tcPr>
          <w:p w14:paraId="3E2862B4" w14:textId="77777777" w:rsidR="00FF5198" w:rsidRPr="00FF5198" w:rsidRDefault="00FF5198" w:rsidP="00FF5198">
            <w:pPr>
              <w:jc w:val="center"/>
              <w:rPr>
                <w:rFonts w:ascii="Calibri" w:hAnsi="Calibri" w:cs="Calibri"/>
                <w:i/>
                <w:iCs/>
                <w:color w:val="000000"/>
                <w:szCs w:val="20"/>
                <w:lang w:val="en-CA" w:eastAsia="en-CA"/>
              </w:rPr>
            </w:pPr>
            <w:r w:rsidRPr="00FF5198">
              <w:rPr>
                <w:rFonts w:ascii="Calibri" w:hAnsi="Calibri" w:cs="Calibri"/>
                <w:i/>
                <w:iCs/>
                <w:color w:val="000000"/>
                <w:szCs w:val="20"/>
                <w:lang w:val="en-CA" w:eastAsia="en-CA"/>
              </w:rPr>
              <w:t> </w:t>
            </w:r>
          </w:p>
        </w:tc>
        <w:tc>
          <w:tcPr>
            <w:tcW w:w="1701" w:type="dxa"/>
            <w:tcBorders>
              <w:top w:val="nil"/>
              <w:left w:val="nil"/>
              <w:bottom w:val="single" w:sz="8" w:space="0" w:color="auto"/>
              <w:right w:val="nil"/>
            </w:tcBorders>
            <w:shd w:val="clear" w:color="auto" w:fill="auto"/>
            <w:noWrap/>
            <w:vAlign w:val="center"/>
            <w:hideMark/>
          </w:tcPr>
          <w:p w14:paraId="2E5F5AF3" w14:textId="77777777" w:rsidR="00FF5198" w:rsidRPr="00FF5198" w:rsidRDefault="00FF5198" w:rsidP="009D4FFD">
            <w:pPr>
              <w:ind w:right="125"/>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w:t>
            </w:r>
          </w:p>
        </w:tc>
        <w:tc>
          <w:tcPr>
            <w:tcW w:w="1603" w:type="dxa"/>
            <w:tcBorders>
              <w:top w:val="nil"/>
              <w:left w:val="nil"/>
              <w:bottom w:val="single" w:sz="8" w:space="0" w:color="auto"/>
              <w:right w:val="nil"/>
            </w:tcBorders>
            <w:shd w:val="clear" w:color="auto" w:fill="auto"/>
            <w:noWrap/>
            <w:vAlign w:val="center"/>
            <w:hideMark/>
          </w:tcPr>
          <w:p w14:paraId="1B30E1AA" w14:textId="1DAF7DEA" w:rsidR="00FF5198" w:rsidRPr="00FF5198" w:rsidRDefault="00FF5198" w:rsidP="009D4FFD">
            <w:pPr>
              <w:ind w:right="125"/>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w:t>
            </w:r>
          </w:p>
        </w:tc>
        <w:tc>
          <w:tcPr>
            <w:tcW w:w="1516" w:type="dxa"/>
            <w:tcBorders>
              <w:top w:val="nil"/>
              <w:left w:val="nil"/>
              <w:bottom w:val="single" w:sz="8" w:space="0" w:color="auto"/>
              <w:right w:val="nil"/>
            </w:tcBorders>
            <w:shd w:val="clear" w:color="auto" w:fill="auto"/>
            <w:noWrap/>
            <w:vAlign w:val="center"/>
            <w:hideMark/>
          </w:tcPr>
          <w:p w14:paraId="3D4DF1E0" w14:textId="66B60E65" w:rsidR="00FF5198" w:rsidRPr="00FF5198" w:rsidRDefault="00FF5198" w:rsidP="009D4FFD">
            <w:pPr>
              <w:ind w:right="125"/>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w:t>
            </w:r>
          </w:p>
        </w:tc>
        <w:tc>
          <w:tcPr>
            <w:tcW w:w="1524" w:type="dxa"/>
            <w:tcBorders>
              <w:top w:val="nil"/>
              <w:left w:val="nil"/>
              <w:bottom w:val="single" w:sz="8" w:space="0" w:color="auto"/>
              <w:right w:val="nil"/>
            </w:tcBorders>
            <w:shd w:val="clear" w:color="auto" w:fill="auto"/>
            <w:noWrap/>
            <w:vAlign w:val="center"/>
            <w:hideMark/>
          </w:tcPr>
          <w:p w14:paraId="72450446" w14:textId="0261ACBF" w:rsidR="00FF5198" w:rsidRPr="00FF5198" w:rsidRDefault="00FF5198" w:rsidP="000926B5">
            <w:pPr>
              <w:ind w:right="-62"/>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(2,193,093)</w:t>
            </w:r>
          </w:p>
        </w:tc>
        <w:tc>
          <w:tcPr>
            <w:tcW w:w="1878" w:type="dxa"/>
            <w:tcBorders>
              <w:top w:val="nil"/>
              <w:left w:val="nil"/>
              <w:bottom w:val="single" w:sz="8" w:space="0" w:color="auto"/>
              <w:right w:val="nil"/>
            </w:tcBorders>
            <w:shd w:val="clear" w:color="auto" w:fill="auto"/>
            <w:noWrap/>
            <w:vAlign w:val="center"/>
            <w:hideMark/>
          </w:tcPr>
          <w:p w14:paraId="5CC1F2D4" w14:textId="4D2012B2" w:rsidR="00FF5198" w:rsidRPr="00FF5198" w:rsidRDefault="00FF5198" w:rsidP="009D4FFD">
            <w:pPr>
              <w:ind w:right="-62"/>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(2,193,093)</w:t>
            </w:r>
          </w:p>
        </w:tc>
      </w:tr>
      <w:tr w:rsidR="00FF5198" w:rsidRPr="00FF5198" w14:paraId="23D92E2F" w14:textId="77777777" w:rsidTr="002174E1">
        <w:trPr>
          <w:trHeight w:val="288"/>
          <w:jc w:val="center"/>
        </w:trPr>
        <w:tc>
          <w:tcPr>
            <w:tcW w:w="3828" w:type="dxa"/>
            <w:tcBorders>
              <w:top w:val="single" w:sz="8" w:space="0" w:color="auto"/>
              <w:left w:val="nil"/>
              <w:bottom w:val="single" w:sz="12" w:space="0" w:color="auto"/>
              <w:right w:val="nil"/>
            </w:tcBorders>
            <w:shd w:val="clear" w:color="auto" w:fill="auto"/>
            <w:noWrap/>
            <w:vAlign w:val="center"/>
            <w:hideMark/>
          </w:tcPr>
          <w:p w14:paraId="2FC75D31" w14:textId="77777777" w:rsidR="00FF5198" w:rsidRPr="00FF5198" w:rsidRDefault="00FF5198" w:rsidP="00FF5198">
            <w:pPr>
              <w:rPr>
                <w:rFonts w:ascii="Calibri" w:hAnsi="Calibri" w:cs="Calibri"/>
                <w:b/>
                <w:bCs/>
                <w:color w:val="000000"/>
                <w:szCs w:val="20"/>
                <w:lang w:val="en-CA" w:eastAsia="en-CA"/>
              </w:rPr>
            </w:pPr>
            <w:r w:rsidRPr="00FF5198">
              <w:rPr>
                <w:rFonts w:ascii="Calibri" w:hAnsi="Calibri" w:cs="Calibri"/>
                <w:b/>
                <w:bCs/>
                <w:color w:val="000000"/>
                <w:szCs w:val="20"/>
                <w:lang w:val="en-CA" w:eastAsia="en-CA"/>
              </w:rPr>
              <w:t>Balance, March 31, 2024</w:t>
            </w:r>
          </w:p>
        </w:tc>
        <w:tc>
          <w:tcPr>
            <w:tcW w:w="1275" w:type="dxa"/>
            <w:tcBorders>
              <w:top w:val="single" w:sz="8" w:space="0" w:color="auto"/>
              <w:left w:val="nil"/>
              <w:bottom w:val="single" w:sz="12" w:space="0" w:color="auto"/>
              <w:right w:val="nil"/>
            </w:tcBorders>
            <w:shd w:val="clear" w:color="auto" w:fill="auto"/>
            <w:noWrap/>
            <w:vAlign w:val="center"/>
            <w:hideMark/>
          </w:tcPr>
          <w:p w14:paraId="0E4EF0E7" w14:textId="77777777" w:rsidR="00FF5198" w:rsidRPr="00FF5198" w:rsidRDefault="00FF5198" w:rsidP="00FF5198">
            <w:pPr>
              <w:jc w:val="center"/>
              <w:rPr>
                <w:rFonts w:ascii="Calibri" w:hAnsi="Calibri" w:cs="Calibri"/>
                <w:b/>
                <w:bCs/>
                <w:i/>
                <w:iCs/>
                <w:color w:val="000000"/>
                <w:szCs w:val="20"/>
                <w:lang w:val="en-CA" w:eastAsia="en-CA"/>
              </w:rPr>
            </w:pPr>
            <w:r w:rsidRPr="00FF5198">
              <w:rPr>
                <w:rFonts w:ascii="Calibri" w:hAnsi="Calibri" w:cs="Calibri"/>
                <w:b/>
                <w:bCs/>
                <w:i/>
                <w:iCs/>
                <w:color w:val="000000"/>
                <w:szCs w:val="20"/>
                <w:lang w:val="en-CA" w:eastAsia="en-CA"/>
              </w:rPr>
              <w:t> </w:t>
            </w:r>
          </w:p>
        </w:tc>
        <w:tc>
          <w:tcPr>
            <w:tcW w:w="1701" w:type="dxa"/>
            <w:tcBorders>
              <w:top w:val="single" w:sz="8" w:space="0" w:color="auto"/>
              <w:left w:val="nil"/>
              <w:bottom w:val="single" w:sz="12" w:space="0" w:color="auto"/>
              <w:right w:val="nil"/>
            </w:tcBorders>
            <w:shd w:val="clear" w:color="auto" w:fill="auto"/>
            <w:noWrap/>
            <w:vAlign w:val="center"/>
            <w:hideMark/>
          </w:tcPr>
          <w:p w14:paraId="057C8811" w14:textId="77777777" w:rsidR="00FF5198" w:rsidRPr="00FF5198" w:rsidRDefault="00FF5198" w:rsidP="008131C8">
            <w:pPr>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76,143,709 </w:t>
            </w:r>
          </w:p>
        </w:tc>
        <w:tc>
          <w:tcPr>
            <w:tcW w:w="1603" w:type="dxa"/>
            <w:tcBorders>
              <w:top w:val="single" w:sz="8" w:space="0" w:color="auto"/>
              <w:left w:val="nil"/>
              <w:bottom w:val="single" w:sz="12" w:space="0" w:color="auto"/>
              <w:right w:val="nil"/>
            </w:tcBorders>
            <w:shd w:val="clear" w:color="auto" w:fill="auto"/>
            <w:noWrap/>
            <w:vAlign w:val="center"/>
            <w:hideMark/>
          </w:tcPr>
          <w:p w14:paraId="157CA5DB" w14:textId="77777777" w:rsidR="00FF5198" w:rsidRPr="00FF5198" w:rsidRDefault="00FF5198" w:rsidP="008131C8">
            <w:pPr>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$ 14,968,979 </w:t>
            </w:r>
          </w:p>
        </w:tc>
        <w:tc>
          <w:tcPr>
            <w:tcW w:w="1516" w:type="dxa"/>
            <w:tcBorders>
              <w:top w:val="single" w:sz="8" w:space="0" w:color="auto"/>
              <w:left w:val="nil"/>
              <w:bottom w:val="single" w:sz="12" w:space="0" w:color="auto"/>
              <w:right w:val="nil"/>
            </w:tcBorders>
            <w:shd w:val="clear" w:color="auto" w:fill="auto"/>
            <w:noWrap/>
            <w:vAlign w:val="center"/>
            <w:hideMark/>
          </w:tcPr>
          <w:p w14:paraId="69F38671" w14:textId="0E615430" w:rsidR="00FF5198" w:rsidRPr="00FF5198" w:rsidRDefault="00FF5198" w:rsidP="008131C8">
            <w:pPr>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$ 1,173,110 </w:t>
            </w:r>
          </w:p>
        </w:tc>
        <w:tc>
          <w:tcPr>
            <w:tcW w:w="1524" w:type="dxa"/>
            <w:tcBorders>
              <w:top w:val="single" w:sz="8" w:space="0" w:color="auto"/>
              <w:left w:val="nil"/>
              <w:bottom w:val="single" w:sz="12" w:space="0" w:color="auto"/>
              <w:right w:val="nil"/>
            </w:tcBorders>
            <w:shd w:val="clear" w:color="auto" w:fill="auto"/>
            <w:noWrap/>
            <w:vAlign w:val="center"/>
            <w:hideMark/>
          </w:tcPr>
          <w:p w14:paraId="3E798C9F" w14:textId="77777777" w:rsidR="00FF5198" w:rsidRPr="00FF5198" w:rsidRDefault="00FF5198" w:rsidP="000926B5">
            <w:pPr>
              <w:ind w:right="-62"/>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(17,438,420)</w:t>
            </w:r>
          </w:p>
        </w:tc>
        <w:tc>
          <w:tcPr>
            <w:tcW w:w="1878" w:type="dxa"/>
            <w:tcBorders>
              <w:top w:val="single" w:sz="8" w:space="0" w:color="auto"/>
              <w:left w:val="nil"/>
              <w:bottom w:val="single" w:sz="12" w:space="0" w:color="auto"/>
              <w:right w:val="nil"/>
            </w:tcBorders>
            <w:shd w:val="clear" w:color="auto" w:fill="auto"/>
            <w:noWrap/>
            <w:vAlign w:val="center"/>
            <w:hideMark/>
          </w:tcPr>
          <w:p w14:paraId="581474FF" w14:textId="37D7F45C" w:rsidR="00FF5198" w:rsidRPr="00FF5198" w:rsidRDefault="00FF5198" w:rsidP="009D4FFD">
            <w:pPr>
              <w:ind w:right="-62"/>
              <w:jc w:val="right"/>
              <w:rPr>
                <w:rFonts w:ascii="Calibri" w:hAnsi="Calibri" w:cs="Calibri"/>
                <w:b/>
                <w:bCs/>
                <w:color w:val="000000"/>
                <w:szCs w:val="20"/>
                <w:lang w:val="en-CA" w:eastAsia="en-CA"/>
              </w:rPr>
            </w:pPr>
            <w:r w:rsidRPr="00FF5198">
              <w:rPr>
                <w:rFonts w:ascii="Calibri" w:hAnsi="Calibri" w:cs="Calibri"/>
                <w:b/>
                <w:bCs/>
                <w:color w:val="000000"/>
                <w:szCs w:val="20"/>
                <w:lang w:val="en-CA" w:eastAsia="en-CA"/>
              </w:rPr>
              <w:t xml:space="preserve"> $ (1,296,331)</w:t>
            </w:r>
          </w:p>
        </w:tc>
      </w:tr>
    </w:tbl>
    <w:p w14:paraId="05FAA0E1" w14:textId="775DB096" w:rsidR="00EE18A1" w:rsidRPr="00FC2211" w:rsidRDefault="00EE18A1" w:rsidP="00BF7E68">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p w14:paraId="7AFA8837" w14:textId="77777777" w:rsidR="00673442" w:rsidRPr="00FC2211" w:rsidRDefault="00673442" w:rsidP="00BF7E68">
      <w:pPr>
        <w:jc w:val="center"/>
        <w:rPr>
          <w:rFonts w:cstheme="minorHAnsi"/>
          <w:szCs w:val="20"/>
        </w:rPr>
      </w:pPr>
    </w:p>
    <w:p w14:paraId="6BF75C10" w14:textId="77777777" w:rsidR="00030A60" w:rsidRDefault="00E81399" w:rsidP="00BF7E68">
      <w:pPr>
        <w:jc w:val="center"/>
        <w:rPr>
          <w:rFonts w:cstheme="minorHAnsi"/>
          <w:szCs w:val="20"/>
        </w:rPr>
      </w:pPr>
      <w:r w:rsidRPr="00FC2211">
        <w:rPr>
          <w:rFonts w:cstheme="minorHAnsi"/>
          <w:szCs w:val="20"/>
        </w:rPr>
        <w:t>The accompanying notes are an integral part of these unaudited interim condensed consolidated financial statements</w:t>
      </w:r>
    </w:p>
    <w:p w14:paraId="403A7D38" w14:textId="77777777" w:rsidR="003A08DB" w:rsidRDefault="003A08DB" w:rsidP="00BF7E68">
      <w:pPr>
        <w:jc w:val="center"/>
        <w:rPr>
          <w:rFonts w:cstheme="minorHAnsi"/>
          <w:szCs w:val="20"/>
        </w:rPr>
      </w:pPr>
    </w:p>
    <w:p w14:paraId="773A72FF" w14:textId="77777777" w:rsidR="003A08DB" w:rsidRDefault="003A08DB" w:rsidP="00BF7E68">
      <w:pPr>
        <w:jc w:val="center"/>
        <w:rPr>
          <w:rFonts w:cstheme="minorHAnsi"/>
          <w:szCs w:val="20"/>
        </w:rPr>
      </w:pPr>
    </w:p>
    <w:p w14:paraId="7ED19928" w14:textId="77777777" w:rsidR="003A08DB" w:rsidRDefault="003A08DB" w:rsidP="00BF7E68">
      <w:pPr>
        <w:jc w:val="center"/>
        <w:rPr>
          <w:rFonts w:cstheme="minorHAnsi"/>
          <w:szCs w:val="20"/>
        </w:rPr>
      </w:pPr>
    </w:p>
    <w:p w14:paraId="3B5A78D5" w14:textId="77777777" w:rsidR="003A08DB" w:rsidRDefault="003A08DB" w:rsidP="00BF7E68">
      <w:pPr>
        <w:jc w:val="center"/>
        <w:rPr>
          <w:rFonts w:cstheme="minorHAnsi"/>
          <w:szCs w:val="20"/>
        </w:rPr>
      </w:pPr>
    </w:p>
    <w:p w14:paraId="0D0E9552" w14:textId="77777777" w:rsidR="003A08DB" w:rsidRDefault="003A08DB" w:rsidP="00BF7E68">
      <w:pPr>
        <w:jc w:val="center"/>
        <w:rPr>
          <w:rFonts w:cstheme="minorHAnsi"/>
          <w:szCs w:val="20"/>
        </w:rPr>
      </w:pPr>
    </w:p>
    <w:p w14:paraId="57C84CE6" w14:textId="77777777" w:rsidR="003A08DB" w:rsidRDefault="003A08DB" w:rsidP="00BF7E68">
      <w:pPr>
        <w:jc w:val="center"/>
        <w:rPr>
          <w:rFonts w:cstheme="minorHAnsi"/>
          <w:szCs w:val="20"/>
        </w:rPr>
      </w:pPr>
    </w:p>
    <w:p w14:paraId="05FEFBD6" w14:textId="77777777" w:rsidR="003A08DB" w:rsidRDefault="003A08DB" w:rsidP="00BF7E68">
      <w:pPr>
        <w:jc w:val="center"/>
        <w:rPr>
          <w:rFonts w:cstheme="minorHAnsi"/>
          <w:szCs w:val="20"/>
        </w:rPr>
      </w:pPr>
    </w:p>
    <w:p w14:paraId="5835C43B" w14:textId="77777777" w:rsidR="003A08DB" w:rsidRDefault="003A08DB" w:rsidP="00BF7E68">
      <w:pPr>
        <w:jc w:val="center"/>
        <w:rPr>
          <w:rFonts w:cstheme="minorHAnsi"/>
          <w:szCs w:val="20"/>
        </w:rPr>
      </w:pPr>
    </w:p>
    <w:p w14:paraId="784893D2" w14:textId="66E8A136" w:rsidR="003A08DB" w:rsidRPr="00FC2211" w:rsidRDefault="003A08DB" w:rsidP="00BF7E68">
      <w:pPr>
        <w:jc w:val="center"/>
        <w:rPr>
          <w:rFonts w:cstheme="minorHAnsi"/>
          <w:szCs w:val="20"/>
        </w:rPr>
        <w:sectPr w:rsidR="003A08DB" w:rsidRPr="00FC2211" w:rsidSect="00A71F06">
          <w:headerReference w:type="default" r:id="rId23"/>
          <w:pgSz w:w="16838" w:h="11906" w:orient="landscape" w:code="9"/>
          <w:pgMar w:top="907" w:right="1440" w:bottom="1440" w:left="1440" w:header="720" w:footer="1021" w:gutter="0"/>
          <w:cols w:space="720"/>
          <w:docGrid w:linePitch="360"/>
        </w:sectPr>
      </w:pPr>
    </w:p>
    <w:tbl>
      <w:tblPr>
        <w:tblW w:w="8931" w:type="dxa"/>
        <w:tblLook w:val="04A0" w:firstRow="1" w:lastRow="0" w:firstColumn="1" w:lastColumn="0" w:noHBand="0" w:noVBand="1"/>
      </w:tblPr>
      <w:tblGrid>
        <w:gridCol w:w="4796"/>
        <w:gridCol w:w="733"/>
        <w:gridCol w:w="1701"/>
        <w:gridCol w:w="1701"/>
      </w:tblGrid>
      <w:tr w:rsidR="00576953" w:rsidRPr="00576953" w14:paraId="49EF7811" w14:textId="77777777" w:rsidTr="00A97749">
        <w:trPr>
          <w:trHeight w:val="441"/>
        </w:trPr>
        <w:tc>
          <w:tcPr>
            <w:tcW w:w="4796" w:type="dxa"/>
            <w:tcBorders>
              <w:top w:val="nil"/>
              <w:left w:val="nil"/>
              <w:bottom w:val="nil"/>
              <w:right w:val="nil"/>
            </w:tcBorders>
            <w:shd w:val="clear" w:color="auto" w:fill="auto"/>
            <w:noWrap/>
            <w:vAlign w:val="center"/>
            <w:hideMark/>
          </w:tcPr>
          <w:p w14:paraId="3441AAAB" w14:textId="77777777" w:rsidR="00576953" w:rsidRPr="00576953" w:rsidRDefault="00576953" w:rsidP="00576953">
            <w:pPr>
              <w:rPr>
                <w:rFonts w:ascii="Times New Roman" w:hAnsi="Times New Roman"/>
                <w:sz w:val="24"/>
                <w:szCs w:val="20"/>
                <w:lang w:val="en-CA" w:eastAsia="en-CA"/>
              </w:rPr>
            </w:pPr>
          </w:p>
        </w:tc>
        <w:tc>
          <w:tcPr>
            <w:tcW w:w="733" w:type="dxa"/>
            <w:tcBorders>
              <w:top w:val="nil"/>
              <w:left w:val="nil"/>
              <w:bottom w:val="nil"/>
              <w:right w:val="nil"/>
            </w:tcBorders>
            <w:shd w:val="clear" w:color="auto" w:fill="auto"/>
            <w:noWrap/>
            <w:vAlign w:val="center"/>
            <w:hideMark/>
          </w:tcPr>
          <w:p w14:paraId="563D3464" w14:textId="77777777" w:rsidR="00576953" w:rsidRPr="00576953" w:rsidRDefault="00576953" w:rsidP="00576953">
            <w:pPr>
              <w:rPr>
                <w:rFonts w:ascii="Times New Roman" w:hAnsi="Times New Roman"/>
                <w:szCs w:val="20"/>
                <w:lang w:val="en-CA" w:eastAsia="en-CA"/>
              </w:rPr>
            </w:pPr>
          </w:p>
        </w:tc>
        <w:tc>
          <w:tcPr>
            <w:tcW w:w="3402" w:type="dxa"/>
            <w:gridSpan w:val="2"/>
            <w:tcBorders>
              <w:top w:val="nil"/>
              <w:left w:val="nil"/>
              <w:bottom w:val="single" w:sz="8" w:space="0" w:color="auto"/>
              <w:right w:val="nil"/>
            </w:tcBorders>
            <w:shd w:val="clear" w:color="auto" w:fill="auto"/>
            <w:vAlign w:val="center"/>
            <w:hideMark/>
          </w:tcPr>
          <w:p w14:paraId="050FCB1B" w14:textId="77777777"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For the nine months ended March 31</w:t>
            </w:r>
          </w:p>
        </w:tc>
      </w:tr>
      <w:tr w:rsidR="00576953" w:rsidRPr="00576953" w14:paraId="19BA41A7" w14:textId="77777777" w:rsidTr="00A97749">
        <w:trPr>
          <w:trHeight w:val="129"/>
        </w:trPr>
        <w:tc>
          <w:tcPr>
            <w:tcW w:w="4796" w:type="dxa"/>
            <w:tcBorders>
              <w:top w:val="nil"/>
              <w:left w:val="nil"/>
              <w:bottom w:val="single" w:sz="8" w:space="0" w:color="auto"/>
              <w:right w:val="nil"/>
            </w:tcBorders>
            <w:shd w:val="clear" w:color="auto" w:fill="auto"/>
            <w:vAlign w:val="center"/>
            <w:hideMark/>
          </w:tcPr>
          <w:p w14:paraId="02DDF2EE"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733" w:type="dxa"/>
            <w:tcBorders>
              <w:top w:val="nil"/>
              <w:left w:val="nil"/>
              <w:bottom w:val="single" w:sz="8" w:space="0" w:color="auto"/>
              <w:right w:val="nil"/>
            </w:tcBorders>
            <w:shd w:val="clear" w:color="auto" w:fill="auto"/>
            <w:vAlign w:val="center"/>
            <w:hideMark/>
          </w:tcPr>
          <w:p w14:paraId="17BD4445"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52F0BA33" w14:textId="77777777"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2024</w:t>
            </w:r>
          </w:p>
        </w:tc>
        <w:tc>
          <w:tcPr>
            <w:tcW w:w="1701" w:type="dxa"/>
            <w:tcBorders>
              <w:top w:val="nil"/>
              <w:left w:val="nil"/>
              <w:bottom w:val="single" w:sz="8" w:space="0" w:color="auto"/>
              <w:right w:val="nil"/>
            </w:tcBorders>
            <w:shd w:val="clear" w:color="auto" w:fill="auto"/>
            <w:vAlign w:val="center"/>
            <w:hideMark/>
          </w:tcPr>
          <w:p w14:paraId="78240AAB" w14:textId="77777777"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2023</w:t>
            </w:r>
          </w:p>
        </w:tc>
      </w:tr>
      <w:tr w:rsidR="00576953" w:rsidRPr="00576953" w14:paraId="2093A46D" w14:textId="77777777" w:rsidTr="00A97749">
        <w:trPr>
          <w:trHeight w:val="276"/>
        </w:trPr>
        <w:tc>
          <w:tcPr>
            <w:tcW w:w="4796" w:type="dxa"/>
            <w:tcBorders>
              <w:top w:val="nil"/>
              <w:left w:val="nil"/>
              <w:bottom w:val="nil"/>
              <w:right w:val="nil"/>
            </w:tcBorders>
            <w:shd w:val="clear" w:color="auto" w:fill="auto"/>
            <w:vAlign w:val="center"/>
            <w:hideMark/>
          </w:tcPr>
          <w:p w14:paraId="19755D24" w14:textId="77777777" w:rsidR="00576953" w:rsidRPr="00576953" w:rsidRDefault="00576953" w:rsidP="00576953">
            <w:pPr>
              <w:jc w:val="right"/>
              <w:rPr>
                <w:rFonts w:ascii="Calibri" w:hAnsi="Calibri" w:cs="Calibri"/>
                <w:color w:val="000000"/>
                <w:szCs w:val="20"/>
                <w:lang w:val="en-CA" w:eastAsia="en-CA"/>
              </w:rPr>
            </w:pPr>
          </w:p>
        </w:tc>
        <w:tc>
          <w:tcPr>
            <w:tcW w:w="733" w:type="dxa"/>
            <w:tcBorders>
              <w:top w:val="nil"/>
              <w:left w:val="nil"/>
              <w:bottom w:val="nil"/>
              <w:right w:val="nil"/>
            </w:tcBorders>
            <w:shd w:val="clear" w:color="auto" w:fill="auto"/>
            <w:vAlign w:val="center"/>
            <w:hideMark/>
          </w:tcPr>
          <w:p w14:paraId="4682EDC4" w14:textId="77777777" w:rsidR="00576953" w:rsidRPr="00576953" w:rsidRDefault="00576953" w:rsidP="00576953">
            <w:pPr>
              <w:rPr>
                <w:rFonts w:ascii="Times New Roman" w:hAnsi="Times New Roman"/>
                <w:szCs w:val="20"/>
                <w:lang w:val="en-CA" w:eastAsia="en-CA"/>
              </w:rPr>
            </w:pPr>
          </w:p>
        </w:tc>
        <w:tc>
          <w:tcPr>
            <w:tcW w:w="1701" w:type="dxa"/>
            <w:tcBorders>
              <w:top w:val="nil"/>
              <w:left w:val="nil"/>
              <w:bottom w:val="nil"/>
              <w:right w:val="nil"/>
            </w:tcBorders>
            <w:shd w:val="clear" w:color="auto" w:fill="auto"/>
            <w:vAlign w:val="center"/>
            <w:hideMark/>
          </w:tcPr>
          <w:p w14:paraId="27E8612E" w14:textId="77777777" w:rsidR="00576953" w:rsidRPr="00576953" w:rsidRDefault="00576953" w:rsidP="00576953">
            <w:pPr>
              <w:jc w:val="right"/>
              <w:rPr>
                <w:rFonts w:ascii="Times New Roman" w:hAnsi="Times New Roman"/>
                <w:szCs w:val="20"/>
                <w:lang w:val="en-CA" w:eastAsia="en-CA"/>
              </w:rPr>
            </w:pPr>
          </w:p>
        </w:tc>
        <w:tc>
          <w:tcPr>
            <w:tcW w:w="1701" w:type="dxa"/>
            <w:tcBorders>
              <w:top w:val="nil"/>
              <w:left w:val="nil"/>
              <w:bottom w:val="nil"/>
              <w:right w:val="nil"/>
            </w:tcBorders>
            <w:shd w:val="clear" w:color="auto" w:fill="auto"/>
            <w:vAlign w:val="center"/>
            <w:hideMark/>
          </w:tcPr>
          <w:p w14:paraId="18E4E78C" w14:textId="77777777" w:rsidR="00576953" w:rsidRPr="00576953" w:rsidRDefault="00576953" w:rsidP="00576953">
            <w:pPr>
              <w:jc w:val="right"/>
              <w:rPr>
                <w:rFonts w:ascii="Times New Roman" w:hAnsi="Times New Roman"/>
                <w:szCs w:val="20"/>
                <w:lang w:val="en-CA" w:eastAsia="en-CA"/>
              </w:rPr>
            </w:pPr>
          </w:p>
        </w:tc>
      </w:tr>
      <w:tr w:rsidR="00576953" w:rsidRPr="00576953" w14:paraId="542EBFC6" w14:textId="77777777" w:rsidTr="00A97749">
        <w:trPr>
          <w:trHeight w:val="276"/>
        </w:trPr>
        <w:tc>
          <w:tcPr>
            <w:tcW w:w="4796" w:type="dxa"/>
            <w:tcBorders>
              <w:top w:val="nil"/>
              <w:left w:val="nil"/>
              <w:bottom w:val="nil"/>
              <w:right w:val="nil"/>
            </w:tcBorders>
            <w:shd w:val="clear" w:color="auto" w:fill="auto"/>
            <w:vAlign w:val="center"/>
            <w:hideMark/>
          </w:tcPr>
          <w:p w14:paraId="5B17B6C6"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Cash flows used in operating activities:</w:t>
            </w:r>
          </w:p>
        </w:tc>
        <w:tc>
          <w:tcPr>
            <w:tcW w:w="733" w:type="dxa"/>
            <w:tcBorders>
              <w:top w:val="nil"/>
              <w:left w:val="nil"/>
              <w:bottom w:val="nil"/>
              <w:right w:val="nil"/>
            </w:tcBorders>
            <w:shd w:val="clear" w:color="auto" w:fill="auto"/>
            <w:vAlign w:val="center"/>
            <w:hideMark/>
          </w:tcPr>
          <w:p w14:paraId="37CBA737" w14:textId="77777777" w:rsidR="00576953" w:rsidRPr="00576953" w:rsidRDefault="00576953" w:rsidP="00576953">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vAlign w:val="center"/>
            <w:hideMark/>
          </w:tcPr>
          <w:p w14:paraId="1ADAC84B" w14:textId="77777777" w:rsidR="00576953" w:rsidRPr="00576953" w:rsidRDefault="00576953" w:rsidP="00576953">
            <w:pPr>
              <w:jc w:val="right"/>
              <w:rPr>
                <w:rFonts w:ascii="Times New Roman" w:hAnsi="Times New Roman"/>
                <w:szCs w:val="20"/>
                <w:lang w:val="en-CA" w:eastAsia="en-CA"/>
              </w:rPr>
            </w:pPr>
          </w:p>
        </w:tc>
        <w:tc>
          <w:tcPr>
            <w:tcW w:w="1701" w:type="dxa"/>
            <w:tcBorders>
              <w:top w:val="nil"/>
              <w:left w:val="nil"/>
              <w:bottom w:val="nil"/>
              <w:right w:val="nil"/>
            </w:tcBorders>
            <w:shd w:val="clear" w:color="auto" w:fill="auto"/>
            <w:vAlign w:val="center"/>
            <w:hideMark/>
          </w:tcPr>
          <w:p w14:paraId="56429A85" w14:textId="77777777" w:rsidR="00576953" w:rsidRPr="00576953" w:rsidRDefault="00576953" w:rsidP="00576953">
            <w:pPr>
              <w:jc w:val="right"/>
              <w:rPr>
                <w:rFonts w:ascii="Times New Roman" w:hAnsi="Times New Roman"/>
                <w:szCs w:val="20"/>
                <w:lang w:val="en-CA" w:eastAsia="en-CA"/>
              </w:rPr>
            </w:pPr>
          </w:p>
        </w:tc>
      </w:tr>
      <w:tr w:rsidR="00576953" w:rsidRPr="00576953" w14:paraId="02794606" w14:textId="77777777" w:rsidTr="00A97749">
        <w:trPr>
          <w:trHeight w:val="276"/>
        </w:trPr>
        <w:tc>
          <w:tcPr>
            <w:tcW w:w="4796" w:type="dxa"/>
            <w:tcBorders>
              <w:top w:val="nil"/>
              <w:left w:val="nil"/>
              <w:bottom w:val="nil"/>
              <w:right w:val="nil"/>
            </w:tcBorders>
            <w:shd w:val="clear" w:color="auto" w:fill="auto"/>
            <w:vAlign w:val="center"/>
            <w:hideMark/>
          </w:tcPr>
          <w:p w14:paraId="207FF882"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Net loss for the period</w:t>
            </w:r>
          </w:p>
        </w:tc>
        <w:tc>
          <w:tcPr>
            <w:tcW w:w="733" w:type="dxa"/>
            <w:tcBorders>
              <w:top w:val="nil"/>
              <w:left w:val="nil"/>
              <w:bottom w:val="nil"/>
              <w:right w:val="nil"/>
            </w:tcBorders>
            <w:shd w:val="clear" w:color="auto" w:fill="auto"/>
            <w:vAlign w:val="center"/>
            <w:hideMark/>
          </w:tcPr>
          <w:p w14:paraId="686D4414"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42D99D97" w14:textId="26B184B6" w:rsidR="00576953" w:rsidRPr="00576953" w:rsidRDefault="00576953" w:rsidP="00961430">
            <w:pPr>
              <w:ind w:right="-62"/>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  (2,193,093)</w:t>
            </w:r>
          </w:p>
        </w:tc>
        <w:tc>
          <w:tcPr>
            <w:tcW w:w="1701" w:type="dxa"/>
            <w:tcBorders>
              <w:top w:val="nil"/>
              <w:left w:val="nil"/>
              <w:bottom w:val="nil"/>
              <w:right w:val="nil"/>
            </w:tcBorders>
            <w:shd w:val="clear" w:color="auto" w:fill="auto"/>
            <w:noWrap/>
            <w:vAlign w:val="center"/>
            <w:hideMark/>
          </w:tcPr>
          <w:p w14:paraId="317F7A08" w14:textId="77777777" w:rsidR="00576953" w:rsidRPr="00576953" w:rsidRDefault="00576953" w:rsidP="00961430">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  (2,282,173)</w:t>
            </w:r>
          </w:p>
        </w:tc>
      </w:tr>
      <w:tr w:rsidR="00576953" w:rsidRPr="00576953" w14:paraId="101F8083" w14:textId="77777777" w:rsidTr="00A97749">
        <w:trPr>
          <w:trHeight w:val="276"/>
        </w:trPr>
        <w:tc>
          <w:tcPr>
            <w:tcW w:w="4796" w:type="dxa"/>
            <w:tcBorders>
              <w:top w:val="nil"/>
              <w:left w:val="nil"/>
              <w:bottom w:val="nil"/>
              <w:right w:val="nil"/>
            </w:tcBorders>
            <w:shd w:val="clear" w:color="auto" w:fill="auto"/>
            <w:vAlign w:val="center"/>
            <w:hideMark/>
          </w:tcPr>
          <w:p w14:paraId="018001BE"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Items not involving cash:</w:t>
            </w:r>
          </w:p>
        </w:tc>
        <w:tc>
          <w:tcPr>
            <w:tcW w:w="733" w:type="dxa"/>
            <w:tcBorders>
              <w:top w:val="nil"/>
              <w:left w:val="nil"/>
              <w:bottom w:val="nil"/>
              <w:right w:val="nil"/>
            </w:tcBorders>
            <w:shd w:val="clear" w:color="auto" w:fill="auto"/>
            <w:vAlign w:val="center"/>
            <w:hideMark/>
          </w:tcPr>
          <w:p w14:paraId="26CF73ED"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7F9F0169" w14:textId="77777777" w:rsidR="00576953" w:rsidRPr="00576953" w:rsidRDefault="00576953" w:rsidP="00576953">
            <w:pPr>
              <w:ind w:firstLineChars="200" w:firstLine="400"/>
              <w:jc w:val="right"/>
              <w:rPr>
                <w:rFonts w:ascii="Times New Roman" w:hAnsi="Times New Roman"/>
                <w:szCs w:val="20"/>
                <w:lang w:val="en-CA" w:eastAsia="en-CA"/>
              </w:rPr>
            </w:pPr>
          </w:p>
        </w:tc>
        <w:tc>
          <w:tcPr>
            <w:tcW w:w="1701" w:type="dxa"/>
            <w:tcBorders>
              <w:top w:val="nil"/>
              <w:left w:val="nil"/>
              <w:bottom w:val="nil"/>
              <w:right w:val="nil"/>
            </w:tcBorders>
            <w:shd w:val="clear" w:color="auto" w:fill="auto"/>
            <w:noWrap/>
            <w:vAlign w:val="center"/>
            <w:hideMark/>
          </w:tcPr>
          <w:p w14:paraId="120620A8" w14:textId="77777777" w:rsidR="00576953" w:rsidRPr="00576953" w:rsidRDefault="00576953" w:rsidP="00576953">
            <w:pPr>
              <w:jc w:val="right"/>
              <w:rPr>
                <w:rFonts w:ascii="Times New Roman" w:hAnsi="Times New Roman"/>
                <w:szCs w:val="20"/>
                <w:lang w:val="en-CA" w:eastAsia="en-CA"/>
              </w:rPr>
            </w:pPr>
          </w:p>
        </w:tc>
      </w:tr>
      <w:tr w:rsidR="00576953" w:rsidRPr="00576953" w14:paraId="4741655B" w14:textId="77777777" w:rsidTr="00A97749">
        <w:trPr>
          <w:trHeight w:val="552"/>
        </w:trPr>
        <w:tc>
          <w:tcPr>
            <w:tcW w:w="4796" w:type="dxa"/>
            <w:tcBorders>
              <w:top w:val="nil"/>
              <w:left w:val="nil"/>
              <w:bottom w:val="nil"/>
              <w:right w:val="nil"/>
            </w:tcBorders>
            <w:shd w:val="clear" w:color="auto" w:fill="auto"/>
            <w:vAlign w:val="center"/>
            <w:hideMark/>
          </w:tcPr>
          <w:p w14:paraId="2391CCE7" w14:textId="77777777" w:rsidR="00576953" w:rsidRPr="00576953" w:rsidRDefault="00576953" w:rsidP="00DF6DB0">
            <w:pPr>
              <w:ind w:left="746"/>
              <w:rPr>
                <w:rFonts w:ascii="Calibri" w:hAnsi="Calibri" w:cs="Calibri"/>
                <w:color w:val="000000"/>
                <w:szCs w:val="20"/>
                <w:lang w:val="en-CA" w:eastAsia="en-CA"/>
              </w:rPr>
            </w:pPr>
            <w:r w:rsidRPr="00576953">
              <w:rPr>
                <w:rFonts w:ascii="Calibri" w:hAnsi="Calibri" w:cs="Calibri"/>
                <w:color w:val="000000"/>
                <w:szCs w:val="20"/>
                <w:lang w:val="en-CA" w:eastAsia="en-CA"/>
              </w:rPr>
              <w:t>Depreciation and amortization on property, equipment, and intangible asset</w:t>
            </w:r>
          </w:p>
        </w:tc>
        <w:tc>
          <w:tcPr>
            <w:tcW w:w="733" w:type="dxa"/>
            <w:tcBorders>
              <w:top w:val="nil"/>
              <w:left w:val="nil"/>
              <w:bottom w:val="nil"/>
              <w:right w:val="nil"/>
            </w:tcBorders>
            <w:shd w:val="clear" w:color="auto" w:fill="auto"/>
            <w:vAlign w:val="center"/>
            <w:hideMark/>
          </w:tcPr>
          <w:p w14:paraId="2B6E6CF2"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46564E24" w14:textId="033CF025"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284,669 </w:t>
            </w:r>
          </w:p>
        </w:tc>
        <w:tc>
          <w:tcPr>
            <w:tcW w:w="1701" w:type="dxa"/>
            <w:tcBorders>
              <w:top w:val="nil"/>
              <w:left w:val="nil"/>
              <w:bottom w:val="nil"/>
              <w:right w:val="nil"/>
            </w:tcBorders>
            <w:shd w:val="clear" w:color="auto" w:fill="auto"/>
            <w:noWrap/>
            <w:vAlign w:val="center"/>
            <w:hideMark/>
          </w:tcPr>
          <w:p w14:paraId="780086D4" w14:textId="71F2BA24"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128,216 </w:t>
            </w:r>
          </w:p>
        </w:tc>
      </w:tr>
      <w:tr w:rsidR="00576953" w:rsidRPr="00576953" w14:paraId="28FEF4D8" w14:textId="77777777" w:rsidTr="00A97749">
        <w:trPr>
          <w:trHeight w:val="276"/>
        </w:trPr>
        <w:tc>
          <w:tcPr>
            <w:tcW w:w="4796" w:type="dxa"/>
            <w:tcBorders>
              <w:top w:val="nil"/>
              <w:left w:val="nil"/>
              <w:bottom w:val="nil"/>
              <w:right w:val="nil"/>
            </w:tcBorders>
            <w:shd w:val="clear" w:color="auto" w:fill="auto"/>
            <w:vAlign w:val="center"/>
            <w:hideMark/>
          </w:tcPr>
          <w:p w14:paraId="32DA3518"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Stock based compensation</w:t>
            </w:r>
          </w:p>
        </w:tc>
        <w:tc>
          <w:tcPr>
            <w:tcW w:w="733" w:type="dxa"/>
            <w:tcBorders>
              <w:top w:val="nil"/>
              <w:left w:val="nil"/>
              <w:bottom w:val="nil"/>
              <w:right w:val="nil"/>
            </w:tcBorders>
            <w:shd w:val="clear" w:color="auto" w:fill="auto"/>
            <w:vAlign w:val="center"/>
            <w:hideMark/>
          </w:tcPr>
          <w:p w14:paraId="783395CF"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6E0719F6" w14:textId="53D56D7E"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211,269 </w:t>
            </w:r>
          </w:p>
        </w:tc>
        <w:tc>
          <w:tcPr>
            <w:tcW w:w="1701" w:type="dxa"/>
            <w:tcBorders>
              <w:top w:val="nil"/>
              <w:left w:val="nil"/>
              <w:bottom w:val="nil"/>
              <w:right w:val="nil"/>
            </w:tcBorders>
            <w:shd w:val="clear" w:color="auto" w:fill="auto"/>
            <w:noWrap/>
            <w:vAlign w:val="center"/>
            <w:hideMark/>
          </w:tcPr>
          <w:p w14:paraId="217BE4A3" w14:textId="07DBE0F5"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55,477 </w:t>
            </w:r>
          </w:p>
        </w:tc>
      </w:tr>
      <w:tr w:rsidR="00576953" w:rsidRPr="00576953" w14:paraId="5F30FEAE" w14:textId="77777777" w:rsidTr="00A97749">
        <w:trPr>
          <w:trHeight w:val="276"/>
        </w:trPr>
        <w:tc>
          <w:tcPr>
            <w:tcW w:w="4796" w:type="dxa"/>
            <w:tcBorders>
              <w:top w:val="nil"/>
              <w:left w:val="nil"/>
              <w:bottom w:val="nil"/>
              <w:right w:val="nil"/>
            </w:tcBorders>
            <w:shd w:val="clear" w:color="auto" w:fill="auto"/>
            <w:vAlign w:val="center"/>
            <w:hideMark/>
          </w:tcPr>
          <w:p w14:paraId="5803BBB6"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Interest expense, net</w:t>
            </w:r>
          </w:p>
        </w:tc>
        <w:tc>
          <w:tcPr>
            <w:tcW w:w="733" w:type="dxa"/>
            <w:tcBorders>
              <w:top w:val="nil"/>
              <w:left w:val="nil"/>
              <w:bottom w:val="nil"/>
              <w:right w:val="nil"/>
            </w:tcBorders>
            <w:shd w:val="clear" w:color="auto" w:fill="auto"/>
            <w:vAlign w:val="center"/>
            <w:hideMark/>
          </w:tcPr>
          <w:p w14:paraId="22452CA1"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52CDEB76" w14:textId="3DD66181"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195,713 </w:t>
            </w:r>
          </w:p>
        </w:tc>
        <w:tc>
          <w:tcPr>
            <w:tcW w:w="1701" w:type="dxa"/>
            <w:tcBorders>
              <w:top w:val="nil"/>
              <w:left w:val="nil"/>
              <w:bottom w:val="nil"/>
              <w:right w:val="nil"/>
            </w:tcBorders>
            <w:shd w:val="clear" w:color="auto" w:fill="auto"/>
            <w:noWrap/>
            <w:vAlign w:val="center"/>
            <w:hideMark/>
          </w:tcPr>
          <w:p w14:paraId="40CEF8F1" w14:textId="353C5D9A"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85,163 </w:t>
            </w:r>
          </w:p>
        </w:tc>
      </w:tr>
      <w:tr w:rsidR="00576953" w:rsidRPr="00576953" w14:paraId="2A85303B" w14:textId="77777777" w:rsidTr="00A97749">
        <w:trPr>
          <w:trHeight w:val="276"/>
        </w:trPr>
        <w:tc>
          <w:tcPr>
            <w:tcW w:w="4796" w:type="dxa"/>
            <w:tcBorders>
              <w:top w:val="nil"/>
              <w:left w:val="nil"/>
              <w:bottom w:val="nil"/>
              <w:right w:val="nil"/>
            </w:tcBorders>
            <w:shd w:val="clear" w:color="auto" w:fill="auto"/>
            <w:vAlign w:val="center"/>
            <w:hideMark/>
          </w:tcPr>
          <w:p w14:paraId="75A73DD6"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Provision for inventory write down</w:t>
            </w:r>
          </w:p>
        </w:tc>
        <w:tc>
          <w:tcPr>
            <w:tcW w:w="733" w:type="dxa"/>
            <w:tcBorders>
              <w:top w:val="nil"/>
              <w:left w:val="nil"/>
              <w:bottom w:val="nil"/>
              <w:right w:val="nil"/>
            </w:tcBorders>
            <w:shd w:val="clear" w:color="auto" w:fill="auto"/>
            <w:vAlign w:val="center"/>
            <w:hideMark/>
          </w:tcPr>
          <w:p w14:paraId="2BFC38C6"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061ACB7D" w14:textId="64675D77"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29,416 </w:t>
            </w:r>
          </w:p>
        </w:tc>
        <w:tc>
          <w:tcPr>
            <w:tcW w:w="1701" w:type="dxa"/>
            <w:tcBorders>
              <w:top w:val="nil"/>
              <w:left w:val="nil"/>
              <w:bottom w:val="nil"/>
              <w:right w:val="nil"/>
            </w:tcBorders>
            <w:shd w:val="clear" w:color="auto" w:fill="auto"/>
            <w:noWrap/>
            <w:vAlign w:val="center"/>
            <w:hideMark/>
          </w:tcPr>
          <w:p w14:paraId="4CFD3FCB" w14:textId="67DFBE6D" w:rsidR="00576953" w:rsidRPr="00576953" w:rsidRDefault="00576953" w:rsidP="00BB5781">
            <w:pPr>
              <w:ind w:right="125"/>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   </w:t>
            </w:r>
          </w:p>
        </w:tc>
      </w:tr>
      <w:tr w:rsidR="00576953" w:rsidRPr="00576953" w14:paraId="09235868" w14:textId="77777777" w:rsidTr="00A97749">
        <w:trPr>
          <w:trHeight w:val="276"/>
        </w:trPr>
        <w:tc>
          <w:tcPr>
            <w:tcW w:w="4796" w:type="dxa"/>
            <w:tcBorders>
              <w:top w:val="nil"/>
              <w:left w:val="nil"/>
              <w:bottom w:val="nil"/>
              <w:right w:val="nil"/>
            </w:tcBorders>
            <w:shd w:val="clear" w:color="auto" w:fill="auto"/>
            <w:vAlign w:val="center"/>
            <w:hideMark/>
          </w:tcPr>
          <w:p w14:paraId="529806F9"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Amortization of right-of-use asset</w:t>
            </w:r>
          </w:p>
        </w:tc>
        <w:tc>
          <w:tcPr>
            <w:tcW w:w="733" w:type="dxa"/>
            <w:tcBorders>
              <w:top w:val="nil"/>
              <w:left w:val="nil"/>
              <w:bottom w:val="nil"/>
              <w:right w:val="nil"/>
            </w:tcBorders>
            <w:shd w:val="clear" w:color="auto" w:fill="auto"/>
            <w:vAlign w:val="center"/>
            <w:hideMark/>
          </w:tcPr>
          <w:p w14:paraId="2D50597F"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7E862B35" w14:textId="6C7982A2"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23,289 </w:t>
            </w:r>
          </w:p>
        </w:tc>
        <w:tc>
          <w:tcPr>
            <w:tcW w:w="1701" w:type="dxa"/>
            <w:tcBorders>
              <w:top w:val="nil"/>
              <w:left w:val="nil"/>
              <w:bottom w:val="nil"/>
              <w:right w:val="nil"/>
            </w:tcBorders>
            <w:shd w:val="clear" w:color="auto" w:fill="auto"/>
            <w:noWrap/>
            <w:vAlign w:val="center"/>
            <w:hideMark/>
          </w:tcPr>
          <w:p w14:paraId="7C349ACB" w14:textId="0D994181"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23,289 </w:t>
            </w:r>
          </w:p>
        </w:tc>
      </w:tr>
      <w:tr w:rsidR="00576953" w:rsidRPr="00576953" w14:paraId="7353E369" w14:textId="77777777" w:rsidTr="00A97749">
        <w:trPr>
          <w:trHeight w:val="276"/>
        </w:trPr>
        <w:tc>
          <w:tcPr>
            <w:tcW w:w="4796" w:type="dxa"/>
            <w:tcBorders>
              <w:top w:val="nil"/>
              <w:left w:val="nil"/>
              <w:bottom w:val="nil"/>
              <w:right w:val="nil"/>
            </w:tcBorders>
            <w:shd w:val="clear" w:color="auto" w:fill="auto"/>
            <w:vAlign w:val="center"/>
            <w:hideMark/>
          </w:tcPr>
          <w:p w14:paraId="2C034E99"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Bad Debts Expense</w:t>
            </w:r>
          </w:p>
        </w:tc>
        <w:tc>
          <w:tcPr>
            <w:tcW w:w="733" w:type="dxa"/>
            <w:tcBorders>
              <w:top w:val="nil"/>
              <w:left w:val="nil"/>
              <w:bottom w:val="nil"/>
              <w:right w:val="nil"/>
            </w:tcBorders>
            <w:shd w:val="clear" w:color="auto" w:fill="auto"/>
            <w:vAlign w:val="center"/>
            <w:hideMark/>
          </w:tcPr>
          <w:p w14:paraId="15EAFBA2"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72C4243B" w14:textId="0C9569FB"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6,614 </w:t>
            </w:r>
          </w:p>
        </w:tc>
        <w:tc>
          <w:tcPr>
            <w:tcW w:w="1701" w:type="dxa"/>
            <w:tcBorders>
              <w:top w:val="nil"/>
              <w:left w:val="nil"/>
              <w:bottom w:val="nil"/>
              <w:right w:val="nil"/>
            </w:tcBorders>
            <w:shd w:val="clear" w:color="auto" w:fill="auto"/>
            <w:noWrap/>
            <w:vAlign w:val="center"/>
            <w:hideMark/>
          </w:tcPr>
          <w:p w14:paraId="69AED5FB" w14:textId="4B72A68A" w:rsidR="00576953" w:rsidRPr="00576953" w:rsidRDefault="00576953" w:rsidP="00BB5781">
            <w:pPr>
              <w:ind w:right="125"/>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   </w:t>
            </w:r>
          </w:p>
        </w:tc>
      </w:tr>
      <w:tr w:rsidR="00576953" w:rsidRPr="00576953" w14:paraId="004A1EA4" w14:textId="77777777" w:rsidTr="00A97749">
        <w:trPr>
          <w:trHeight w:val="276"/>
        </w:trPr>
        <w:tc>
          <w:tcPr>
            <w:tcW w:w="4796" w:type="dxa"/>
            <w:tcBorders>
              <w:top w:val="nil"/>
              <w:left w:val="nil"/>
              <w:bottom w:val="nil"/>
              <w:right w:val="nil"/>
            </w:tcBorders>
            <w:shd w:val="clear" w:color="auto" w:fill="auto"/>
            <w:vAlign w:val="center"/>
            <w:hideMark/>
          </w:tcPr>
          <w:p w14:paraId="74481C31"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Change in non-cash operating working capital:</w:t>
            </w:r>
          </w:p>
        </w:tc>
        <w:tc>
          <w:tcPr>
            <w:tcW w:w="733" w:type="dxa"/>
            <w:tcBorders>
              <w:top w:val="nil"/>
              <w:left w:val="nil"/>
              <w:bottom w:val="nil"/>
              <w:right w:val="nil"/>
            </w:tcBorders>
            <w:shd w:val="clear" w:color="auto" w:fill="auto"/>
            <w:vAlign w:val="center"/>
            <w:hideMark/>
          </w:tcPr>
          <w:p w14:paraId="0D6E771E"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61DC825A" w14:textId="77777777" w:rsidR="00576953" w:rsidRPr="00576953" w:rsidRDefault="00576953" w:rsidP="00576953">
            <w:pPr>
              <w:ind w:firstLineChars="200" w:firstLine="400"/>
              <w:jc w:val="right"/>
              <w:rPr>
                <w:rFonts w:ascii="Times New Roman" w:hAnsi="Times New Roman"/>
                <w:szCs w:val="20"/>
                <w:lang w:val="en-CA" w:eastAsia="en-CA"/>
              </w:rPr>
            </w:pPr>
          </w:p>
        </w:tc>
        <w:tc>
          <w:tcPr>
            <w:tcW w:w="1701" w:type="dxa"/>
            <w:tcBorders>
              <w:top w:val="nil"/>
              <w:left w:val="nil"/>
              <w:bottom w:val="nil"/>
              <w:right w:val="nil"/>
            </w:tcBorders>
            <w:shd w:val="clear" w:color="auto" w:fill="auto"/>
            <w:noWrap/>
            <w:vAlign w:val="center"/>
            <w:hideMark/>
          </w:tcPr>
          <w:p w14:paraId="6381A955" w14:textId="77777777" w:rsidR="00576953" w:rsidRPr="00576953" w:rsidRDefault="00576953" w:rsidP="00576953">
            <w:pPr>
              <w:jc w:val="right"/>
              <w:rPr>
                <w:rFonts w:ascii="Times New Roman" w:hAnsi="Times New Roman"/>
                <w:szCs w:val="20"/>
                <w:lang w:val="en-CA" w:eastAsia="en-CA"/>
              </w:rPr>
            </w:pPr>
          </w:p>
        </w:tc>
      </w:tr>
      <w:tr w:rsidR="00576953" w:rsidRPr="00576953" w14:paraId="44BA53C2" w14:textId="77777777" w:rsidTr="00A97749">
        <w:trPr>
          <w:trHeight w:val="276"/>
        </w:trPr>
        <w:tc>
          <w:tcPr>
            <w:tcW w:w="4796" w:type="dxa"/>
            <w:tcBorders>
              <w:top w:val="nil"/>
              <w:left w:val="nil"/>
              <w:bottom w:val="nil"/>
              <w:right w:val="nil"/>
            </w:tcBorders>
            <w:shd w:val="clear" w:color="auto" w:fill="auto"/>
            <w:vAlign w:val="center"/>
            <w:hideMark/>
          </w:tcPr>
          <w:p w14:paraId="36861740"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Accounts receivable</w:t>
            </w:r>
          </w:p>
        </w:tc>
        <w:tc>
          <w:tcPr>
            <w:tcW w:w="733" w:type="dxa"/>
            <w:tcBorders>
              <w:top w:val="nil"/>
              <w:left w:val="nil"/>
              <w:bottom w:val="nil"/>
              <w:right w:val="nil"/>
            </w:tcBorders>
            <w:shd w:val="clear" w:color="auto" w:fill="auto"/>
            <w:vAlign w:val="center"/>
            <w:hideMark/>
          </w:tcPr>
          <w:p w14:paraId="5136C964"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3DD8F312" w14:textId="5B0F6FAA"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100,256 </w:t>
            </w:r>
          </w:p>
        </w:tc>
        <w:tc>
          <w:tcPr>
            <w:tcW w:w="1701" w:type="dxa"/>
            <w:tcBorders>
              <w:top w:val="nil"/>
              <w:left w:val="nil"/>
              <w:bottom w:val="nil"/>
              <w:right w:val="nil"/>
            </w:tcBorders>
            <w:shd w:val="clear" w:color="auto" w:fill="auto"/>
            <w:noWrap/>
            <w:vAlign w:val="center"/>
            <w:hideMark/>
          </w:tcPr>
          <w:p w14:paraId="46F1C90A" w14:textId="086BCA36" w:rsidR="00576953" w:rsidRPr="00576953" w:rsidRDefault="00576953" w:rsidP="00DF6DB0">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(176,882)</w:t>
            </w:r>
          </w:p>
        </w:tc>
      </w:tr>
      <w:tr w:rsidR="00576953" w:rsidRPr="00576953" w14:paraId="5964E767" w14:textId="77777777" w:rsidTr="00A97749">
        <w:trPr>
          <w:trHeight w:val="276"/>
        </w:trPr>
        <w:tc>
          <w:tcPr>
            <w:tcW w:w="4796" w:type="dxa"/>
            <w:tcBorders>
              <w:top w:val="nil"/>
              <w:left w:val="nil"/>
              <w:bottom w:val="nil"/>
              <w:right w:val="nil"/>
            </w:tcBorders>
            <w:shd w:val="clear" w:color="auto" w:fill="auto"/>
            <w:vAlign w:val="center"/>
            <w:hideMark/>
          </w:tcPr>
          <w:p w14:paraId="3B2C0C20"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Prepaid expenses</w:t>
            </w:r>
          </w:p>
        </w:tc>
        <w:tc>
          <w:tcPr>
            <w:tcW w:w="733" w:type="dxa"/>
            <w:tcBorders>
              <w:top w:val="nil"/>
              <w:left w:val="nil"/>
              <w:bottom w:val="nil"/>
              <w:right w:val="nil"/>
            </w:tcBorders>
            <w:shd w:val="clear" w:color="auto" w:fill="auto"/>
            <w:vAlign w:val="center"/>
            <w:hideMark/>
          </w:tcPr>
          <w:p w14:paraId="23D9E884"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79B9CEF7" w14:textId="7A3BB069"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34,234 </w:t>
            </w:r>
          </w:p>
        </w:tc>
        <w:tc>
          <w:tcPr>
            <w:tcW w:w="1701" w:type="dxa"/>
            <w:tcBorders>
              <w:top w:val="nil"/>
              <w:left w:val="nil"/>
              <w:bottom w:val="nil"/>
              <w:right w:val="nil"/>
            </w:tcBorders>
            <w:shd w:val="clear" w:color="auto" w:fill="auto"/>
            <w:noWrap/>
            <w:vAlign w:val="center"/>
            <w:hideMark/>
          </w:tcPr>
          <w:p w14:paraId="6845D0B7" w14:textId="2A39376F"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124,995 </w:t>
            </w:r>
          </w:p>
        </w:tc>
      </w:tr>
      <w:tr w:rsidR="00576953" w:rsidRPr="00576953" w14:paraId="25EA2D97" w14:textId="77777777" w:rsidTr="00A97749">
        <w:trPr>
          <w:trHeight w:val="276"/>
        </w:trPr>
        <w:tc>
          <w:tcPr>
            <w:tcW w:w="4796" w:type="dxa"/>
            <w:tcBorders>
              <w:top w:val="nil"/>
              <w:left w:val="nil"/>
              <w:bottom w:val="nil"/>
              <w:right w:val="nil"/>
            </w:tcBorders>
            <w:shd w:val="clear" w:color="auto" w:fill="auto"/>
            <w:vAlign w:val="center"/>
            <w:hideMark/>
          </w:tcPr>
          <w:p w14:paraId="0F0E3BFA"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Inventory</w:t>
            </w:r>
          </w:p>
        </w:tc>
        <w:tc>
          <w:tcPr>
            <w:tcW w:w="733" w:type="dxa"/>
            <w:tcBorders>
              <w:top w:val="nil"/>
              <w:left w:val="nil"/>
              <w:bottom w:val="nil"/>
              <w:right w:val="nil"/>
            </w:tcBorders>
            <w:shd w:val="clear" w:color="auto" w:fill="auto"/>
            <w:vAlign w:val="center"/>
            <w:hideMark/>
          </w:tcPr>
          <w:p w14:paraId="301FAC54"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4A22E96F" w14:textId="5EEB9C50"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19,746 </w:t>
            </w:r>
          </w:p>
        </w:tc>
        <w:tc>
          <w:tcPr>
            <w:tcW w:w="1701" w:type="dxa"/>
            <w:tcBorders>
              <w:top w:val="nil"/>
              <w:left w:val="nil"/>
              <w:bottom w:val="nil"/>
              <w:right w:val="nil"/>
            </w:tcBorders>
            <w:shd w:val="clear" w:color="auto" w:fill="auto"/>
            <w:noWrap/>
            <w:vAlign w:val="center"/>
            <w:hideMark/>
          </w:tcPr>
          <w:p w14:paraId="386215C6" w14:textId="7010718A" w:rsidR="00576953" w:rsidRPr="00576953" w:rsidRDefault="00576953" w:rsidP="00DF6DB0">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(124,384)</w:t>
            </w:r>
          </w:p>
        </w:tc>
      </w:tr>
      <w:tr w:rsidR="00576953" w:rsidRPr="00576953" w14:paraId="06DD2DBE" w14:textId="77777777" w:rsidTr="00A97749">
        <w:trPr>
          <w:trHeight w:val="276"/>
        </w:trPr>
        <w:tc>
          <w:tcPr>
            <w:tcW w:w="4796" w:type="dxa"/>
            <w:tcBorders>
              <w:top w:val="nil"/>
              <w:left w:val="nil"/>
              <w:bottom w:val="nil"/>
              <w:right w:val="nil"/>
            </w:tcBorders>
            <w:shd w:val="clear" w:color="auto" w:fill="auto"/>
            <w:vAlign w:val="center"/>
            <w:hideMark/>
          </w:tcPr>
          <w:p w14:paraId="23E3B979"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Accounts payable and accrued liabilities</w:t>
            </w:r>
          </w:p>
        </w:tc>
        <w:tc>
          <w:tcPr>
            <w:tcW w:w="733" w:type="dxa"/>
            <w:tcBorders>
              <w:top w:val="nil"/>
              <w:left w:val="nil"/>
              <w:bottom w:val="nil"/>
              <w:right w:val="nil"/>
            </w:tcBorders>
            <w:shd w:val="clear" w:color="auto" w:fill="auto"/>
            <w:vAlign w:val="center"/>
            <w:hideMark/>
          </w:tcPr>
          <w:p w14:paraId="724F1299"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5E8967E6" w14:textId="07EAC2D4"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499,633 </w:t>
            </w:r>
          </w:p>
        </w:tc>
        <w:tc>
          <w:tcPr>
            <w:tcW w:w="1701" w:type="dxa"/>
            <w:tcBorders>
              <w:top w:val="nil"/>
              <w:left w:val="nil"/>
              <w:bottom w:val="nil"/>
              <w:right w:val="nil"/>
            </w:tcBorders>
            <w:shd w:val="clear" w:color="auto" w:fill="auto"/>
            <w:noWrap/>
            <w:vAlign w:val="center"/>
            <w:hideMark/>
          </w:tcPr>
          <w:p w14:paraId="5863C72F" w14:textId="41E0C1A1"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2,296 </w:t>
            </w:r>
          </w:p>
        </w:tc>
      </w:tr>
      <w:tr w:rsidR="00576953" w:rsidRPr="00576953" w14:paraId="6EC79459" w14:textId="77777777" w:rsidTr="00A97749">
        <w:trPr>
          <w:trHeight w:val="276"/>
        </w:trPr>
        <w:tc>
          <w:tcPr>
            <w:tcW w:w="4796" w:type="dxa"/>
            <w:tcBorders>
              <w:top w:val="nil"/>
              <w:left w:val="nil"/>
              <w:bottom w:val="nil"/>
              <w:right w:val="nil"/>
            </w:tcBorders>
            <w:shd w:val="clear" w:color="auto" w:fill="auto"/>
            <w:vAlign w:val="center"/>
            <w:hideMark/>
          </w:tcPr>
          <w:p w14:paraId="6E30996D"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Due to related parties</w:t>
            </w:r>
          </w:p>
        </w:tc>
        <w:tc>
          <w:tcPr>
            <w:tcW w:w="733" w:type="dxa"/>
            <w:tcBorders>
              <w:top w:val="nil"/>
              <w:left w:val="nil"/>
              <w:bottom w:val="nil"/>
              <w:right w:val="nil"/>
            </w:tcBorders>
            <w:shd w:val="clear" w:color="auto" w:fill="auto"/>
            <w:vAlign w:val="center"/>
            <w:hideMark/>
          </w:tcPr>
          <w:p w14:paraId="597AEEC5"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5C26E54A" w14:textId="54410440" w:rsidR="00576953" w:rsidRPr="00576953" w:rsidRDefault="00576953" w:rsidP="00DF6DB0">
            <w:pPr>
              <w:ind w:right="-62"/>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(9,950)</w:t>
            </w:r>
          </w:p>
        </w:tc>
        <w:tc>
          <w:tcPr>
            <w:tcW w:w="1701" w:type="dxa"/>
            <w:tcBorders>
              <w:top w:val="nil"/>
              <w:left w:val="nil"/>
              <w:bottom w:val="nil"/>
              <w:right w:val="nil"/>
            </w:tcBorders>
            <w:shd w:val="clear" w:color="auto" w:fill="auto"/>
            <w:noWrap/>
            <w:vAlign w:val="center"/>
            <w:hideMark/>
          </w:tcPr>
          <w:p w14:paraId="5B372D09" w14:textId="66711920"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456 </w:t>
            </w:r>
          </w:p>
        </w:tc>
      </w:tr>
      <w:tr w:rsidR="00576953" w:rsidRPr="00576953" w14:paraId="583C6486" w14:textId="77777777" w:rsidTr="00A97749">
        <w:trPr>
          <w:trHeight w:val="288"/>
        </w:trPr>
        <w:tc>
          <w:tcPr>
            <w:tcW w:w="4796" w:type="dxa"/>
            <w:tcBorders>
              <w:top w:val="nil"/>
              <w:left w:val="nil"/>
              <w:bottom w:val="nil"/>
              <w:right w:val="nil"/>
            </w:tcBorders>
            <w:shd w:val="clear" w:color="auto" w:fill="auto"/>
            <w:vAlign w:val="center"/>
            <w:hideMark/>
          </w:tcPr>
          <w:p w14:paraId="7993119D" w14:textId="77777777" w:rsidR="00576953" w:rsidRPr="00576953" w:rsidRDefault="00576953" w:rsidP="00576953">
            <w:pPr>
              <w:ind w:firstLineChars="400" w:firstLine="800"/>
              <w:rPr>
                <w:rFonts w:ascii="Calibri" w:hAnsi="Calibri" w:cs="Calibri"/>
                <w:color w:val="000000"/>
                <w:szCs w:val="20"/>
                <w:lang w:val="en-CA" w:eastAsia="en-CA"/>
              </w:rPr>
            </w:pPr>
            <w:r w:rsidRPr="00576953">
              <w:rPr>
                <w:rFonts w:ascii="Calibri" w:hAnsi="Calibri" w:cs="Calibri"/>
                <w:color w:val="000000"/>
                <w:szCs w:val="20"/>
                <w:lang w:val="en-CA" w:eastAsia="en-CA"/>
              </w:rPr>
              <w:t>GST recoverable</w:t>
            </w:r>
          </w:p>
        </w:tc>
        <w:tc>
          <w:tcPr>
            <w:tcW w:w="733" w:type="dxa"/>
            <w:tcBorders>
              <w:top w:val="nil"/>
              <w:left w:val="nil"/>
              <w:bottom w:val="nil"/>
              <w:right w:val="nil"/>
            </w:tcBorders>
            <w:shd w:val="clear" w:color="auto" w:fill="auto"/>
            <w:vAlign w:val="center"/>
            <w:hideMark/>
          </w:tcPr>
          <w:p w14:paraId="1A17BAD5" w14:textId="77777777" w:rsidR="00576953" w:rsidRPr="00576953" w:rsidRDefault="00576953" w:rsidP="0057695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1B674E87" w14:textId="5D4CDECB"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9,278 </w:t>
            </w:r>
          </w:p>
        </w:tc>
        <w:tc>
          <w:tcPr>
            <w:tcW w:w="1701" w:type="dxa"/>
            <w:tcBorders>
              <w:top w:val="nil"/>
              <w:left w:val="nil"/>
              <w:bottom w:val="nil"/>
              <w:right w:val="nil"/>
            </w:tcBorders>
            <w:shd w:val="clear" w:color="auto" w:fill="auto"/>
            <w:noWrap/>
            <w:vAlign w:val="center"/>
            <w:hideMark/>
          </w:tcPr>
          <w:p w14:paraId="653C6004" w14:textId="1BDDC016" w:rsidR="00576953" w:rsidRPr="00576953" w:rsidRDefault="00576953" w:rsidP="00C93E57">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(507)</w:t>
            </w:r>
          </w:p>
        </w:tc>
      </w:tr>
      <w:tr w:rsidR="00576953" w:rsidRPr="00576953" w14:paraId="0E3A41EC" w14:textId="77777777" w:rsidTr="00A97749">
        <w:trPr>
          <w:trHeight w:val="288"/>
        </w:trPr>
        <w:tc>
          <w:tcPr>
            <w:tcW w:w="4796" w:type="dxa"/>
            <w:tcBorders>
              <w:top w:val="single" w:sz="8" w:space="0" w:color="auto"/>
              <w:left w:val="nil"/>
              <w:bottom w:val="single" w:sz="12" w:space="0" w:color="auto"/>
              <w:right w:val="nil"/>
            </w:tcBorders>
            <w:shd w:val="clear" w:color="auto" w:fill="auto"/>
            <w:vAlign w:val="center"/>
            <w:hideMark/>
          </w:tcPr>
          <w:p w14:paraId="1FE9582D"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733" w:type="dxa"/>
            <w:tcBorders>
              <w:top w:val="single" w:sz="8" w:space="0" w:color="auto"/>
              <w:left w:val="nil"/>
              <w:bottom w:val="single" w:sz="12" w:space="0" w:color="auto"/>
              <w:right w:val="nil"/>
            </w:tcBorders>
            <w:shd w:val="clear" w:color="auto" w:fill="auto"/>
            <w:vAlign w:val="center"/>
            <w:hideMark/>
          </w:tcPr>
          <w:p w14:paraId="55E8749D"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1701" w:type="dxa"/>
            <w:tcBorders>
              <w:top w:val="single" w:sz="8" w:space="0" w:color="auto"/>
              <w:left w:val="nil"/>
              <w:bottom w:val="single" w:sz="12" w:space="0" w:color="auto"/>
              <w:right w:val="nil"/>
            </w:tcBorders>
            <w:shd w:val="clear" w:color="auto" w:fill="auto"/>
            <w:noWrap/>
            <w:vAlign w:val="center"/>
            <w:hideMark/>
          </w:tcPr>
          <w:p w14:paraId="51CE82B3" w14:textId="690BFFE3" w:rsidR="00576953" w:rsidRPr="00576953" w:rsidRDefault="00576953" w:rsidP="00C93E57">
            <w:pPr>
              <w:ind w:right="-62"/>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(788,926)</w:t>
            </w:r>
          </w:p>
        </w:tc>
        <w:tc>
          <w:tcPr>
            <w:tcW w:w="1701" w:type="dxa"/>
            <w:tcBorders>
              <w:top w:val="single" w:sz="8" w:space="0" w:color="auto"/>
              <w:left w:val="nil"/>
              <w:bottom w:val="single" w:sz="12" w:space="0" w:color="auto"/>
              <w:right w:val="nil"/>
            </w:tcBorders>
            <w:shd w:val="clear" w:color="auto" w:fill="auto"/>
            <w:noWrap/>
            <w:vAlign w:val="center"/>
            <w:hideMark/>
          </w:tcPr>
          <w:p w14:paraId="7A78FACB" w14:textId="251ECF34" w:rsidR="00576953" w:rsidRPr="00576953" w:rsidRDefault="00576953" w:rsidP="00C93E57">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(2,164,054)</w:t>
            </w:r>
          </w:p>
        </w:tc>
      </w:tr>
      <w:tr w:rsidR="00576953" w:rsidRPr="00576953" w14:paraId="76A870CA" w14:textId="77777777" w:rsidTr="00A97749">
        <w:trPr>
          <w:trHeight w:val="288"/>
        </w:trPr>
        <w:tc>
          <w:tcPr>
            <w:tcW w:w="4796" w:type="dxa"/>
            <w:tcBorders>
              <w:top w:val="nil"/>
              <w:left w:val="nil"/>
              <w:bottom w:val="nil"/>
              <w:right w:val="nil"/>
            </w:tcBorders>
            <w:shd w:val="clear" w:color="auto" w:fill="auto"/>
            <w:vAlign w:val="center"/>
            <w:hideMark/>
          </w:tcPr>
          <w:p w14:paraId="6BFFBE18"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Cash flows used in investing activities:</w:t>
            </w:r>
          </w:p>
        </w:tc>
        <w:tc>
          <w:tcPr>
            <w:tcW w:w="733" w:type="dxa"/>
            <w:tcBorders>
              <w:top w:val="nil"/>
              <w:left w:val="nil"/>
              <w:bottom w:val="nil"/>
              <w:right w:val="nil"/>
            </w:tcBorders>
            <w:shd w:val="clear" w:color="auto" w:fill="auto"/>
            <w:vAlign w:val="center"/>
            <w:hideMark/>
          </w:tcPr>
          <w:p w14:paraId="4D2C83DF" w14:textId="77777777" w:rsidR="00576953" w:rsidRPr="00576953" w:rsidRDefault="00576953" w:rsidP="00576953">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3FCBE43E" w14:textId="77777777" w:rsidR="00576953" w:rsidRPr="00576953" w:rsidRDefault="00576953" w:rsidP="00576953">
            <w:pPr>
              <w:jc w:val="right"/>
              <w:rPr>
                <w:rFonts w:ascii="Times New Roman" w:hAnsi="Times New Roman"/>
                <w:szCs w:val="20"/>
                <w:lang w:val="en-CA" w:eastAsia="en-CA"/>
              </w:rPr>
            </w:pPr>
          </w:p>
        </w:tc>
        <w:tc>
          <w:tcPr>
            <w:tcW w:w="1701" w:type="dxa"/>
            <w:tcBorders>
              <w:top w:val="nil"/>
              <w:left w:val="nil"/>
              <w:bottom w:val="nil"/>
              <w:right w:val="nil"/>
            </w:tcBorders>
            <w:shd w:val="clear" w:color="auto" w:fill="auto"/>
            <w:noWrap/>
            <w:vAlign w:val="center"/>
            <w:hideMark/>
          </w:tcPr>
          <w:p w14:paraId="0BFFFD63" w14:textId="77777777" w:rsidR="00576953" w:rsidRPr="00576953" w:rsidRDefault="00576953" w:rsidP="00576953">
            <w:pPr>
              <w:jc w:val="right"/>
              <w:rPr>
                <w:rFonts w:ascii="Times New Roman" w:hAnsi="Times New Roman"/>
                <w:szCs w:val="20"/>
                <w:lang w:val="en-CA" w:eastAsia="en-CA"/>
              </w:rPr>
            </w:pPr>
          </w:p>
        </w:tc>
      </w:tr>
      <w:tr w:rsidR="00576953" w:rsidRPr="00576953" w14:paraId="2C62E36B" w14:textId="77777777" w:rsidTr="00A97749">
        <w:trPr>
          <w:trHeight w:val="288"/>
        </w:trPr>
        <w:tc>
          <w:tcPr>
            <w:tcW w:w="4796" w:type="dxa"/>
            <w:tcBorders>
              <w:top w:val="nil"/>
              <w:left w:val="nil"/>
              <w:bottom w:val="nil"/>
              <w:right w:val="nil"/>
            </w:tcBorders>
            <w:shd w:val="clear" w:color="auto" w:fill="auto"/>
            <w:vAlign w:val="center"/>
            <w:hideMark/>
          </w:tcPr>
          <w:p w14:paraId="36FBED92"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Purchase of equipment</w:t>
            </w:r>
          </w:p>
        </w:tc>
        <w:tc>
          <w:tcPr>
            <w:tcW w:w="733" w:type="dxa"/>
            <w:tcBorders>
              <w:top w:val="nil"/>
              <w:left w:val="nil"/>
              <w:bottom w:val="nil"/>
              <w:right w:val="nil"/>
            </w:tcBorders>
            <w:shd w:val="clear" w:color="auto" w:fill="auto"/>
            <w:vAlign w:val="center"/>
            <w:hideMark/>
          </w:tcPr>
          <w:p w14:paraId="79D5BB00"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1773DB59" w14:textId="0C64A81F" w:rsidR="00576953" w:rsidRPr="00576953" w:rsidRDefault="00576953" w:rsidP="00C93E57">
            <w:pPr>
              <w:ind w:right="-62"/>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(351,921)</w:t>
            </w:r>
          </w:p>
        </w:tc>
        <w:tc>
          <w:tcPr>
            <w:tcW w:w="1701" w:type="dxa"/>
            <w:tcBorders>
              <w:top w:val="nil"/>
              <w:left w:val="nil"/>
              <w:bottom w:val="nil"/>
              <w:right w:val="nil"/>
            </w:tcBorders>
            <w:shd w:val="clear" w:color="auto" w:fill="auto"/>
            <w:noWrap/>
            <w:vAlign w:val="center"/>
            <w:hideMark/>
          </w:tcPr>
          <w:p w14:paraId="52B2B1FC" w14:textId="29FFD51C" w:rsidR="00576953" w:rsidRPr="00576953" w:rsidRDefault="00576953" w:rsidP="00C93E57">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(607,225)</w:t>
            </w:r>
          </w:p>
        </w:tc>
      </w:tr>
      <w:tr w:rsidR="00576953" w:rsidRPr="00576953" w14:paraId="3E36383B" w14:textId="77777777" w:rsidTr="00A97749">
        <w:trPr>
          <w:trHeight w:val="288"/>
        </w:trPr>
        <w:tc>
          <w:tcPr>
            <w:tcW w:w="4796" w:type="dxa"/>
            <w:tcBorders>
              <w:top w:val="single" w:sz="8" w:space="0" w:color="auto"/>
              <w:left w:val="nil"/>
              <w:bottom w:val="single" w:sz="12" w:space="0" w:color="auto"/>
              <w:right w:val="nil"/>
            </w:tcBorders>
            <w:shd w:val="clear" w:color="auto" w:fill="auto"/>
            <w:vAlign w:val="center"/>
            <w:hideMark/>
          </w:tcPr>
          <w:p w14:paraId="68BB55A9"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733" w:type="dxa"/>
            <w:tcBorders>
              <w:top w:val="single" w:sz="8" w:space="0" w:color="auto"/>
              <w:left w:val="nil"/>
              <w:bottom w:val="single" w:sz="12" w:space="0" w:color="auto"/>
              <w:right w:val="nil"/>
            </w:tcBorders>
            <w:shd w:val="clear" w:color="auto" w:fill="auto"/>
            <w:vAlign w:val="center"/>
            <w:hideMark/>
          </w:tcPr>
          <w:p w14:paraId="75D233C5"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1701" w:type="dxa"/>
            <w:tcBorders>
              <w:top w:val="single" w:sz="8" w:space="0" w:color="auto"/>
              <w:left w:val="nil"/>
              <w:bottom w:val="single" w:sz="12" w:space="0" w:color="auto"/>
              <w:right w:val="nil"/>
            </w:tcBorders>
            <w:shd w:val="clear" w:color="auto" w:fill="auto"/>
            <w:noWrap/>
            <w:vAlign w:val="center"/>
            <w:hideMark/>
          </w:tcPr>
          <w:p w14:paraId="1C1904AE" w14:textId="0C925C05" w:rsidR="00576953" w:rsidRPr="00576953" w:rsidRDefault="00576953" w:rsidP="00C93E57">
            <w:pPr>
              <w:ind w:right="-62"/>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(351,921)</w:t>
            </w:r>
          </w:p>
        </w:tc>
        <w:tc>
          <w:tcPr>
            <w:tcW w:w="1701" w:type="dxa"/>
            <w:tcBorders>
              <w:top w:val="single" w:sz="8" w:space="0" w:color="auto"/>
              <w:left w:val="nil"/>
              <w:bottom w:val="single" w:sz="12" w:space="0" w:color="auto"/>
              <w:right w:val="nil"/>
            </w:tcBorders>
            <w:shd w:val="clear" w:color="auto" w:fill="auto"/>
            <w:noWrap/>
            <w:vAlign w:val="center"/>
            <w:hideMark/>
          </w:tcPr>
          <w:p w14:paraId="06D54149" w14:textId="569F5721" w:rsidR="00576953" w:rsidRPr="00576953" w:rsidRDefault="00576953" w:rsidP="00C93E57">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(607,225)</w:t>
            </w:r>
          </w:p>
        </w:tc>
      </w:tr>
      <w:tr w:rsidR="00576953" w:rsidRPr="00576953" w14:paraId="22E6D12D" w14:textId="77777777" w:rsidTr="00A97749">
        <w:trPr>
          <w:trHeight w:val="288"/>
        </w:trPr>
        <w:tc>
          <w:tcPr>
            <w:tcW w:w="4796" w:type="dxa"/>
            <w:tcBorders>
              <w:top w:val="nil"/>
              <w:left w:val="nil"/>
              <w:bottom w:val="nil"/>
              <w:right w:val="nil"/>
            </w:tcBorders>
            <w:shd w:val="clear" w:color="auto" w:fill="auto"/>
            <w:vAlign w:val="center"/>
            <w:hideMark/>
          </w:tcPr>
          <w:p w14:paraId="4117F771"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Cash flows provided by (used in) financing activities:</w:t>
            </w:r>
          </w:p>
        </w:tc>
        <w:tc>
          <w:tcPr>
            <w:tcW w:w="733" w:type="dxa"/>
            <w:tcBorders>
              <w:top w:val="nil"/>
              <w:left w:val="nil"/>
              <w:bottom w:val="nil"/>
              <w:right w:val="nil"/>
            </w:tcBorders>
            <w:shd w:val="clear" w:color="auto" w:fill="auto"/>
            <w:vAlign w:val="center"/>
            <w:hideMark/>
          </w:tcPr>
          <w:p w14:paraId="4F7C72E1" w14:textId="77777777" w:rsidR="00576953" w:rsidRPr="00576953" w:rsidRDefault="00576953" w:rsidP="00576953">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745010DB" w14:textId="77777777" w:rsidR="00576953" w:rsidRPr="00576953" w:rsidRDefault="00576953" w:rsidP="00576953">
            <w:pPr>
              <w:jc w:val="right"/>
              <w:rPr>
                <w:rFonts w:ascii="Times New Roman" w:hAnsi="Times New Roman"/>
                <w:szCs w:val="20"/>
                <w:lang w:val="en-CA" w:eastAsia="en-CA"/>
              </w:rPr>
            </w:pPr>
          </w:p>
        </w:tc>
        <w:tc>
          <w:tcPr>
            <w:tcW w:w="1701" w:type="dxa"/>
            <w:tcBorders>
              <w:top w:val="nil"/>
              <w:left w:val="nil"/>
              <w:bottom w:val="nil"/>
              <w:right w:val="nil"/>
            </w:tcBorders>
            <w:shd w:val="clear" w:color="auto" w:fill="auto"/>
            <w:noWrap/>
            <w:vAlign w:val="center"/>
            <w:hideMark/>
          </w:tcPr>
          <w:p w14:paraId="3EA389B6" w14:textId="77777777" w:rsidR="00576953" w:rsidRPr="00576953" w:rsidRDefault="00576953" w:rsidP="00576953">
            <w:pPr>
              <w:jc w:val="right"/>
              <w:rPr>
                <w:rFonts w:ascii="Times New Roman" w:hAnsi="Times New Roman"/>
                <w:szCs w:val="20"/>
                <w:lang w:val="en-CA" w:eastAsia="en-CA"/>
              </w:rPr>
            </w:pPr>
          </w:p>
        </w:tc>
      </w:tr>
      <w:tr w:rsidR="00576953" w:rsidRPr="00576953" w14:paraId="6752D885" w14:textId="77777777" w:rsidTr="00A97749">
        <w:trPr>
          <w:trHeight w:val="276"/>
        </w:trPr>
        <w:tc>
          <w:tcPr>
            <w:tcW w:w="4796" w:type="dxa"/>
            <w:tcBorders>
              <w:top w:val="nil"/>
              <w:left w:val="nil"/>
              <w:bottom w:val="nil"/>
              <w:right w:val="nil"/>
            </w:tcBorders>
            <w:shd w:val="clear" w:color="auto" w:fill="auto"/>
            <w:noWrap/>
            <w:vAlign w:val="center"/>
            <w:hideMark/>
          </w:tcPr>
          <w:p w14:paraId="0BF37ED2"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Loan received</w:t>
            </w:r>
          </w:p>
        </w:tc>
        <w:tc>
          <w:tcPr>
            <w:tcW w:w="733" w:type="dxa"/>
            <w:tcBorders>
              <w:top w:val="nil"/>
              <w:left w:val="nil"/>
              <w:bottom w:val="nil"/>
              <w:right w:val="nil"/>
            </w:tcBorders>
            <w:shd w:val="clear" w:color="auto" w:fill="auto"/>
            <w:noWrap/>
            <w:vAlign w:val="center"/>
            <w:hideMark/>
          </w:tcPr>
          <w:p w14:paraId="1754FF1B"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32CB66DB" w14:textId="65E0EC7A"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570,000 </w:t>
            </w:r>
          </w:p>
        </w:tc>
        <w:tc>
          <w:tcPr>
            <w:tcW w:w="1701" w:type="dxa"/>
            <w:tcBorders>
              <w:top w:val="nil"/>
              <w:left w:val="nil"/>
              <w:bottom w:val="nil"/>
              <w:right w:val="nil"/>
            </w:tcBorders>
            <w:shd w:val="clear" w:color="auto" w:fill="auto"/>
            <w:noWrap/>
            <w:vAlign w:val="center"/>
            <w:hideMark/>
          </w:tcPr>
          <w:p w14:paraId="4035B44E" w14:textId="563054EB"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1,000,000 </w:t>
            </w:r>
          </w:p>
        </w:tc>
      </w:tr>
      <w:tr w:rsidR="00576953" w:rsidRPr="00576953" w14:paraId="002FF8B5" w14:textId="77777777" w:rsidTr="00A97749">
        <w:trPr>
          <w:trHeight w:val="276"/>
        </w:trPr>
        <w:tc>
          <w:tcPr>
            <w:tcW w:w="4796" w:type="dxa"/>
            <w:tcBorders>
              <w:top w:val="nil"/>
              <w:left w:val="nil"/>
              <w:bottom w:val="nil"/>
              <w:right w:val="nil"/>
            </w:tcBorders>
            <w:shd w:val="clear" w:color="auto" w:fill="auto"/>
            <w:noWrap/>
            <w:vAlign w:val="center"/>
            <w:hideMark/>
          </w:tcPr>
          <w:p w14:paraId="70494B64"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Proceeds from bank loan</w:t>
            </w:r>
          </w:p>
        </w:tc>
        <w:tc>
          <w:tcPr>
            <w:tcW w:w="733" w:type="dxa"/>
            <w:tcBorders>
              <w:top w:val="nil"/>
              <w:left w:val="nil"/>
              <w:bottom w:val="nil"/>
              <w:right w:val="nil"/>
            </w:tcBorders>
            <w:shd w:val="clear" w:color="auto" w:fill="auto"/>
            <w:noWrap/>
            <w:vAlign w:val="center"/>
            <w:hideMark/>
          </w:tcPr>
          <w:p w14:paraId="46DE3CCE"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56CF7FE1" w14:textId="00DCFB29"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350,000 </w:t>
            </w:r>
          </w:p>
        </w:tc>
        <w:tc>
          <w:tcPr>
            <w:tcW w:w="1701" w:type="dxa"/>
            <w:tcBorders>
              <w:top w:val="nil"/>
              <w:left w:val="nil"/>
              <w:bottom w:val="nil"/>
              <w:right w:val="nil"/>
            </w:tcBorders>
            <w:shd w:val="clear" w:color="auto" w:fill="auto"/>
            <w:noWrap/>
            <w:vAlign w:val="center"/>
            <w:hideMark/>
          </w:tcPr>
          <w:p w14:paraId="7169BACB" w14:textId="39DE8387" w:rsidR="00576953" w:rsidRPr="00576953" w:rsidRDefault="00576953" w:rsidP="00BB5781">
            <w:pPr>
              <w:ind w:right="125"/>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   </w:t>
            </w:r>
          </w:p>
        </w:tc>
      </w:tr>
      <w:tr w:rsidR="00576953" w:rsidRPr="00576953" w14:paraId="05EF59C5" w14:textId="77777777" w:rsidTr="00A97749">
        <w:trPr>
          <w:trHeight w:val="276"/>
        </w:trPr>
        <w:tc>
          <w:tcPr>
            <w:tcW w:w="4796" w:type="dxa"/>
            <w:tcBorders>
              <w:top w:val="nil"/>
              <w:left w:val="nil"/>
              <w:bottom w:val="nil"/>
              <w:right w:val="nil"/>
            </w:tcBorders>
            <w:shd w:val="clear" w:color="auto" w:fill="auto"/>
            <w:noWrap/>
            <w:vAlign w:val="center"/>
            <w:hideMark/>
          </w:tcPr>
          <w:p w14:paraId="4B64EE14"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Interest paid</w:t>
            </w:r>
          </w:p>
        </w:tc>
        <w:tc>
          <w:tcPr>
            <w:tcW w:w="733" w:type="dxa"/>
            <w:tcBorders>
              <w:top w:val="nil"/>
              <w:left w:val="nil"/>
              <w:bottom w:val="nil"/>
              <w:right w:val="nil"/>
            </w:tcBorders>
            <w:shd w:val="clear" w:color="auto" w:fill="auto"/>
            <w:noWrap/>
            <w:vAlign w:val="center"/>
            <w:hideMark/>
          </w:tcPr>
          <w:p w14:paraId="7A0E4330"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1034936F" w14:textId="389C0A85" w:rsidR="00576953" w:rsidRPr="00576953" w:rsidRDefault="00576953" w:rsidP="00C93E57">
            <w:pPr>
              <w:ind w:right="-62"/>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(31,857)</w:t>
            </w:r>
          </w:p>
        </w:tc>
        <w:tc>
          <w:tcPr>
            <w:tcW w:w="1701" w:type="dxa"/>
            <w:tcBorders>
              <w:top w:val="nil"/>
              <w:left w:val="nil"/>
              <w:bottom w:val="nil"/>
              <w:right w:val="nil"/>
            </w:tcBorders>
            <w:shd w:val="clear" w:color="auto" w:fill="auto"/>
            <w:noWrap/>
            <w:vAlign w:val="center"/>
            <w:hideMark/>
          </w:tcPr>
          <w:p w14:paraId="4C08BAB4" w14:textId="28689328" w:rsidR="00576953" w:rsidRPr="00576953" w:rsidRDefault="00576953" w:rsidP="00BB5781">
            <w:pPr>
              <w:ind w:right="125"/>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   </w:t>
            </w:r>
          </w:p>
        </w:tc>
      </w:tr>
      <w:tr w:rsidR="00576953" w:rsidRPr="00576953" w14:paraId="2E501AF2" w14:textId="77777777" w:rsidTr="00A97749">
        <w:trPr>
          <w:trHeight w:val="276"/>
        </w:trPr>
        <w:tc>
          <w:tcPr>
            <w:tcW w:w="4796" w:type="dxa"/>
            <w:tcBorders>
              <w:top w:val="nil"/>
              <w:left w:val="nil"/>
              <w:bottom w:val="nil"/>
              <w:right w:val="nil"/>
            </w:tcBorders>
            <w:shd w:val="clear" w:color="auto" w:fill="auto"/>
            <w:noWrap/>
            <w:vAlign w:val="center"/>
            <w:hideMark/>
          </w:tcPr>
          <w:p w14:paraId="4A538DE4"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Payments for lease obligations</w:t>
            </w:r>
          </w:p>
        </w:tc>
        <w:tc>
          <w:tcPr>
            <w:tcW w:w="733" w:type="dxa"/>
            <w:tcBorders>
              <w:top w:val="nil"/>
              <w:left w:val="nil"/>
              <w:bottom w:val="nil"/>
              <w:right w:val="nil"/>
            </w:tcBorders>
            <w:shd w:val="clear" w:color="auto" w:fill="auto"/>
            <w:noWrap/>
            <w:vAlign w:val="center"/>
            <w:hideMark/>
          </w:tcPr>
          <w:p w14:paraId="02774DEE"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35F55EBB" w14:textId="554C53C1" w:rsidR="00576953" w:rsidRPr="00576953" w:rsidRDefault="00576953" w:rsidP="00C93E57">
            <w:pPr>
              <w:ind w:right="-62"/>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(31,570)</w:t>
            </w:r>
          </w:p>
        </w:tc>
        <w:tc>
          <w:tcPr>
            <w:tcW w:w="1701" w:type="dxa"/>
            <w:tcBorders>
              <w:top w:val="nil"/>
              <w:left w:val="nil"/>
              <w:bottom w:val="nil"/>
              <w:right w:val="nil"/>
            </w:tcBorders>
            <w:shd w:val="clear" w:color="auto" w:fill="auto"/>
            <w:noWrap/>
            <w:vAlign w:val="center"/>
            <w:hideMark/>
          </w:tcPr>
          <w:p w14:paraId="213FF96A" w14:textId="57C2DB66" w:rsidR="00576953" w:rsidRPr="00576953" w:rsidRDefault="00576953" w:rsidP="00022D72">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(30,940)</w:t>
            </w:r>
          </w:p>
        </w:tc>
      </w:tr>
      <w:tr w:rsidR="00576953" w:rsidRPr="00576953" w14:paraId="35E4DB60" w14:textId="77777777" w:rsidTr="00A97749">
        <w:trPr>
          <w:trHeight w:val="276"/>
        </w:trPr>
        <w:tc>
          <w:tcPr>
            <w:tcW w:w="4796" w:type="dxa"/>
            <w:tcBorders>
              <w:top w:val="nil"/>
              <w:left w:val="nil"/>
              <w:bottom w:val="nil"/>
              <w:right w:val="nil"/>
            </w:tcBorders>
            <w:shd w:val="clear" w:color="auto" w:fill="auto"/>
            <w:noWrap/>
            <w:vAlign w:val="center"/>
            <w:hideMark/>
          </w:tcPr>
          <w:p w14:paraId="52267BAC"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Debt issuance cost</w:t>
            </w:r>
          </w:p>
        </w:tc>
        <w:tc>
          <w:tcPr>
            <w:tcW w:w="733" w:type="dxa"/>
            <w:tcBorders>
              <w:top w:val="nil"/>
              <w:left w:val="nil"/>
              <w:bottom w:val="nil"/>
              <w:right w:val="nil"/>
            </w:tcBorders>
            <w:shd w:val="clear" w:color="auto" w:fill="auto"/>
            <w:noWrap/>
            <w:vAlign w:val="center"/>
            <w:hideMark/>
          </w:tcPr>
          <w:p w14:paraId="29635372"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62850DB6" w14:textId="6C35E455" w:rsidR="00576953" w:rsidRPr="00576953" w:rsidRDefault="00576953" w:rsidP="00C93E57">
            <w:pPr>
              <w:ind w:right="-62"/>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(29,120)</w:t>
            </w:r>
          </w:p>
        </w:tc>
        <w:tc>
          <w:tcPr>
            <w:tcW w:w="1701" w:type="dxa"/>
            <w:tcBorders>
              <w:top w:val="nil"/>
              <w:left w:val="nil"/>
              <w:bottom w:val="nil"/>
              <w:right w:val="nil"/>
            </w:tcBorders>
            <w:shd w:val="clear" w:color="auto" w:fill="auto"/>
            <w:noWrap/>
            <w:vAlign w:val="center"/>
            <w:hideMark/>
          </w:tcPr>
          <w:p w14:paraId="256BDC08" w14:textId="4EE23973" w:rsidR="00576953" w:rsidRPr="00576953" w:rsidRDefault="00576953" w:rsidP="00BB5781">
            <w:pPr>
              <w:ind w:right="125"/>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   </w:t>
            </w:r>
          </w:p>
        </w:tc>
      </w:tr>
      <w:tr w:rsidR="00576953" w:rsidRPr="00576953" w14:paraId="1D3E0E82" w14:textId="77777777" w:rsidTr="00A97749">
        <w:trPr>
          <w:trHeight w:val="276"/>
        </w:trPr>
        <w:tc>
          <w:tcPr>
            <w:tcW w:w="4796" w:type="dxa"/>
            <w:tcBorders>
              <w:top w:val="nil"/>
              <w:left w:val="nil"/>
              <w:bottom w:val="nil"/>
              <w:right w:val="nil"/>
            </w:tcBorders>
            <w:shd w:val="clear" w:color="auto" w:fill="auto"/>
            <w:noWrap/>
            <w:vAlign w:val="center"/>
            <w:hideMark/>
          </w:tcPr>
          <w:p w14:paraId="27C0BBC2"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Proceeds from issuance of shares</w:t>
            </w:r>
          </w:p>
        </w:tc>
        <w:tc>
          <w:tcPr>
            <w:tcW w:w="733" w:type="dxa"/>
            <w:tcBorders>
              <w:top w:val="nil"/>
              <w:left w:val="nil"/>
              <w:bottom w:val="nil"/>
              <w:right w:val="nil"/>
            </w:tcBorders>
            <w:shd w:val="clear" w:color="auto" w:fill="auto"/>
            <w:noWrap/>
            <w:vAlign w:val="center"/>
            <w:hideMark/>
          </w:tcPr>
          <w:p w14:paraId="27EFB8B3"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328D7FD9" w14:textId="6A858D2F" w:rsidR="00576953" w:rsidRPr="00576953" w:rsidRDefault="00576953" w:rsidP="00BB5781">
            <w:pPr>
              <w:ind w:right="125"/>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796E72FB" w14:textId="6967C419"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1,743,000 </w:t>
            </w:r>
          </w:p>
        </w:tc>
      </w:tr>
      <w:tr w:rsidR="00576953" w:rsidRPr="00576953" w14:paraId="6D43B628" w14:textId="77777777" w:rsidTr="00A97749">
        <w:trPr>
          <w:trHeight w:val="288"/>
        </w:trPr>
        <w:tc>
          <w:tcPr>
            <w:tcW w:w="4796" w:type="dxa"/>
            <w:tcBorders>
              <w:top w:val="nil"/>
              <w:left w:val="nil"/>
              <w:bottom w:val="nil"/>
              <w:right w:val="nil"/>
            </w:tcBorders>
            <w:shd w:val="clear" w:color="auto" w:fill="auto"/>
            <w:noWrap/>
            <w:vAlign w:val="center"/>
            <w:hideMark/>
          </w:tcPr>
          <w:p w14:paraId="70BF467F" w14:textId="77777777" w:rsidR="00576953" w:rsidRPr="00576953" w:rsidRDefault="00576953" w:rsidP="00576953">
            <w:pPr>
              <w:ind w:firstLineChars="200" w:firstLine="400"/>
              <w:rPr>
                <w:rFonts w:ascii="Calibri" w:hAnsi="Calibri" w:cs="Calibri"/>
                <w:color w:val="000000"/>
                <w:szCs w:val="20"/>
                <w:lang w:val="en-CA" w:eastAsia="en-CA"/>
              </w:rPr>
            </w:pPr>
            <w:r w:rsidRPr="00576953">
              <w:rPr>
                <w:rFonts w:ascii="Calibri" w:hAnsi="Calibri" w:cs="Calibri"/>
                <w:color w:val="000000"/>
                <w:szCs w:val="20"/>
                <w:lang w:val="en-CA" w:eastAsia="en-CA"/>
              </w:rPr>
              <w:t>Shares issuance cost</w:t>
            </w:r>
          </w:p>
        </w:tc>
        <w:tc>
          <w:tcPr>
            <w:tcW w:w="733" w:type="dxa"/>
            <w:tcBorders>
              <w:top w:val="nil"/>
              <w:left w:val="nil"/>
              <w:bottom w:val="nil"/>
              <w:right w:val="nil"/>
            </w:tcBorders>
            <w:shd w:val="clear" w:color="auto" w:fill="auto"/>
            <w:noWrap/>
            <w:vAlign w:val="center"/>
            <w:hideMark/>
          </w:tcPr>
          <w:p w14:paraId="75007BF5" w14:textId="77777777" w:rsidR="00576953" w:rsidRPr="00576953" w:rsidRDefault="00576953" w:rsidP="00576953">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2EA04FBB" w14:textId="20862B1A" w:rsidR="00576953" w:rsidRPr="00576953" w:rsidRDefault="00576953" w:rsidP="00BB5781">
            <w:pPr>
              <w:ind w:right="125"/>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571F77CC" w14:textId="4CDAF070" w:rsidR="00576953" w:rsidRPr="00576953" w:rsidRDefault="00576953" w:rsidP="00022D72">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(407,381)</w:t>
            </w:r>
          </w:p>
        </w:tc>
      </w:tr>
      <w:tr w:rsidR="00576953" w:rsidRPr="00576953" w14:paraId="4C255641" w14:textId="77777777" w:rsidTr="00A97749">
        <w:trPr>
          <w:trHeight w:val="288"/>
        </w:trPr>
        <w:tc>
          <w:tcPr>
            <w:tcW w:w="4796" w:type="dxa"/>
            <w:tcBorders>
              <w:top w:val="single" w:sz="8" w:space="0" w:color="auto"/>
              <w:left w:val="nil"/>
              <w:bottom w:val="single" w:sz="12" w:space="0" w:color="auto"/>
              <w:right w:val="nil"/>
            </w:tcBorders>
            <w:shd w:val="clear" w:color="auto" w:fill="auto"/>
            <w:vAlign w:val="center"/>
            <w:hideMark/>
          </w:tcPr>
          <w:p w14:paraId="59B00FB2"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733" w:type="dxa"/>
            <w:tcBorders>
              <w:top w:val="single" w:sz="8" w:space="0" w:color="auto"/>
              <w:left w:val="nil"/>
              <w:bottom w:val="single" w:sz="12" w:space="0" w:color="auto"/>
              <w:right w:val="nil"/>
            </w:tcBorders>
            <w:shd w:val="clear" w:color="auto" w:fill="auto"/>
            <w:vAlign w:val="center"/>
            <w:hideMark/>
          </w:tcPr>
          <w:p w14:paraId="5257008C"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1701" w:type="dxa"/>
            <w:tcBorders>
              <w:top w:val="single" w:sz="8" w:space="0" w:color="auto"/>
              <w:left w:val="nil"/>
              <w:bottom w:val="single" w:sz="12" w:space="0" w:color="auto"/>
              <w:right w:val="nil"/>
            </w:tcBorders>
            <w:shd w:val="clear" w:color="auto" w:fill="auto"/>
            <w:noWrap/>
            <w:vAlign w:val="center"/>
            <w:hideMark/>
          </w:tcPr>
          <w:p w14:paraId="6EBCCF60" w14:textId="1736985C"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827,453 </w:t>
            </w:r>
          </w:p>
        </w:tc>
        <w:tc>
          <w:tcPr>
            <w:tcW w:w="1701" w:type="dxa"/>
            <w:tcBorders>
              <w:top w:val="single" w:sz="8" w:space="0" w:color="auto"/>
              <w:left w:val="nil"/>
              <w:bottom w:val="single" w:sz="12" w:space="0" w:color="auto"/>
              <w:right w:val="nil"/>
            </w:tcBorders>
            <w:shd w:val="clear" w:color="auto" w:fill="auto"/>
            <w:noWrap/>
            <w:vAlign w:val="center"/>
            <w:hideMark/>
          </w:tcPr>
          <w:p w14:paraId="5C6C91E1" w14:textId="0646CE1C"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2,304,679 </w:t>
            </w:r>
          </w:p>
        </w:tc>
      </w:tr>
      <w:tr w:rsidR="00576953" w:rsidRPr="00576953" w14:paraId="309E2A76" w14:textId="77777777" w:rsidTr="00A97749">
        <w:trPr>
          <w:trHeight w:val="288"/>
        </w:trPr>
        <w:tc>
          <w:tcPr>
            <w:tcW w:w="4796" w:type="dxa"/>
            <w:tcBorders>
              <w:top w:val="nil"/>
              <w:left w:val="nil"/>
              <w:bottom w:val="nil"/>
              <w:right w:val="nil"/>
            </w:tcBorders>
            <w:shd w:val="clear" w:color="auto" w:fill="auto"/>
            <w:vAlign w:val="center"/>
            <w:hideMark/>
          </w:tcPr>
          <w:p w14:paraId="4F6ADC92"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Change in cash</w:t>
            </w:r>
          </w:p>
        </w:tc>
        <w:tc>
          <w:tcPr>
            <w:tcW w:w="733" w:type="dxa"/>
            <w:tcBorders>
              <w:top w:val="nil"/>
              <w:left w:val="nil"/>
              <w:bottom w:val="nil"/>
              <w:right w:val="nil"/>
            </w:tcBorders>
            <w:shd w:val="clear" w:color="auto" w:fill="auto"/>
            <w:vAlign w:val="center"/>
            <w:hideMark/>
          </w:tcPr>
          <w:p w14:paraId="519CA887" w14:textId="77777777" w:rsidR="00576953" w:rsidRPr="00576953" w:rsidRDefault="00576953" w:rsidP="00576953">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01FA1492" w14:textId="247FC4DC" w:rsidR="00576953" w:rsidRPr="00576953" w:rsidRDefault="00576953" w:rsidP="00022D72">
            <w:pPr>
              <w:ind w:right="-62"/>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(313,394)</w:t>
            </w:r>
          </w:p>
        </w:tc>
        <w:tc>
          <w:tcPr>
            <w:tcW w:w="1701" w:type="dxa"/>
            <w:tcBorders>
              <w:top w:val="nil"/>
              <w:left w:val="nil"/>
              <w:bottom w:val="nil"/>
              <w:right w:val="nil"/>
            </w:tcBorders>
            <w:shd w:val="clear" w:color="auto" w:fill="auto"/>
            <w:noWrap/>
            <w:vAlign w:val="center"/>
            <w:hideMark/>
          </w:tcPr>
          <w:p w14:paraId="71F3CA20" w14:textId="655DBE58" w:rsidR="00576953" w:rsidRPr="00576953" w:rsidRDefault="00576953" w:rsidP="00022D72">
            <w:pPr>
              <w:ind w:right="-62"/>
              <w:jc w:val="right"/>
              <w:rPr>
                <w:rFonts w:ascii="Calibri" w:hAnsi="Calibri" w:cs="Calibri"/>
                <w:color w:val="000000"/>
                <w:szCs w:val="20"/>
                <w:lang w:val="en-CA" w:eastAsia="en-CA"/>
              </w:rPr>
            </w:pPr>
            <w:r w:rsidRPr="00576953">
              <w:rPr>
                <w:rFonts w:ascii="Calibri" w:hAnsi="Calibri" w:cs="Calibri"/>
                <w:color w:val="000000"/>
                <w:szCs w:val="20"/>
                <w:lang w:val="en-CA" w:eastAsia="en-CA"/>
              </w:rPr>
              <w:t>(466,600)</w:t>
            </w:r>
          </w:p>
        </w:tc>
      </w:tr>
      <w:tr w:rsidR="00576953" w:rsidRPr="00576953" w14:paraId="43156D22" w14:textId="77777777" w:rsidTr="00A97749">
        <w:trPr>
          <w:trHeight w:val="288"/>
        </w:trPr>
        <w:tc>
          <w:tcPr>
            <w:tcW w:w="4796" w:type="dxa"/>
            <w:tcBorders>
              <w:top w:val="nil"/>
              <w:left w:val="nil"/>
              <w:bottom w:val="single" w:sz="8" w:space="0" w:color="auto"/>
              <w:right w:val="nil"/>
            </w:tcBorders>
            <w:shd w:val="clear" w:color="auto" w:fill="auto"/>
            <w:vAlign w:val="center"/>
            <w:hideMark/>
          </w:tcPr>
          <w:p w14:paraId="3ECFAC96"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Cash, beginning of period</w:t>
            </w:r>
          </w:p>
        </w:tc>
        <w:tc>
          <w:tcPr>
            <w:tcW w:w="733" w:type="dxa"/>
            <w:tcBorders>
              <w:top w:val="nil"/>
              <w:left w:val="nil"/>
              <w:bottom w:val="single" w:sz="8" w:space="0" w:color="auto"/>
              <w:right w:val="nil"/>
            </w:tcBorders>
            <w:shd w:val="clear" w:color="auto" w:fill="auto"/>
            <w:vAlign w:val="center"/>
            <w:hideMark/>
          </w:tcPr>
          <w:p w14:paraId="401CC76A"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1701" w:type="dxa"/>
            <w:tcBorders>
              <w:top w:val="nil"/>
              <w:left w:val="nil"/>
              <w:bottom w:val="single" w:sz="8" w:space="0" w:color="auto"/>
              <w:right w:val="nil"/>
            </w:tcBorders>
            <w:shd w:val="clear" w:color="auto" w:fill="auto"/>
            <w:noWrap/>
            <w:vAlign w:val="center"/>
            <w:hideMark/>
          </w:tcPr>
          <w:p w14:paraId="2B1B0DF1" w14:textId="54AFF1AE"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362,510 </w:t>
            </w:r>
          </w:p>
        </w:tc>
        <w:tc>
          <w:tcPr>
            <w:tcW w:w="1701" w:type="dxa"/>
            <w:tcBorders>
              <w:top w:val="nil"/>
              <w:left w:val="nil"/>
              <w:bottom w:val="single" w:sz="8" w:space="0" w:color="auto"/>
              <w:right w:val="nil"/>
            </w:tcBorders>
            <w:shd w:val="clear" w:color="auto" w:fill="auto"/>
            <w:noWrap/>
            <w:vAlign w:val="center"/>
            <w:hideMark/>
          </w:tcPr>
          <w:p w14:paraId="47F2A79F" w14:textId="585C1C52"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1,706,048 </w:t>
            </w:r>
          </w:p>
        </w:tc>
      </w:tr>
      <w:tr w:rsidR="00576953" w:rsidRPr="00576953" w14:paraId="754FAFF0" w14:textId="77777777" w:rsidTr="00A97749">
        <w:trPr>
          <w:trHeight w:val="288"/>
        </w:trPr>
        <w:tc>
          <w:tcPr>
            <w:tcW w:w="4796" w:type="dxa"/>
            <w:tcBorders>
              <w:top w:val="single" w:sz="8" w:space="0" w:color="auto"/>
              <w:left w:val="nil"/>
              <w:bottom w:val="single" w:sz="12" w:space="0" w:color="auto"/>
              <w:right w:val="nil"/>
            </w:tcBorders>
            <w:shd w:val="clear" w:color="auto" w:fill="auto"/>
            <w:vAlign w:val="center"/>
            <w:hideMark/>
          </w:tcPr>
          <w:p w14:paraId="28087A2F"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Cash, end of period</w:t>
            </w:r>
          </w:p>
        </w:tc>
        <w:tc>
          <w:tcPr>
            <w:tcW w:w="733" w:type="dxa"/>
            <w:tcBorders>
              <w:top w:val="single" w:sz="8" w:space="0" w:color="auto"/>
              <w:left w:val="nil"/>
              <w:bottom w:val="single" w:sz="12" w:space="0" w:color="auto"/>
              <w:right w:val="nil"/>
            </w:tcBorders>
            <w:shd w:val="clear" w:color="auto" w:fill="auto"/>
            <w:vAlign w:val="center"/>
            <w:hideMark/>
          </w:tcPr>
          <w:p w14:paraId="684425D4" w14:textId="77777777" w:rsidR="00576953" w:rsidRPr="00576953" w:rsidRDefault="00576953" w:rsidP="00576953">
            <w:pPr>
              <w:rPr>
                <w:rFonts w:ascii="Calibri" w:hAnsi="Calibri" w:cs="Calibri"/>
                <w:color w:val="000000"/>
                <w:szCs w:val="20"/>
                <w:lang w:val="en-CA" w:eastAsia="en-CA"/>
              </w:rPr>
            </w:pPr>
            <w:r w:rsidRPr="00576953">
              <w:rPr>
                <w:rFonts w:ascii="Calibri" w:hAnsi="Calibri" w:cs="Calibri"/>
                <w:color w:val="000000"/>
                <w:szCs w:val="20"/>
                <w:lang w:val="en-CA" w:eastAsia="en-CA"/>
              </w:rPr>
              <w:t> </w:t>
            </w:r>
          </w:p>
        </w:tc>
        <w:tc>
          <w:tcPr>
            <w:tcW w:w="1701" w:type="dxa"/>
            <w:tcBorders>
              <w:top w:val="single" w:sz="8" w:space="0" w:color="auto"/>
              <w:left w:val="nil"/>
              <w:bottom w:val="single" w:sz="12" w:space="0" w:color="auto"/>
              <w:right w:val="nil"/>
            </w:tcBorders>
            <w:shd w:val="clear" w:color="auto" w:fill="auto"/>
            <w:noWrap/>
            <w:vAlign w:val="center"/>
            <w:hideMark/>
          </w:tcPr>
          <w:p w14:paraId="196C1E2B" w14:textId="72102F47" w:rsidR="00576953" w:rsidRPr="00576953" w:rsidRDefault="00576953" w:rsidP="00576953">
            <w:pPr>
              <w:jc w:val="right"/>
              <w:rPr>
                <w:rFonts w:ascii="Calibri" w:hAnsi="Calibri" w:cs="Calibri"/>
                <w:b/>
                <w:bCs/>
                <w:color w:val="000000"/>
                <w:szCs w:val="20"/>
                <w:lang w:val="en-CA" w:eastAsia="en-CA"/>
              </w:rPr>
            </w:pPr>
            <w:r w:rsidRPr="00576953">
              <w:rPr>
                <w:rFonts w:ascii="Calibri" w:hAnsi="Calibri" w:cs="Calibri"/>
                <w:b/>
                <w:bCs/>
                <w:color w:val="000000"/>
                <w:szCs w:val="20"/>
                <w:lang w:val="en-CA" w:eastAsia="en-CA"/>
              </w:rPr>
              <w:t xml:space="preserve"> $  49,116 </w:t>
            </w:r>
          </w:p>
        </w:tc>
        <w:tc>
          <w:tcPr>
            <w:tcW w:w="1701" w:type="dxa"/>
            <w:tcBorders>
              <w:top w:val="single" w:sz="8" w:space="0" w:color="auto"/>
              <w:left w:val="nil"/>
              <w:bottom w:val="single" w:sz="12" w:space="0" w:color="auto"/>
              <w:right w:val="nil"/>
            </w:tcBorders>
            <w:shd w:val="clear" w:color="auto" w:fill="auto"/>
            <w:noWrap/>
            <w:vAlign w:val="center"/>
            <w:hideMark/>
          </w:tcPr>
          <w:p w14:paraId="63CE1D87" w14:textId="60B75446" w:rsidR="00576953" w:rsidRPr="00576953" w:rsidRDefault="00576953" w:rsidP="00576953">
            <w:pPr>
              <w:jc w:val="right"/>
              <w:rPr>
                <w:rFonts w:ascii="Calibri" w:hAnsi="Calibri" w:cs="Calibri"/>
                <w:color w:val="000000"/>
                <w:szCs w:val="20"/>
                <w:lang w:val="en-CA" w:eastAsia="en-CA"/>
              </w:rPr>
            </w:pPr>
            <w:r w:rsidRPr="00576953">
              <w:rPr>
                <w:rFonts w:ascii="Calibri" w:hAnsi="Calibri" w:cs="Calibri"/>
                <w:color w:val="000000"/>
                <w:szCs w:val="20"/>
                <w:lang w:val="en-CA" w:eastAsia="en-CA"/>
              </w:rPr>
              <w:t xml:space="preserve"> $  1,239,448 </w:t>
            </w:r>
          </w:p>
        </w:tc>
      </w:tr>
    </w:tbl>
    <w:p w14:paraId="66FE58FC" w14:textId="77777777" w:rsidR="00576953" w:rsidRDefault="00576953" w:rsidP="009734E0">
      <w:pPr>
        <w:spacing w:before="100" w:beforeAutospacing="1" w:line="180" w:lineRule="exact"/>
        <w:rPr>
          <w:noProof/>
        </w:rPr>
      </w:pPr>
    </w:p>
    <w:p w14:paraId="774558DA" w14:textId="43F69D53" w:rsidR="00FF447F" w:rsidRPr="00FC2211" w:rsidRDefault="00E81399" w:rsidP="009734E0">
      <w:pPr>
        <w:spacing w:before="100" w:beforeAutospacing="1" w:line="180" w:lineRule="exact"/>
        <w:rPr>
          <w:rFonts w:cstheme="minorHAnsi"/>
          <w:szCs w:val="20"/>
        </w:rPr>
      </w:pPr>
      <w:r w:rsidRPr="00FC2211">
        <w:rPr>
          <w:rFonts w:cstheme="minorHAnsi"/>
          <w:szCs w:val="20"/>
        </w:rPr>
        <w:t>The accompanying notes are an integral part of these unaudited interim condensed consolidated financial statements</w:t>
      </w:r>
    </w:p>
    <w:p w14:paraId="3A6EA74B" w14:textId="77777777" w:rsidR="00055560" w:rsidRPr="00FC2211" w:rsidRDefault="00055560" w:rsidP="00A1348E">
      <w:pPr>
        <w:rPr>
          <w:rFonts w:cstheme="minorHAnsi"/>
          <w:szCs w:val="20"/>
        </w:rPr>
        <w:sectPr w:rsidR="00055560" w:rsidRPr="00FC2211" w:rsidSect="00A71F06">
          <w:headerReference w:type="default" r:id="rId24"/>
          <w:pgSz w:w="11906" w:h="16838" w:code="9"/>
          <w:pgMar w:top="851" w:right="1440" w:bottom="851" w:left="1440" w:header="720" w:footer="1021" w:gutter="0"/>
          <w:cols w:space="720"/>
          <w:docGrid w:linePitch="360"/>
        </w:sectPr>
      </w:pPr>
    </w:p>
    <w:p w14:paraId="4214CB14" w14:textId="77777777" w:rsidR="000943CB" w:rsidRPr="00FC2211" w:rsidRDefault="005C4B27" w:rsidP="00A17D4B">
      <w:pPr>
        <w:pStyle w:val="Heading1"/>
        <w:numPr>
          <w:ilvl w:val="0"/>
          <w:numId w:val="5"/>
        </w:numPr>
        <w:ind w:left="360"/>
        <w:rPr>
          <w:rFonts w:cstheme="minorHAnsi"/>
          <w:szCs w:val="20"/>
        </w:rPr>
      </w:pPr>
      <w:bookmarkStart w:id="0" w:name="_Hlk96503253"/>
      <w:r w:rsidRPr="00FC2211">
        <w:rPr>
          <w:rFonts w:cstheme="minorHAnsi"/>
          <w:szCs w:val="20"/>
        </w:rPr>
        <w:lastRenderedPageBreak/>
        <w:t>NATURE</w:t>
      </w:r>
      <w:r w:rsidR="00450BFC" w:rsidRPr="00FC2211">
        <w:rPr>
          <w:rFonts w:cstheme="minorHAnsi"/>
          <w:szCs w:val="20"/>
        </w:rPr>
        <w:t xml:space="preserve"> </w:t>
      </w:r>
      <w:r w:rsidR="009128B7" w:rsidRPr="00FC2211">
        <w:rPr>
          <w:rFonts w:cstheme="minorHAnsi"/>
          <w:szCs w:val="20"/>
        </w:rPr>
        <w:t>AND</w:t>
      </w:r>
      <w:r w:rsidR="00450BFC" w:rsidRPr="00FC2211">
        <w:rPr>
          <w:rFonts w:cstheme="minorHAnsi"/>
          <w:szCs w:val="20"/>
        </w:rPr>
        <w:t xml:space="preserve"> </w:t>
      </w:r>
      <w:r w:rsidR="009128B7" w:rsidRPr="00FC2211">
        <w:rPr>
          <w:rFonts w:cstheme="minorHAnsi"/>
          <w:szCs w:val="20"/>
        </w:rPr>
        <w:t>CONTINUANCE</w:t>
      </w:r>
      <w:r w:rsidR="00450BFC" w:rsidRPr="00FC2211">
        <w:rPr>
          <w:rFonts w:cstheme="minorHAnsi"/>
          <w:szCs w:val="20"/>
        </w:rPr>
        <w:t xml:space="preserve"> </w:t>
      </w:r>
      <w:r w:rsidRPr="00FC2211">
        <w:rPr>
          <w:rFonts w:cstheme="minorHAnsi"/>
          <w:szCs w:val="20"/>
        </w:rPr>
        <w:t>OF</w:t>
      </w:r>
      <w:r w:rsidR="00450BFC" w:rsidRPr="00FC2211">
        <w:rPr>
          <w:rFonts w:cstheme="minorHAnsi"/>
          <w:szCs w:val="20"/>
        </w:rPr>
        <w:t xml:space="preserve"> </w:t>
      </w:r>
      <w:r w:rsidRPr="00FC2211">
        <w:rPr>
          <w:rFonts w:cstheme="minorHAnsi"/>
          <w:szCs w:val="20"/>
        </w:rPr>
        <w:t>OPERATIONS</w:t>
      </w:r>
    </w:p>
    <w:bookmarkEnd w:id="0"/>
    <w:p w14:paraId="32BF8825" w14:textId="77777777" w:rsidR="00582D54" w:rsidRPr="00FC2211" w:rsidRDefault="00582D54" w:rsidP="005E325C">
      <w:pPr>
        <w:pStyle w:val="NormalWeb"/>
        <w:ind w:left="360"/>
        <w:rPr>
          <w:rFonts w:cstheme="minorHAnsi"/>
          <w:bCs/>
          <w:szCs w:val="20"/>
          <w:lang w:val="en-CA"/>
        </w:rPr>
      </w:pPr>
    </w:p>
    <w:p w14:paraId="78D6D106" w14:textId="19920C0E" w:rsidR="00663386" w:rsidRPr="00FC2211" w:rsidRDefault="30D1CAA2" w:rsidP="00475C4F">
      <w:pPr>
        <w:ind w:left="357"/>
        <w:jc w:val="both"/>
        <w:rPr>
          <w:rFonts w:cstheme="minorHAnsi"/>
          <w:szCs w:val="20"/>
          <w:lang w:val="en-CA"/>
        </w:rPr>
      </w:pPr>
      <w:r w:rsidRPr="00FC2211">
        <w:rPr>
          <w:rFonts w:cstheme="minorHAnsi"/>
          <w:szCs w:val="20"/>
          <w:lang w:val="en-CA"/>
        </w:rPr>
        <w:t xml:space="preserve">INEO </w:t>
      </w:r>
      <w:r w:rsidR="39EB5AAB" w:rsidRPr="00FC2211">
        <w:rPr>
          <w:rFonts w:cstheme="minorHAnsi"/>
          <w:szCs w:val="20"/>
          <w:lang w:val="en-CA"/>
        </w:rPr>
        <w:t>Tech Corp</w:t>
      </w:r>
      <w:r w:rsidR="3E27559A" w:rsidRPr="00FC2211">
        <w:rPr>
          <w:rFonts w:cstheme="minorHAnsi"/>
          <w:szCs w:val="20"/>
          <w:lang w:val="en-CA"/>
        </w:rPr>
        <w:t>.</w:t>
      </w:r>
      <w:r w:rsidR="39EB5AAB" w:rsidRPr="00FC2211">
        <w:rPr>
          <w:rFonts w:cstheme="minorHAnsi"/>
          <w:szCs w:val="20"/>
          <w:lang w:val="en-CA"/>
        </w:rPr>
        <w:t xml:space="preserve"> </w:t>
      </w:r>
      <w:r w:rsidR="00406DA6" w:rsidRPr="00FC2211">
        <w:rPr>
          <w:rFonts w:cstheme="minorHAnsi"/>
          <w:szCs w:val="20"/>
          <w:lang w:val="en-CA"/>
        </w:rPr>
        <w:t>(the “Company” or “INEO”)</w:t>
      </w:r>
      <w:r w:rsidR="2AD66C3E" w:rsidRPr="00FC2211">
        <w:rPr>
          <w:rFonts w:cstheme="minorHAnsi"/>
          <w:szCs w:val="20"/>
          <w:lang w:val="en-CA"/>
        </w:rPr>
        <w:t xml:space="preserve"> </w:t>
      </w:r>
      <w:r w:rsidR="062E5ABD" w:rsidRPr="00FC2211">
        <w:rPr>
          <w:rFonts w:cstheme="minorHAnsi"/>
          <w:szCs w:val="20"/>
          <w:lang w:val="en-CA"/>
        </w:rPr>
        <w:t>is a Canadian company incorporated under the laws of the Province of</w:t>
      </w:r>
      <w:r w:rsidR="1A6997D7" w:rsidRPr="00FC2211">
        <w:rPr>
          <w:rFonts w:cstheme="minorHAnsi"/>
          <w:szCs w:val="20"/>
          <w:lang w:val="en-CA"/>
        </w:rPr>
        <w:t xml:space="preserve"> </w:t>
      </w:r>
      <w:r w:rsidR="062E5ABD" w:rsidRPr="00FC2211">
        <w:rPr>
          <w:rFonts w:cstheme="minorHAnsi"/>
          <w:szCs w:val="20"/>
          <w:lang w:val="en-CA"/>
        </w:rPr>
        <w:t>British Columbia on March 4, 2008.</w:t>
      </w:r>
      <w:r w:rsidR="49F68024" w:rsidRPr="00FC2211">
        <w:rPr>
          <w:rFonts w:cstheme="minorHAnsi"/>
          <w:szCs w:val="20"/>
          <w:lang w:val="en-CA"/>
        </w:rPr>
        <w:t xml:space="preserve"> </w:t>
      </w:r>
      <w:r w:rsidR="062E5ABD" w:rsidRPr="00FC2211">
        <w:rPr>
          <w:rFonts w:cstheme="minorHAnsi"/>
          <w:szCs w:val="20"/>
          <w:lang w:val="en-CA"/>
        </w:rPr>
        <w:t>The Company’s shares trade on the TSX Venture Exchange (“TSX-V”)</w:t>
      </w:r>
      <w:r w:rsidR="1A6997D7" w:rsidRPr="00FC2211">
        <w:rPr>
          <w:rFonts w:cstheme="minorHAnsi"/>
          <w:szCs w:val="20"/>
          <w:lang w:val="en-CA"/>
        </w:rPr>
        <w:t xml:space="preserve"> </w:t>
      </w:r>
      <w:r w:rsidR="062E5ABD" w:rsidRPr="00FC2211">
        <w:rPr>
          <w:rFonts w:cstheme="minorHAnsi"/>
          <w:szCs w:val="20"/>
          <w:lang w:val="en-CA"/>
        </w:rPr>
        <w:t xml:space="preserve">under the symbol </w:t>
      </w:r>
      <w:r w:rsidR="00692BB4" w:rsidRPr="00FC2211">
        <w:rPr>
          <w:rFonts w:cstheme="minorHAnsi"/>
          <w:szCs w:val="20"/>
          <w:lang w:val="en-CA"/>
        </w:rPr>
        <w:t>‘</w:t>
      </w:r>
      <w:r w:rsidR="1F4D6546" w:rsidRPr="00FC2211">
        <w:rPr>
          <w:rFonts w:cstheme="minorHAnsi"/>
          <w:szCs w:val="20"/>
          <w:lang w:val="en-CA"/>
        </w:rPr>
        <w:t>INEO</w:t>
      </w:r>
      <w:r w:rsidR="007F5BF5" w:rsidRPr="00FC2211">
        <w:rPr>
          <w:rFonts w:cstheme="minorHAnsi"/>
          <w:szCs w:val="20"/>
          <w:lang w:val="en-CA"/>
        </w:rPr>
        <w:t>.’</w:t>
      </w:r>
      <w:r w:rsidR="2F3B6C7F" w:rsidRPr="00FC2211">
        <w:rPr>
          <w:rFonts w:cstheme="minorHAnsi"/>
          <w:szCs w:val="20"/>
          <w:lang w:val="en-CA"/>
        </w:rPr>
        <w:t xml:space="preserve"> </w:t>
      </w:r>
      <w:r w:rsidR="7154FC97" w:rsidRPr="00FC2211">
        <w:rPr>
          <w:rFonts w:cstheme="minorHAnsi"/>
          <w:szCs w:val="20"/>
          <w:lang w:val="en-CA"/>
        </w:rPr>
        <w:t xml:space="preserve">The </w:t>
      </w:r>
      <w:r w:rsidR="001926EE" w:rsidRPr="00FC2211">
        <w:rPr>
          <w:rFonts w:cstheme="minorHAnsi"/>
          <w:szCs w:val="20"/>
          <w:lang w:val="en-CA"/>
        </w:rPr>
        <w:t xml:space="preserve">Company’s </w:t>
      </w:r>
      <w:r w:rsidR="7154FC97" w:rsidRPr="00FC2211">
        <w:rPr>
          <w:rFonts w:cstheme="minorHAnsi"/>
          <w:szCs w:val="20"/>
          <w:lang w:val="en-CA"/>
        </w:rPr>
        <w:t>corporate head office</w:t>
      </w:r>
      <w:r w:rsidR="20315B9A" w:rsidRPr="00FC2211">
        <w:rPr>
          <w:rFonts w:cstheme="minorHAnsi"/>
          <w:szCs w:val="20"/>
          <w:lang w:val="en-CA"/>
        </w:rPr>
        <w:t xml:space="preserve"> and records office</w:t>
      </w:r>
      <w:r w:rsidR="7154FC97" w:rsidRPr="00FC2211">
        <w:rPr>
          <w:rFonts w:cstheme="minorHAnsi"/>
          <w:szCs w:val="20"/>
          <w:lang w:val="en-CA"/>
        </w:rPr>
        <w:t xml:space="preserve"> </w:t>
      </w:r>
      <w:r w:rsidR="00E416E6" w:rsidRPr="00FC2211">
        <w:rPr>
          <w:rFonts w:cstheme="minorHAnsi"/>
          <w:szCs w:val="20"/>
          <w:lang w:val="en-CA"/>
        </w:rPr>
        <w:t>are</w:t>
      </w:r>
      <w:r w:rsidR="7154FC97" w:rsidRPr="00FC2211">
        <w:rPr>
          <w:rFonts w:cstheme="minorHAnsi"/>
          <w:szCs w:val="20"/>
          <w:lang w:val="en-CA"/>
        </w:rPr>
        <w:t xml:space="preserve"> located at </w:t>
      </w:r>
      <w:r w:rsidR="1B2DD336" w:rsidRPr="00FC2211">
        <w:rPr>
          <w:rFonts w:cstheme="minorHAnsi"/>
          <w:szCs w:val="20"/>
          <w:lang w:val="en-CA"/>
        </w:rPr>
        <w:t>105 – 19130 24</w:t>
      </w:r>
      <w:r w:rsidR="5A9A7D0E" w:rsidRPr="00FC2211">
        <w:rPr>
          <w:rFonts w:cstheme="minorHAnsi"/>
          <w:szCs w:val="20"/>
          <w:lang w:val="en-CA"/>
        </w:rPr>
        <w:t xml:space="preserve"> Avenue</w:t>
      </w:r>
      <w:r w:rsidR="007F5BF5" w:rsidRPr="00FC2211">
        <w:rPr>
          <w:rFonts w:cstheme="minorHAnsi"/>
          <w:szCs w:val="20"/>
          <w:lang w:val="en-CA"/>
        </w:rPr>
        <w:t>,</w:t>
      </w:r>
      <w:r w:rsidR="37059173" w:rsidRPr="00FC2211">
        <w:rPr>
          <w:rFonts w:cstheme="minorHAnsi"/>
          <w:szCs w:val="20"/>
          <w:lang w:val="en-CA"/>
        </w:rPr>
        <w:t xml:space="preserve"> Surrey</w:t>
      </w:r>
      <w:r w:rsidR="7154FC97" w:rsidRPr="00FC2211">
        <w:rPr>
          <w:rFonts w:cstheme="minorHAnsi"/>
          <w:szCs w:val="20"/>
          <w:lang w:val="en-CA"/>
        </w:rPr>
        <w:t xml:space="preserve">, BC, </w:t>
      </w:r>
      <w:r w:rsidR="37059173" w:rsidRPr="00FC2211">
        <w:rPr>
          <w:rFonts w:cstheme="minorHAnsi"/>
          <w:szCs w:val="20"/>
          <w:lang w:val="en-CA"/>
        </w:rPr>
        <w:t>V3</w:t>
      </w:r>
      <w:r w:rsidR="21AF30A6" w:rsidRPr="00FC2211">
        <w:rPr>
          <w:rFonts w:cstheme="minorHAnsi"/>
          <w:szCs w:val="20"/>
          <w:lang w:val="en-CA"/>
        </w:rPr>
        <w:t>Z</w:t>
      </w:r>
      <w:r w:rsidR="37059173" w:rsidRPr="00FC2211">
        <w:rPr>
          <w:rFonts w:cstheme="minorHAnsi"/>
          <w:szCs w:val="20"/>
          <w:lang w:val="en-CA"/>
        </w:rPr>
        <w:t xml:space="preserve"> </w:t>
      </w:r>
      <w:r w:rsidR="65C6511D" w:rsidRPr="00FC2211">
        <w:rPr>
          <w:rFonts w:cstheme="minorHAnsi"/>
          <w:szCs w:val="20"/>
          <w:lang w:val="en-CA"/>
        </w:rPr>
        <w:t>3S9</w:t>
      </w:r>
      <w:r w:rsidR="7154FC97" w:rsidRPr="00FC2211">
        <w:rPr>
          <w:rFonts w:cstheme="minorHAnsi"/>
          <w:szCs w:val="20"/>
          <w:lang w:val="en-CA"/>
        </w:rPr>
        <w:t>.</w:t>
      </w:r>
    </w:p>
    <w:p w14:paraId="641DCE5C" w14:textId="77777777" w:rsidR="00663386" w:rsidRPr="00FC2211" w:rsidRDefault="00663386" w:rsidP="00475C4F">
      <w:pPr>
        <w:ind w:left="357"/>
        <w:jc w:val="both"/>
        <w:rPr>
          <w:rFonts w:cstheme="minorHAnsi"/>
          <w:szCs w:val="20"/>
          <w:lang w:val="en-CA"/>
        </w:rPr>
      </w:pPr>
    </w:p>
    <w:p w14:paraId="668290F0" w14:textId="2956123D" w:rsidR="000D0852" w:rsidRPr="00FC2211" w:rsidRDefault="000C61AB" w:rsidP="00475C4F">
      <w:pPr>
        <w:ind w:left="357"/>
        <w:jc w:val="both"/>
        <w:rPr>
          <w:w w:val="0"/>
          <w:lang w:val="en-CA"/>
        </w:rPr>
      </w:pPr>
      <w:r w:rsidRPr="00FC2211">
        <w:rPr>
          <w:w w:val="0"/>
          <w:lang w:val="en-CA"/>
        </w:rPr>
        <w:t xml:space="preserve">INEO is the inventor and operator of the </w:t>
      </w:r>
      <w:r w:rsidRPr="00FC2211">
        <w:rPr>
          <w:i/>
          <w:iCs/>
          <w:w w:val="0"/>
          <w:lang w:val="en-CA"/>
        </w:rPr>
        <w:t>INEO Media Network</w:t>
      </w:r>
      <w:r w:rsidRPr="00FC2211">
        <w:rPr>
          <w:w w:val="0"/>
          <w:lang w:val="en-CA"/>
        </w:rPr>
        <w:t xml:space="preserve"> for retailers</w:t>
      </w:r>
      <w:r w:rsidR="00D3433C" w:rsidRPr="00FC2211">
        <w:rPr>
          <w:w w:val="0"/>
          <w:lang w:val="en-CA"/>
        </w:rPr>
        <w:t>,</w:t>
      </w:r>
      <w:r w:rsidRPr="00FC2211">
        <w:rPr>
          <w:w w:val="0"/>
          <w:lang w:val="en-CA"/>
        </w:rPr>
        <w:t xml:space="preserve"> which provides retail analytics and targeted advertising through its cloud-based IoT (Internet of Things) and AI (Artificial Intelligence) technology.  The Company operates the </w:t>
      </w:r>
      <w:r w:rsidRPr="00FC2211">
        <w:rPr>
          <w:i/>
          <w:iCs/>
          <w:w w:val="0"/>
          <w:lang w:val="en-CA"/>
        </w:rPr>
        <w:t>INEO Media Network</w:t>
      </w:r>
      <w:r w:rsidRPr="00FC2211">
        <w:rPr>
          <w:w w:val="0"/>
          <w:lang w:val="en-CA"/>
        </w:rPr>
        <w:t xml:space="preserve"> using </w:t>
      </w:r>
      <w:r w:rsidR="00E416E6" w:rsidRPr="00FC2211">
        <w:rPr>
          <w:w w:val="0"/>
          <w:lang w:val="en-CA"/>
        </w:rPr>
        <w:t xml:space="preserve">a </w:t>
      </w:r>
      <w:r w:rsidRPr="00FC2211">
        <w:rPr>
          <w:w w:val="0"/>
          <w:lang w:val="en-CA"/>
        </w:rPr>
        <w:t xml:space="preserve">SaaS-based model </w:t>
      </w:r>
      <w:r w:rsidR="00E416E6" w:rsidRPr="00FC2211">
        <w:rPr>
          <w:w w:val="0"/>
          <w:lang w:val="en-CA"/>
        </w:rPr>
        <w:t>for</w:t>
      </w:r>
      <w:r w:rsidRPr="00FC2211">
        <w:rPr>
          <w:w w:val="0"/>
          <w:lang w:val="en-CA"/>
        </w:rPr>
        <w:t xml:space="preserve"> retail stores.  </w:t>
      </w:r>
    </w:p>
    <w:p w14:paraId="39FF2825" w14:textId="77777777" w:rsidR="005B41BA" w:rsidRPr="00FC2211" w:rsidRDefault="005B41BA" w:rsidP="00475C4F">
      <w:pPr>
        <w:ind w:left="357"/>
        <w:jc w:val="both"/>
        <w:rPr>
          <w:w w:val="0"/>
          <w:lang w:val="en-CA"/>
        </w:rPr>
      </w:pPr>
    </w:p>
    <w:p w14:paraId="0CB3EEEF" w14:textId="31B50E97" w:rsidR="00684C4E" w:rsidRPr="00FC2211" w:rsidRDefault="00684C4E" w:rsidP="00475C4F">
      <w:pPr>
        <w:ind w:left="357"/>
        <w:jc w:val="both"/>
        <w:rPr>
          <w:rFonts w:cstheme="minorHAnsi"/>
          <w:szCs w:val="20"/>
          <w:lang w:val="en-GB"/>
        </w:rPr>
      </w:pPr>
      <w:bookmarkStart w:id="1" w:name="_Hlk533059830"/>
      <w:bookmarkEnd w:id="1"/>
      <w:r w:rsidRPr="00FC2211">
        <w:rPr>
          <w:rFonts w:cstheme="minorHAnsi"/>
          <w:szCs w:val="20"/>
          <w:lang w:val="en-GB"/>
        </w:rPr>
        <w:t xml:space="preserve">These </w:t>
      </w:r>
      <w:r w:rsidR="008D761F" w:rsidRPr="00FC2211">
        <w:rPr>
          <w:rFonts w:cstheme="minorHAnsi"/>
          <w:szCs w:val="20"/>
          <w:lang w:val="en-GB"/>
        </w:rPr>
        <w:t>c</w:t>
      </w:r>
      <w:r w:rsidR="00A82940" w:rsidRPr="00FC2211">
        <w:rPr>
          <w:rFonts w:cstheme="minorHAnsi"/>
          <w:szCs w:val="20"/>
          <w:lang w:val="en-GB"/>
        </w:rPr>
        <w:t>onsolidated f</w:t>
      </w:r>
      <w:r w:rsidR="001937C9" w:rsidRPr="00FC2211">
        <w:rPr>
          <w:rFonts w:cstheme="minorHAnsi"/>
          <w:szCs w:val="20"/>
          <w:lang w:val="en-GB"/>
        </w:rPr>
        <w:t xml:space="preserve">inancial </w:t>
      </w:r>
      <w:r w:rsidR="00A82940" w:rsidRPr="00FC2211">
        <w:rPr>
          <w:rFonts w:cstheme="minorHAnsi"/>
          <w:szCs w:val="20"/>
          <w:lang w:val="en-GB"/>
        </w:rPr>
        <w:t>s</w:t>
      </w:r>
      <w:r w:rsidR="001937C9" w:rsidRPr="00FC2211">
        <w:rPr>
          <w:rFonts w:cstheme="minorHAnsi"/>
          <w:szCs w:val="20"/>
          <w:lang w:val="en-GB"/>
        </w:rPr>
        <w:t>tatements</w:t>
      </w:r>
      <w:r w:rsidR="00924F0D" w:rsidRPr="00FC2211">
        <w:rPr>
          <w:rFonts w:cstheme="minorHAnsi"/>
          <w:szCs w:val="20"/>
          <w:lang w:val="en-GB"/>
        </w:rPr>
        <w:t>, including comparatives (</w:t>
      </w:r>
      <w:r w:rsidR="00283514" w:rsidRPr="00FC2211">
        <w:rPr>
          <w:rFonts w:cstheme="minorHAnsi"/>
          <w:szCs w:val="20"/>
          <w:lang w:val="en-GB"/>
        </w:rPr>
        <w:t>t</w:t>
      </w:r>
      <w:r w:rsidR="00924F0D" w:rsidRPr="00FC2211">
        <w:rPr>
          <w:rFonts w:cstheme="minorHAnsi"/>
          <w:szCs w:val="20"/>
          <w:lang w:val="en-GB"/>
        </w:rPr>
        <w:t>he ’</w:t>
      </w:r>
      <w:r w:rsidR="001937C9" w:rsidRPr="00FC2211">
        <w:rPr>
          <w:rFonts w:cstheme="minorHAnsi"/>
          <w:szCs w:val="20"/>
          <w:lang w:val="en-GB"/>
        </w:rPr>
        <w:t>Financial Statements</w:t>
      </w:r>
      <w:r w:rsidR="00924F0D" w:rsidRPr="00FC2211">
        <w:rPr>
          <w:rFonts w:cstheme="minorHAnsi"/>
          <w:szCs w:val="20"/>
          <w:lang w:val="en-GB"/>
        </w:rPr>
        <w:t>’)</w:t>
      </w:r>
      <w:r w:rsidR="00D3433C" w:rsidRPr="00FC2211">
        <w:rPr>
          <w:rFonts w:cstheme="minorHAnsi"/>
          <w:szCs w:val="20"/>
          <w:lang w:val="en-GB"/>
        </w:rPr>
        <w:t>,</w:t>
      </w:r>
      <w:r w:rsidRPr="00FC2211">
        <w:rPr>
          <w:rFonts w:cstheme="minorHAnsi"/>
          <w:szCs w:val="20"/>
          <w:lang w:val="en-GB"/>
        </w:rPr>
        <w:t xml:space="preserve"> have been prepared in accordance with International Financial Reporting Standards (“IFRS”) with the going concern assumption, which assumes that the Company will continue operation</w:t>
      </w:r>
      <w:r w:rsidR="00A63433" w:rsidRPr="00FC2211">
        <w:rPr>
          <w:rFonts w:cstheme="minorHAnsi"/>
          <w:szCs w:val="20"/>
          <w:lang w:val="en-GB"/>
        </w:rPr>
        <w:t>s</w:t>
      </w:r>
      <w:r w:rsidRPr="00FC2211">
        <w:rPr>
          <w:rFonts w:cstheme="minorHAnsi"/>
          <w:szCs w:val="20"/>
          <w:lang w:val="en-GB"/>
        </w:rPr>
        <w:t xml:space="preserve"> for the foreseeable future and, accordingly, will be able to realize its assets and discharge its liabilities in the normal course of operations. The Company’s ability to realize its assets and discharge its liabilities </w:t>
      </w:r>
      <w:r w:rsidR="00D3433C" w:rsidRPr="00FC2211">
        <w:rPr>
          <w:rFonts w:cstheme="minorHAnsi"/>
          <w:szCs w:val="20"/>
          <w:lang w:val="en-GB"/>
        </w:rPr>
        <w:t>depends</w:t>
      </w:r>
      <w:r w:rsidRPr="00FC2211">
        <w:rPr>
          <w:rFonts w:cstheme="minorHAnsi"/>
          <w:szCs w:val="20"/>
          <w:lang w:val="en-GB"/>
        </w:rPr>
        <w:t xml:space="preserve"> upon the Company obtaining the necessary financing and</w:t>
      </w:r>
      <w:r w:rsidR="00D3433C" w:rsidRPr="00FC2211">
        <w:rPr>
          <w:rFonts w:cstheme="minorHAnsi"/>
          <w:szCs w:val="20"/>
          <w:lang w:val="en-GB"/>
        </w:rPr>
        <w:t>,</w:t>
      </w:r>
      <w:r w:rsidRPr="00FC2211">
        <w:rPr>
          <w:rFonts w:cstheme="minorHAnsi"/>
          <w:szCs w:val="20"/>
          <w:lang w:val="en-GB"/>
        </w:rPr>
        <w:t xml:space="preserve"> ultimately</w:t>
      </w:r>
      <w:r w:rsidR="00D3433C" w:rsidRPr="00FC2211">
        <w:rPr>
          <w:rFonts w:cstheme="minorHAnsi"/>
          <w:szCs w:val="20"/>
          <w:lang w:val="en-GB"/>
        </w:rPr>
        <w:t>,</w:t>
      </w:r>
      <w:r w:rsidRPr="00FC2211">
        <w:rPr>
          <w:rFonts w:cstheme="minorHAnsi"/>
          <w:szCs w:val="20"/>
          <w:lang w:val="en-GB"/>
        </w:rPr>
        <w:t xml:space="preserve"> upon its ability to achieve profitable operations. </w:t>
      </w:r>
    </w:p>
    <w:p w14:paraId="6DE1F1FB" w14:textId="77777777" w:rsidR="005D2737" w:rsidRPr="00FC2211" w:rsidRDefault="005D2737" w:rsidP="00475C4F">
      <w:pPr>
        <w:ind w:left="69"/>
        <w:jc w:val="both"/>
        <w:rPr>
          <w:rFonts w:cstheme="minorHAnsi"/>
          <w:szCs w:val="20"/>
          <w:lang w:val="en-GB"/>
        </w:rPr>
      </w:pPr>
    </w:p>
    <w:p w14:paraId="100D1C01" w14:textId="00C6CA84" w:rsidR="0093377E" w:rsidRPr="00FC2211" w:rsidRDefault="0093377E" w:rsidP="00475C4F">
      <w:pPr>
        <w:pStyle w:val="NormalWeb"/>
        <w:ind w:left="357"/>
        <w:jc w:val="both"/>
        <w:rPr>
          <w:rFonts w:cstheme="minorHAnsi"/>
          <w:bCs/>
          <w:szCs w:val="20"/>
          <w:lang w:val="en-CA"/>
        </w:rPr>
      </w:pPr>
      <w:r w:rsidRPr="00FC2211">
        <w:rPr>
          <w:rFonts w:cstheme="minorHAnsi"/>
          <w:bCs/>
          <w:szCs w:val="20"/>
          <w:lang w:val="en-CA"/>
        </w:rPr>
        <w:t xml:space="preserve">For significant expenditures, the Company will depend on external capital. Such external capital will include the issuance of additional equity shares. There can be no assurance that capital will be available, as necessary, to meet the Company’s operating commitments and development plans. The issuance of additional equity securities by the Company </w:t>
      </w:r>
      <w:r w:rsidR="001C597C" w:rsidRPr="00FC2211">
        <w:rPr>
          <w:rFonts w:cstheme="minorHAnsi"/>
          <w:bCs/>
          <w:szCs w:val="20"/>
          <w:lang w:val="en-CA"/>
        </w:rPr>
        <w:t xml:space="preserve">may </w:t>
      </w:r>
      <w:r w:rsidRPr="00FC2211">
        <w:rPr>
          <w:rFonts w:cstheme="minorHAnsi"/>
          <w:bCs/>
          <w:szCs w:val="20"/>
          <w:lang w:val="en-CA"/>
        </w:rPr>
        <w:t>result in</w:t>
      </w:r>
      <w:r w:rsidR="00CA4727" w:rsidRPr="00FC2211">
        <w:rPr>
          <w:rFonts w:cstheme="minorHAnsi"/>
          <w:bCs/>
          <w:szCs w:val="20"/>
          <w:lang w:val="en-CA"/>
        </w:rPr>
        <w:t xml:space="preserve"> the</w:t>
      </w:r>
      <w:r w:rsidRPr="00FC2211">
        <w:rPr>
          <w:rFonts w:cstheme="minorHAnsi"/>
          <w:bCs/>
          <w:szCs w:val="20"/>
          <w:lang w:val="en-CA"/>
        </w:rPr>
        <w:t xml:space="preserve"> dilution </w:t>
      </w:r>
      <w:r w:rsidR="00CA4727" w:rsidRPr="00FC2211">
        <w:rPr>
          <w:rFonts w:cstheme="minorHAnsi"/>
          <w:bCs/>
          <w:szCs w:val="20"/>
          <w:lang w:val="en-CA"/>
        </w:rPr>
        <w:t>of</w:t>
      </w:r>
      <w:r w:rsidRPr="00FC2211">
        <w:rPr>
          <w:rFonts w:cstheme="minorHAnsi"/>
          <w:bCs/>
          <w:szCs w:val="20"/>
          <w:lang w:val="en-CA"/>
        </w:rPr>
        <w:t xml:space="preserve"> current shareholders</w:t>
      </w:r>
      <w:r w:rsidR="00CA4727" w:rsidRPr="00FC2211">
        <w:rPr>
          <w:rFonts w:cstheme="minorHAnsi"/>
          <w:bCs/>
          <w:szCs w:val="20"/>
          <w:lang w:val="en-CA"/>
        </w:rPr>
        <w:t xml:space="preserve">’ </w:t>
      </w:r>
      <w:r w:rsidR="00310E6B" w:rsidRPr="00FC2211">
        <w:rPr>
          <w:rFonts w:cstheme="minorHAnsi"/>
          <w:bCs/>
          <w:szCs w:val="20"/>
          <w:lang w:val="en-CA"/>
        </w:rPr>
        <w:t>equity interests</w:t>
      </w:r>
      <w:r w:rsidRPr="00FC2211">
        <w:rPr>
          <w:rFonts w:cstheme="minorHAnsi"/>
          <w:bCs/>
          <w:szCs w:val="20"/>
          <w:lang w:val="en-CA"/>
        </w:rPr>
        <w:t xml:space="preserve">. </w:t>
      </w:r>
    </w:p>
    <w:p w14:paraId="61F8028A" w14:textId="77777777" w:rsidR="00F840F0" w:rsidRPr="00FC2211" w:rsidRDefault="00F840F0" w:rsidP="00475C4F">
      <w:pPr>
        <w:pStyle w:val="NormalWeb"/>
        <w:ind w:left="357"/>
        <w:jc w:val="both"/>
        <w:rPr>
          <w:rFonts w:cstheme="minorHAnsi"/>
          <w:bCs/>
          <w:szCs w:val="20"/>
          <w:lang w:val="en-CA"/>
        </w:rPr>
      </w:pPr>
    </w:p>
    <w:p w14:paraId="02866079" w14:textId="77777777" w:rsidR="005517AE" w:rsidRPr="00FC2211" w:rsidRDefault="004E13AC" w:rsidP="00475C4F">
      <w:pPr>
        <w:pStyle w:val="NormalWeb"/>
        <w:ind w:left="357"/>
        <w:jc w:val="both"/>
        <w:rPr>
          <w:rFonts w:cstheme="minorHAnsi"/>
          <w:bCs/>
          <w:szCs w:val="20"/>
          <w:lang w:val="en-CA"/>
        </w:rPr>
      </w:pPr>
      <w:r w:rsidRPr="00FC2211">
        <w:rPr>
          <w:rFonts w:cstheme="minorHAnsi"/>
          <w:bCs/>
          <w:szCs w:val="20"/>
          <w:lang w:val="en-CA"/>
        </w:rPr>
        <w:t xml:space="preserve">The Company’s future capital requirements will depend on many factors, including the </w:t>
      </w:r>
      <w:r w:rsidR="00F65679" w:rsidRPr="00FC2211">
        <w:rPr>
          <w:rFonts w:cstheme="minorHAnsi"/>
          <w:bCs/>
          <w:szCs w:val="20"/>
          <w:lang w:val="en-CA"/>
        </w:rPr>
        <w:t xml:space="preserve">cash flows from </w:t>
      </w:r>
      <w:r w:rsidR="006B7B7E" w:rsidRPr="00FC2211">
        <w:rPr>
          <w:rFonts w:cstheme="minorHAnsi"/>
          <w:bCs/>
          <w:szCs w:val="20"/>
          <w:lang w:val="en-CA"/>
        </w:rPr>
        <w:t xml:space="preserve">its operating activities, </w:t>
      </w:r>
      <w:r w:rsidRPr="00FC2211">
        <w:rPr>
          <w:rFonts w:cstheme="minorHAnsi"/>
          <w:bCs/>
          <w:szCs w:val="20"/>
          <w:lang w:val="en-CA"/>
        </w:rPr>
        <w:t xml:space="preserve">costs of </w:t>
      </w:r>
      <w:r w:rsidR="00A5293D" w:rsidRPr="00FC2211">
        <w:rPr>
          <w:rFonts w:cstheme="minorHAnsi"/>
          <w:bCs/>
          <w:szCs w:val="20"/>
          <w:lang w:val="en-CA"/>
        </w:rPr>
        <w:t xml:space="preserve">research and </w:t>
      </w:r>
      <w:r w:rsidRPr="00FC2211">
        <w:rPr>
          <w:rFonts w:cstheme="minorHAnsi"/>
          <w:bCs/>
          <w:szCs w:val="20"/>
          <w:lang w:val="en-CA"/>
        </w:rPr>
        <w:t>developing its pro</w:t>
      </w:r>
      <w:r w:rsidR="00A5293D" w:rsidRPr="00FC2211">
        <w:rPr>
          <w:rFonts w:cstheme="minorHAnsi"/>
          <w:bCs/>
          <w:szCs w:val="20"/>
          <w:lang w:val="en-CA"/>
        </w:rPr>
        <w:t>ducts</w:t>
      </w:r>
      <w:r w:rsidRPr="00FC2211">
        <w:rPr>
          <w:rFonts w:cstheme="minorHAnsi"/>
          <w:bCs/>
          <w:szCs w:val="20"/>
          <w:lang w:val="en-CA"/>
        </w:rPr>
        <w:t xml:space="preserve">, operating costs, the current capital market </w:t>
      </w:r>
      <w:r w:rsidR="005E612C" w:rsidRPr="00FC2211">
        <w:rPr>
          <w:rFonts w:cstheme="minorHAnsi"/>
          <w:bCs/>
          <w:szCs w:val="20"/>
          <w:lang w:val="en-CA"/>
        </w:rPr>
        <w:t>environment,</w:t>
      </w:r>
      <w:r w:rsidRPr="00FC2211">
        <w:rPr>
          <w:rFonts w:cstheme="minorHAnsi"/>
          <w:bCs/>
          <w:szCs w:val="20"/>
          <w:lang w:val="en-CA"/>
        </w:rPr>
        <w:t xml:space="preserve"> and global market conditions.</w:t>
      </w:r>
    </w:p>
    <w:p w14:paraId="782FAA7D" w14:textId="77777777" w:rsidR="00A41969" w:rsidRPr="00FC2211" w:rsidRDefault="00A41969" w:rsidP="00475C4F">
      <w:pPr>
        <w:pStyle w:val="NormalWeb"/>
        <w:ind w:left="357"/>
        <w:jc w:val="both"/>
        <w:rPr>
          <w:rFonts w:cstheme="minorHAnsi"/>
          <w:bCs/>
          <w:szCs w:val="20"/>
          <w:lang w:val="en-CA"/>
        </w:rPr>
      </w:pPr>
    </w:p>
    <w:p w14:paraId="10E5A712" w14:textId="391E5055" w:rsidR="00A0638E" w:rsidRPr="00FC2211" w:rsidRDefault="00C57DEE" w:rsidP="00475C4F">
      <w:pPr>
        <w:pStyle w:val="NormalWeb"/>
        <w:ind w:left="357"/>
        <w:jc w:val="both"/>
        <w:rPr>
          <w:rFonts w:cstheme="minorHAnsi"/>
          <w:bCs/>
          <w:szCs w:val="20"/>
          <w:lang w:val="en-CA"/>
        </w:rPr>
      </w:pPr>
      <w:r w:rsidRPr="00FC2211">
        <w:rPr>
          <w:rFonts w:cstheme="minorHAnsi"/>
          <w:bCs/>
          <w:szCs w:val="20"/>
          <w:lang w:val="en-CA"/>
        </w:rPr>
        <w:t>T</w:t>
      </w:r>
      <w:r w:rsidR="005517AE" w:rsidRPr="00FC2211">
        <w:rPr>
          <w:rFonts w:cstheme="minorHAnsi"/>
          <w:bCs/>
          <w:szCs w:val="20"/>
          <w:lang w:val="en-CA"/>
        </w:rPr>
        <w:t>he continued operations of the Company are dependent on its ability to</w:t>
      </w:r>
      <w:r w:rsidR="00966D44" w:rsidRPr="00FC2211">
        <w:rPr>
          <w:rFonts w:cstheme="minorHAnsi"/>
          <w:bCs/>
          <w:szCs w:val="20"/>
          <w:lang w:val="en-CA"/>
        </w:rPr>
        <w:t xml:space="preserve"> generate re</w:t>
      </w:r>
      <w:r w:rsidR="007C45ED" w:rsidRPr="00FC2211">
        <w:rPr>
          <w:rFonts w:cstheme="minorHAnsi"/>
          <w:bCs/>
          <w:szCs w:val="20"/>
          <w:lang w:val="en-CA"/>
        </w:rPr>
        <w:t xml:space="preserve">venues, </w:t>
      </w:r>
      <w:r w:rsidR="005517AE" w:rsidRPr="00FC2211">
        <w:rPr>
          <w:rFonts w:cstheme="minorHAnsi"/>
          <w:bCs/>
          <w:szCs w:val="20"/>
          <w:lang w:val="en-CA"/>
        </w:rPr>
        <w:t xml:space="preserve">develop a sufficient financing plan, receive continued financial support from related parties, complete sufficient public equity financing, and ultimately generate profitable operations in the future. The Company has no assurance that it will be successful in its efforts. If the Company </w:t>
      </w:r>
      <w:r w:rsidR="00D3433C" w:rsidRPr="00FC2211">
        <w:rPr>
          <w:rFonts w:cstheme="minorHAnsi"/>
          <w:bCs/>
          <w:szCs w:val="20"/>
          <w:lang w:val="en-CA"/>
        </w:rPr>
        <w:t>cannot obtain financing in the amounts and on terms deemed acceptable, the business's future success</w:t>
      </w:r>
      <w:r w:rsidR="005517AE" w:rsidRPr="00FC2211">
        <w:rPr>
          <w:rFonts w:cstheme="minorHAnsi"/>
          <w:bCs/>
          <w:szCs w:val="20"/>
          <w:lang w:val="en-CA"/>
        </w:rPr>
        <w:t xml:space="preserve"> could be adversely affected.</w:t>
      </w:r>
      <w:r w:rsidR="009734E0" w:rsidRPr="00FC2211">
        <w:rPr>
          <w:rFonts w:cstheme="minorHAnsi"/>
          <w:bCs/>
          <w:szCs w:val="20"/>
          <w:lang w:val="en-CA"/>
        </w:rPr>
        <w:t xml:space="preserve">  These matters result in </w:t>
      </w:r>
      <w:r w:rsidR="00A127DC" w:rsidRPr="00FC2211">
        <w:rPr>
          <w:rFonts w:cstheme="minorHAnsi"/>
          <w:bCs/>
          <w:szCs w:val="20"/>
          <w:lang w:val="en-CA"/>
        </w:rPr>
        <w:t>material uncertainties</w:t>
      </w:r>
      <w:r w:rsidR="00D3433C" w:rsidRPr="00FC2211">
        <w:rPr>
          <w:rFonts w:cstheme="minorHAnsi"/>
          <w:bCs/>
          <w:szCs w:val="20"/>
          <w:lang w:val="en-CA"/>
        </w:rPr>
        <w:t>,</w:t>
      </w:r>
      <w:r w:rsidR="00A127DC" w:rsidRPr="00FC2211">
        <w:rPr>
          <w:rFonts w:cstheme="minorHAnsi"/>
          <w:bCs/>
          <w:szCs w:val="20"/>
          <w:lang w:val="en-CA"/>
        </w:rPr>
        <w:t xml:space="preserve"> which may cast significant doubt on whether the Company will continue as a going concern. </w:t>
      </w:r>
    </w:p>
    <w:p w14:paraId="4F9E63F2" w14:textId="77777777" w:rsidR="00AD6993" w:rsidRPr="00FC2211" w:rsidRDefault="00AD6993" w:rsidP="00475C4F">
      <w:pPr>
        <w:pStyle w:val="NormalWeb"/>
        <w:ind w:left="357"/>
        <w:jc w:val="both"/>
        <w:rPr>
          <w:rFonts w:cstheme="minorHAnsi"/>
          <w:bCs/>
          <w:szCs w:val="20"/>
          <w:lang w:val="en-CA"/>
        </w:rPr>
      </w:pPr>
    </w:p>
    <w:p w14:paraId="5A8B7EC0" w14:textId="77777777" w:rsidR="008F0863" w:rsidRPr="00FC2211" w:rsidRDefault="008F0863" w:rsidP="008C777F">
      <w:pPr>
        <w:tabs>
          <w:tab w:val="left" w:pos="284"/>
        </w:tabs>
        <w:rPr>
          <w:rFonts w:cstheme="minorHAnsi"/>
          <w:b/>
          <w:bCs/>
          <w:szCs w:val="20"/>
        </w:rPr>
      </w:pPr>
      <w:r w:rsidRPr="00FC2211">
        <w:rPr>
          <w:rFonts w:cstheme="minorHAnsi"/>
          <w:b/>
          <w:bCs/>
          <w:szCs w:val="20"/>
        </w:rPr>
        <w:br w:type="page"/>
      </w:r>
    </w:p>
    <w:p w14:paraId="4D76F4DD" w14:textId="7A95A944" w:rsidR="005922C5" w:rsidRPr="00FC2211" w:rsidRDefault="008C777F" w:rsidP="008C777F">
      <w:pPr>
        <w:tabs>
          <w:tab w:val="left" w:pos="284"/>
        </w:tabs>
        <w:rPr>
          <w:rFonts w:cstheme="minorHAnsi"/>
          <w:szCs w:val="20"/>
        </w:rPr>
      </w:pPr>
      <w:r w:rsidRPr="00FC2211">
        <w:rPr>
          <w:rFonts w:cstheme="minorHAnsi"/>
          <w:b/>
          <w:bCs/>
          <w:szCs w:val="20"/>
        </w:rPr>
        <w:lastRenderedPageBreak/>
        <w:t xml:space="preserve">2.  </w:t>
      </w:r>
      <w:r w:rsidRPr="00FC2211">
        <w:rPr>
          <w:rFonts w:cstheme="minorHAnsi"/>
          <w:b/>
          <w:bCs/>
          <w:szCs w:val="20"/>
        </w:rPr>
        <w:tab/>
      </w:r>
      <w:r w:rsidR="005922C5" w:rsidRPr="00FC2211">
        <w:rPr>
          <w:rFonts w:cstheme="minorHAnsi"/>
          <w:b/>
          <w:bCs/>
          <w:szCs w:val="20"/>
        </w:rPr>
        <w:t>BASIS</w:t>
      </w:r>
      <w:r w:rsidR="00450BFC" w:rsidRPr="00FC2211">
        <w:rPr>
          <w:rFonts w:cstheme="minorHAnsi"/>
          <w:b/>
          <w:bCs/>
          <w:szCs w:val="20"/>
        </w:rPr>
        <w:t xml:space="preserve"> </w:t>
      </w:r>
      <w:r w:rsidR="005922C5" w:rsidRPr="00FC2211">
        <w:rPr>
          <w:rFonts w:cstheme="minorHAnsi"/>
          <w:b/>
          <w:bCs/>
          <w:szCs w:val="20"/>
        </w:rPr>
        <w:t>OF</w:t>
      </w:r>
      <w:r w:rsidR="00450BFC" w:rsidRPr="00FC2211">
        <w:rPr>
          <w:rFonts w:cstheme="minorHAnsi"/>
          <w:b/>
          <w:bCs/>
          <w:szCs w:val="20"/>
        </w:rPr>
        <w:t xml:space="preserve"> </w:t>
      </w:r>
      <w:r w:rsidR="007A4A94" w:rsidRPr="00FC2211">
        <w:rPr>
          <w:rFonts w:cstheme="minorHAnsi"/>
          <w:b/>
          <w:bCs/>
          <w:szCs w:val="20"/>
        </w:rPr>
        <w:t xml:space="preserve">CONSOLIDATION AND </w:t>
      </w:r>
      <w:r w:rsidR="005922C5" w:rsidRPr="00FC2211">
        <w:rPr>
          <w:rFonts w:cstheme="minorHAnsi"/>
          <w:b/>
          <w:bCs/>
          <w:szCs w:val="20"/>
        </w:rPr>
        <w:t>PREPARATION</w:t>
      </w:r>
      <w:r w:rsidR="00450BFC" w:rsidRPr="00FC2211">
        <w:rPr>
          <w:rFonts w:cstheme="minorHAnsi"/>
          <w:szCs w:val="20"/>
        </w:rPr>
        <w:t xml:space="preserve"> </w:t>
      </w:r>
    </w:p>
    <w:p w14:paraId="679C92AE" w14:textId="77777777" w:rsidR="00F222A8" w:rsidRPr="00FC2211" w:rsidRDefault="00F222A8" w:rsidP="00F222A8">
      <w:pPr>
        <w:pStyle w:val="NormalWeb"/>
        <w:ind w:left="360"/>
        <w:rPr>
          <w:rFonts w:cstheme="minorHAnsi"/>
          <w:bCs/>
          <w:szCs w:val="20"/>
          <w:lang w:val="en-CA"/>
        </w:rPr>
      </w:pPr>
    </w:p>
    <w:p w14:paraId="7CB41997" w14:textId="77777777" w:rsidR="00FD28F9" w:rsidRPr="00FC2211" w:rsidRDefault="00FD28F9" w:rsidP="00CF6721">
      <w:pPr>
        <w:pStyle w:val="BodyText"/>
        <w:ind w:left="360"/>
        <w:jc w:val="both"/>
        <w:rPr>
          <w:rFonts w:cstheme="minorHAnsi"/>
          <w:bCs/>
          <w:szCs w:val="20"/>
          <w:lang w:val="en-CA"/>
        </w:rPr>
      </w:pPr>
      <w:r w:rsidRPr="00FC2211">
        <w:rPr>
          <w:rFonts w:cstheme="minorHAnsi"/>
          <w:bCs/>
          <w:szCs w:val="20"/>
          <w:lang w:val="en-CA"/>
        </w:rPr>
        <w:t xml:space="preserve">The </w:t>
      </w:r>
      <w:r w:rsidR="001937C9" w:rsidRPr="00FC2211">
        <w:rPr>
          <w:rFonts w:cstheme="minorHAnsi"/>
          <w:bCs/>
          <w:szCs w:val="20"/>
          <w:lang w:val="en-CA"/>
        </w:rPr>
        <w:t>Financial Statements</w:t>
      </w:r>
      <w:r w:rsidRPr="00FC2211">
        <w:rPr>
          <w:rFonts w:cstheme="minorHAnsi"/>
          <w:bCs/>
          <w:szCs w:val="20"/>
          <w:lang w:val="en-CA"/>
        </w:rPr>
        <w:t xml:space="preserve">, including comparatives, have been prepared in accordance with IFRS issued by the International Accounting Standards Board ("IASB") and interpretations of the IFRS Interpretations Committee (“IFRIC”).  </w:t>
      </w:r>
    </w:p>
    <w:p w14:paraId="2446A3C7" w14:textId="3DF4791A" w:rsidR="00FD28F9" w:rsidRPr="00FC2211" w:rsidRDefault="00FD28F9" w:rsidP="00CF6721">
      <w:pPr>
        <w:pStyle w:val="BodyText"/>
        <w:ind w:left="360"/>
        <w:jc w:val="both"/>
        <w:rPr>
          <w:rFonts w:cstheme="minorHAnsi"/>
          <w:bCs/>
          <w:szCs w:val="20"/>
          <w:lang w:val="en-CA"/>
        </w:rPr>
      </w:pPr>
      <w:r w:rsidRPr="00FC2211">
        <w:rPr>
          <w:rFonts w:cstheme="minorHAnsi"/>
          <w:bCs/>
          <w:szCs w:val="20"/>
          <w:lang w:val="en-CA"/>
        </w:rPr>
        <w:t xml:space="preserve">These </w:t>
      </w:r>
      <w:r w:rsidR="001937C9" w:rsidRPr="00FC2211">
        <w:rPr>
          <w:rFonts w:cstheme="minorHAnsi"/>
          <w:bCs/>
          <w:szCs w:val="20"/>
          <w:lang w:val="en-CA"/>
        </w:rPr>
        <w:t>Financial Statements</w:t>
      </w:r>
      <w:r w:rsidRPr="00FC2211">
        <w:rPr>
          <w:rFonts w:cstheme="minorHAnsi"/>
          <w:bCs/>
          <w:szCs w:val="20"/>
          <w:lang w:val="en-CA"/>
        </w:rPr>
        <w:t xml:space="preserve"> have been prepared on a historical cost basis except for certain financial instruments</w:t>
      </w:r>
      <w:r w:rsidR="00D3433C" w:rsidRPr="00FC2211">
        <w:rPr>
          <w:rFonts w:cstheme="minorHAnsi"/>
          <w:bCs/>
          <w:szCs w:val="20"/>
          <w:lang w:val="en-CA"/>
        </w:rPr>
        <w:t>,</w:t>
      </w:r>
      <w:r w:rsidRPr="00FC2211">
        <w:rPr>
          <w:rFonts w:cstheme="minorHAnsi"/>
          <w:bCs/>
          <w:szCs w:val="20"/>
          <w:lang w:val="en-CA"/>
        </w:rPr>
        <w:t xml:space="preserve"> measured at fair value. In addition, the</w:t>
      </w:r>
      <w:r w:rsidR="004B5AFC" w:rsidRPr="00FC2211">
        <w:rPr>
          <w:rFonts w:cstheme="minorHAnsi"/>
          <w:bCs/>
          <w:szCs w:val="20"/>
          <w:lang w:val="en-CA"/>
        </w:rPr>
        <w:t xml:space="preserve">se </w:t>
      </w:r>
      <w:r w:rsidR="001937C9" w:rsidRPr="00FC2211">
        <w:rPr>
          <w:rFonts w:cstheme="minorHAnsi"/>
          <w:bCs/>
          <w:szCs w:val="20"/>
          <w:lang w:val="en-CA"/>
        </w:rPr>
        <w:t>Financial Statements</w:t>
      </w:r>
      <w:r w:rsidRPr="00FC2211">
        <w:rPr>
          <w:rFonts w:cstheme="minorHAnsi"/>
          <w:bCs/>
          <w:szCs w:val="20"/>
          <w:lang w:val="en-CA"/>
        </w:rPr>
        <w:t xml:space="preserve"> have been prepared using the accrual basis of accounting, except for the cash flow information.</w:t>
      </w:r>
    </w:p>
    <w:p w14:paraId="4505CEC0" w14:textId="4D42D8F4" w:rsidR="00675D0F" w:rsidRPr="00FC2211" w:rsidRDefault="00675D0F" w:rsidP="00CF6721">
      <w:pPr>
        <w:pStyle w:val="NormalWeb"/>
        <w:ind w:left="360"/>
        <w:jc w:val="both"/>
        <w:rPr>
          <w:rFonts w:cstheme="minorHAnsi"/>
          <w:bCs/>
          <w:szCs w:val="20"/>
          <w:lang w:val="en-CA"/>
        </w:rPr>
      </w:pPr>
      <w:r w:rsidRPr="00FC2211">
        <w:rPr>
          <w:rFonts w:cstheme="minorHAnsi"/>
          <w:bCs/>
          <w:szCs w:val="20"/>
          <w:lang w:val="en-CA"/>
        </w:rPr>
        <w:t>The</w:t>
      </w:r>
      <w:r w:rsidR="003A061E" w:rsidRPr="00FC2211">
        <w:rPr>
          <w:rFonts w:cstheme="minorHAnsi"/>
          <w:bCs/>
          <w:szCs w:val="20"/>
          <w:lang w:val="en-CA"/>
        </w:rPr>
        <w:t>se</w:t>
      </w:r>
      <w:r w:rsidRPr="00FC2211">
        <w:rPr>
          <w:rFonts w:cstheme="minorHAnsi"/>
          <w:bCs/>
          <w:szCs w:val="20"/>
          <w:lang w:val="en-CA"/>
        </w:rPr>
        <w:t xml:space="preserve"> </w:t>
      </w:r>
      <w:r w:rsidR="001937C9" w:rsidRPr="00FC2211">
        <w:rPr>
          <w:rFonts w:cstheme="minorHAnsi"/>
          <w:bCs/>
          <w:szCs w:val="20"/>
          <w:lang w:val="en-CA"/>
        </w:rPr>
        <w:t>Financial Statements</w:t>
      </w:r>
      <w:r w:rsidR="00A80CD2" w:rsidRPr="00FC2211">
        <w:rPr>
          <w:rFonts w:cstheme="minorHAnsi"/>
          <w:bCs/>
          <w:szCs w:val="20"/>
          <w:lang w:val="en-CA"/>
        </w:rPr>
        <w:t xml:space="preserve"> </w:t>
      </w:r>
      <w:r w:rsidR="66C10E5F" w:rsidRPr="00FC2211">
        <w:rPr>
          <w:rFonts w:cstheme="minorHAnsi"/>
          <w:szCs w:val="20"/>
          <w:lang w:val="en-CA"/>
        </w:rPr>
        <w:t xml:space="preserve">were </w:t>
      </w:r>
      <w:r w:rsidRPr="00FC2211">
        <w:rPr>
          <w:rFonts w:cstheme="minorHAnsi"/>
          <w:bCs/>
          <w:szCs w:val="20"/>
          <w:lang w:val="en-CA"/>
        </w:rPr>
        <w:t>authorized for issue by the Board of Directors on</w:t>
      </w:r>
      <w:r w:rsidR="005038DD" w:rsidRPr="00FC2211">
        <w:rPr>
          <w:rFonts w:cstheme="minorHAnsi"/>
          <w:szCs w:val="20"/>
          <w:lang w:val="en-CA"/>
        </w:rPr>
        <w:t xml:space="preserve"> </w:t>
      </w:r>
      <w:r w:rsidR="009A267A">
        <w:rPr>
          <w:rFonts w:cstheme="minorHAnsi"/>
          <w:szCs w:val="20"/>
          <w:lang w:val="en-CA"/>
        </w:rPr>
        <w:t>May</w:t>
      </w:r>
      <w:r w:rsidR="00270E63" w:rsidRPr="00FC2211">
        <w:rPr>
          <w:rFonts w:cstheme="minorHAnsi"/>
          <w:szCs w:val="20"/>
          <w:lang w:val="en-CA"/>
        </w:rPr>
        <w:t xml:space="preserve"> </w:t>
      </w:r>
      <w:r w:rsidR="009A267A">
        <w:rPr>
          <w:rFonts w:cstheme="minorHAnsi"/>
          <w:szCs w:val="20"/>
          <w:lang w:val="en-CA"/>
        </w:rPr>
        <w:t>XX</w:t>
      </w:r>
      <w:r w:rsidR="00054B4E" w:rsidRPr="00FC2211">
        <w:rPr>
          <w:rFonts w:cstheme="minorHAnsi"/>
          <w:bCs/>
          <w:szCs w:val="20"/>
          <w:lang w:val="en-CA"/>
        </w:rPr>
        <w:t xml:space="preserve">, </w:t>
      </w:r>
      <w:r w:rsidR="008A0128" w:rsidRPr="00FC2211">
        <w:rPr>
          <w:rFonts w:cstheme="minorHAnsi"/>
          <w:bCs/>
          <w:szCs w:val="20"/>
          <w:lang w:val="en-CA"/>
        </w:rPr>
        <w:t>202</w:t>
      </w:r>
      <w:r w:rsidR="00ED1B16" w:rsidRPr="00FC2211">
        <w:rPr>
          <w:rFonts w:cstheme="minorHAnsi"/>
          <w:bCs/>
          <w:szCs w:val="20"/>
          <w:lang w:val="en-CA"/>
        </w:rPr>
        <w:t>4</w:t>
      </w:r>
      <w:r w:rsidRPr="00FC2211">
        <w:rPr>
          <w:rFonts w:cstheme="minorHAnsi"/>
          <w:bCs/>
          <w:szCs w:val="20"/>
          <w:lang w:val="en-CA"/>
        </w:rPr>
        <w:t>.</w:t>
      </w:r>
    </w:p>
    <w:p w14:paraId="0AD98434" w14:textId="77777777" w:rsidR="00837693" w:rsidRPr="00FC2211" w:rsidRDefault="00837693" w:rsidP="00CF6721">
      <w:pPr>
        <w:pStyle w:val="NormalWeb"/>
        <w:ind w:left="284" w:firstLine="76"/>
        <w:jc w:val="both"/>
        <w:rPr>
          <w:rFonts w:cstheme="minorHAnsi"/>
          <w:bCs/>
          <w:szCs w:val="20"/>
          <w:lang w:val="en-CA"/>
        </w:rPr>
      </w:pPr>
    </w:p>
    <w:p w14:paraId="55B17A4F" w14:textId="1069D6F5" w:rsidR="00675D0F" w:rsidRPr="00FC2211" w:rsidRDefault="00600AC3" w:rsidP="00CF6721">
      <w:pPr>
        <w:pStyle w:val="NormalWeb"/>
        <w:ind w:left="360"/>
        <w:jc w:val="both"/>
        <w:rPr>
          <w:rFonts w:cstheme="minorHAnsi"/>
          <w:bCs/>
          <w:szCs w:val="20"/>
          <w:lang w:val="en-CA"/>
        </w:rPr>
      </w:pPr>
      <w:r w:rsidRPr="00FC2211">
        <w:rPr>
          <w:rFonts w:cstheme="minorHAnsi"/>
          <w:bCs/>
          <w:szCs w:val="20"/>
          <w:lang w:val="en-CA"/>
        </w:rPr>
        <w:t>The</w:t>
      </w:r>
      <w:r w:rsidR="003A061E" w:rsidRPr="00FC2211">
        <w:rPr>
          <w:rFonts w:cstheme="minorHAnsi"/>
          <w:bCs/>
          <w:szCs w:val="20"/>
          <w:lang w:val="en-CA"/>
        </w:rPr>
        <w:t>se</w:t>
      </w:r>
      <w:r w:rsidR="00B24413" w:rsidRPr="00FC2211">
        <w:rPr>
          <w:rFonts w:cstheme="minorHAnsi"/>
          <w:bCs/>
          <w:szCs w:val="20"/>
          <w:lang w:val="en-CA"/>
        </w:rPr>
        <w:t xml:space="preserve"> </w:t>
      </w:r>
      <w:r w:rsidR="001937C9" w:rsidRPr="00FC2211">
        <w:rPr>
          <w:rFonts w:cstheme="minorHAnsi"/>
          <w:bCs/>
          <w:szCs w:val="20"/>
          <w:lang w:val="en-CA"/>
        </w:rPr>
        <w:t>Financial Statements</w:t>
      </w:r>
      <w:r w:rsidR="003A7974" w:rsidRPr="00FC2211">
        <w:rPr>
          <w:rFonts w:cstheme="minorHAnsi"/>
          <w:bCs/>
          <w:szCs w:val="20"/>
          <w:lang w:val="en-CA"/>
        </w:rPr>
        <w:t>, except as otherwise stated,</w:t>
      </w:r>
      <w:r w:rsidR="00B24413" w:rsidRPr="00FC2211">
        <w:rPr>
          <w:rFonts w:cstheme="minorHAnsi"/>
          <w:bCs/>
          <w:szCs w:val="20"/>
          <w:lang w:val="en-CA"/>
        </w:rPr>
        <w:t xml:space="preserve"> are presented in Canadian dollars and include the accounts of the Company and its wholly-owned subsidiaries, each having a Canadian functional currency.  </w:t>
      </w:r>
    </w:p>
    <w:p w14:paraId="14AE041D" w14:textId="77777777" w:rsidR="00B24413" w:rsidRPr="00FC2211" w:rsidRDefault="00B24413" w:rsidP="00C379E4">
      <w:pPr>
        <w:pStyle w:val="NormalWeb"/>
        <w:ind w:left="360"/>
        <w:rPr>
          <w:rFonts w:cstheme="minorHAnsi"/>
          <w:bCs/>
          <w:szCs w:val="20"/>
          <w:lang w:val="en-CA"/>
        </w:rPr>
      </w:pPr>
    </w:p>
    <w:tbl>
      <w:tblPr>
        <w:tblStyle w:val="TableGrid"/>
        <w:tblW w:w="4771" w:type="pct"/>
        <w:tblInd w:w="426" w:type="dxa"/>
        <w:tblLayout w:type="fixed"/>
        <w:tblLook w:val="04A0" w:firstRow="1" w:lastRow="0" w:firstColumn="1" w:lastColumn="0" w:noHBand="0" w:noVBand="1"/>
      </w:tblPr>
      <w:tblGrid>
        <w:gridCol w:w="2599"/>
        <w:gridCol w:w="1776"/>
        <w:gridCol w:w="2372"/>
        <w:gridCol w:w="1866"/>
      </w:tblGrid>
      <w:tr w:rsidR="0092726A" w:rsidRPr="00FC2211" w14:paraId="5D0DF794" w14:textId="77777777" w:rsidTr="00940887">
        <w:tc>
          <w:tcPr>
            <w:tcW w:w="1509" w:type="pct"/>
            <w:tcBorders>
              <w:top w:val="single" w:sz="8" w:space="0" w:color="auto"/>
              <w:left w:val="nil"/>
              <w:bottom w:val="single" w:sz="4" w:space="0" w:color="auto"/>
              <w:right w:val="nil"/>
            </w:tcBorders>
            <w:vAlign w:val="bottom"/>
          </w:tcPr>
          <w:p w14:paraId="72E09716" w14:textId="77777777" w:rsidR="0092726A" w:rsidRPr="00FC2211" w:rsidRDefault="0092726A" w:rsidP="008E2043">
            <w:pPr>
              <w:jc w:val="center"/>
              <w:rPr>
                <w:rFonts w:cstheme="minorHAnsi"/>
                <w:b/>
                <w:bCs/>
                <w:szCs w:val="20"/>
                <w:lang w:val="en-CA"/>
              </w:rPr>
            </w:pPr>
            <w:r w:rsidRPr="00FC2211">
              <w:rPr>
                <w:rFonts w:cstheme="minorHAnsi"/>
                <w:b/>
                <w:bCs/>
                <w:szCs w:val="20"/>
                <w:lang w:val="en-CA"/>
              </w:rPr>
              <w:t>Entity</w:t>
            </w:r>
          </w:p>
        </w:tc>
        <w:tc>
          <w:tcPr>
            <w:tcW w:w="1031" w:type="pct"/>
            <w:tcBorders>
              <w:top w:val="single" w:sz="8" w:space="0" w:color="auto"/>
              <w:left w:val="nil"/>
              <w:bottom w:val="single" w:sz="4" w:space="0" w:color="auto"/>
              <w:right w:val="nil"/>
            </w:tcBorders>
          </w:tcPr>
          <w:p w14:paraId="2D111CEE" w14:textId="77777777" w:rsidR="0092726A" w:rsidRPr="00FC2211" w:rsidRDefault="0092726A" w:rsidP="008E2043">
            <w:pPr>
              <w:ind w:left="-15"/>
              <w:jc w:val="center"/>
              <w:rPr>
                <w:rFonts w:cstheme="minorHAnsi"/>
                <w:b/>
                <w:bCs/>
                <w:szCs w:val="20"/>
                <w:lang w:val="en-CA"/>
              </w:rPr>
            </w:pPr>
            <w:r w:rsidRPr="00FC2211">
              <w:rPr>
                <w:rFonts w:cstheme="minorHAnsi"/>
                <w:b/>
                <w:bCs/>
                <w:szCs w:val="20"/>
                <w:lang w:val="en-CA"/>
              </w:rPr>
              <w:t>Parent</w:t>
            </w:r>
          </w:p>
        </w:tc>
        <w:tc>
          <w:tcPr>
            <w:tcW w:w="1377" w:type="pct"/>
            <w:tcBorders>
              <w:top w:val="single" w:sz="8" w:space="0" w:color="auto"/>
              <w:left w:val="nil"/>
              <w:bottom w:val="single" w:sz="4" w:space="0" w:color="auto"/>
              <w:right w:val="nil"/>
            </w:tcBorders>
            <w:vAlign w:val="bottom"/>
          </w:tcPr>
          <w:p w14:paraId="048FACB5" w14:textId="77777777" w:rsidR="0092726A" w:rsidRPr="00FC2211" w:rsidRDefault="0092726A" w:rsidP="008E2043">
            <w:pPr>
              <w:ind w:left="-15"/>
              <w:jc w:val="center"/>
              <w:rPr>
                <w:rFonts w:cstheme="minorHAnsi"/>
                <w:b/>
                <w:bCs/>
                <w:szCs w:val="20"/>
                <w:lang w:val="en-CA"/>
              </w:rPr>
            </w:pPr>
            <w:r w:rsidRPr="00FC2211">
              <w:rPr>
                <w:rFonts w:cstheme="minorHAnsi"/>
                <w:b/>
                <w:bCs/>
                <w:szCs w:val="20"/>
                <w:lang w:val="en-CA"/>
              </w:rPr>
              <w:t>Country of Incorporation</w:t>
            </w:r>
          </w:p>
        </w:tc>
        <w:tc>
          <w:tcPr>
            <w:tcW w:w="1083" w:type="pct"/>
            <w:tcBorders>
              <w:top w:val="single" w:sz="8" w:space="0" w:color="auto"/>
              <w:left w:val="nil"/>
              <w:bottom w:val="single" w:sz="4" w:space="0" w:color="auto"/>
              <w:right w:val="nil"/>
            </w:tcBorders>
            <w:vAlign w:val="bottom"/>
          </w:tcPr>
          <w:p w14:paraId="16E151DB" w14:textId="77777777" w:rsidR="0092726A" w:rsidRPr="00FC2211" w:rsidRDefault="0092726A" w:rsidP="008E2043">
            <w:pPr>
              <w:jc w:val="center"/>
              <w:rPr>
                <w:rFonts w:cstheme="minorHAnsi"/>
                <w:b/>
                <w:bCs/>
                <w:szCs w:val="20"/>
                <w:lang w:val="en-CA"/>
              </w:rPr>
            </w:pPr>
            <w:r w:rsidRPr="00FC2211">
              <w:rPr>
                <w:rFonts w:cstheme="minorHAnsi"/>
                <w:b/>
                <w:bCs/>
                <w:szCs w:val="20"/>
                <w:lang w:val="en-CA"/>
              </w:rPr>
              <w:t>Effective Interest</w:t>
            </w:r>
          </w:p>
        </w:tc>
      </w:tr>
      <w:tr w:rsidR="0092726A" w:rsidRPr="00FC2211" w14:paraId="67F7644D" w14:textId="77777777" w:rsidTr="00940887">
        <w:tc>
          <w:tcPr>
            <w:tcW w:w="1509" w:type="pct"/>
            <w:tcBorders>
              <w:top w:val="single" w:sz="4" w:space="0" w:color="auto"/>
              <w:left w:val="nil"/>
              <w:bottom w:val="nil"/>
              <w:right w:val="nil"/>
            </w:tcBorders>
          </w:tcPr>
          <w:p w14:paraId="7BDFCB5E" w14:textId="77777777" w:rsidR="0092726A" w:rsidRPr="00FC2211" w:rsidRDefault="0092726A" w:rsidP="008E2043">
            <w:pPr>
              <w:rPr>
                <w:rFonts w:cstheme="minorHAnsi"/>
                <w:szCs w:val="20"/>
              </w:rPr>
            </w:pPr>
            <w:r w:rsidRPr="00FC2211">
              <w:rPr>
                <w:rFonts w:cstheme="minorHAnsi"/>
                <w:szCs w:val="20"/>
              </w:rPr>
              <w:t xml:space="preserve">INEO Solutions Inc. </w:t>
            </w:r>
          </w:p>
        </w:tc>
        <w:tc>
          <w:tcPr>
            <w:tcW w:w="1031" w:type="pct"/>
            <w:tcBorders>
              <w:top w:val="single" w:sz="4" w:space="0" w:color="auto"/>
              <w:left w:val="nil"/>
              <w:bottom w:val="nil"/>
              <w:right w:val="nil"/>
            </w:tcBorders>
          </w:tcPr>
          <w:p w14:paraId="5389D6D9" w14:textId="77777777" w:rsidR="0092726A" w:rsidRPr="00FC2211" w:rsidRDefault="0092726A" w:rsidP="008E2043">
            <w:pPr>
              <w:ind w:left="-15"/>
              <w:jc w:val="center"/>
              <w:rPr>
                <w:rFonts w:cstheme="minorHAnsi"/>
                <w:bCs/>
                <w:szCs w:val="20"/>
                <w:lang w:val="en-CA"/>
              </w:rPr>
            </w:pPr>
            <w:r w:rsidRPr="00FC2211">
              <w:rPr>
                <w:rFonts w:cstheme="minorHAnsi"/>
                <w:bCs/>
                <w:szCs w:val="20"/>
                <w:lang w:val="en-CA"/>
              </w:rPr>
              <w:t>INEO Tech Corp.</w:t>
            </w:r>
          </w:p>
        </w:tc>
        <w:tc>
          <w:tcPr>
            <w:tcW w:w="1377" w:type="pct"/>
            <w:tcBorders>
              <w:top w:val="single" w:sz="4" w:space="0" w:color="auto"/>
              <w:left w:val="nil"/>
              <w:bottom w:val="nil"/>
              <w:right w:val="nil"/>
            </w:tcBorders>
          </w:tcPr>
          <w:p w14:paraId="6A042CDA" w14:textId="77777777" w:rsidR="0092726A" w:rsidRPr="00FC2211" w:rsidRDefault="001D4228" w:rsidP="008E2043">
            <w:pPr>
              <w:ind w:left="-15"/>
              <w:jc w:val="center"/>
              <w:rPr>
                <w:rFonts w:cstheme="minorHAnsi"/>
                <w:bCs/>
                <w:szCs w:val="20"/>
                <w:lang w:val="en-CA"/>
              </w:rPr>
            </w:pPr>
            <w:r w:rsidRPr="00FC2211">
              <w:rPr>
                <w:rFonts w:cstheme="minorHAnsi"/>
                <w:bCs/>
                <w:szCs w:val="20"/>
                <w:lang w:val="en-CA"/>
              </w:rPr>
              <w:t>Canada</w:t>
            </w:r>
          </w:p>
        </w:tc>
        <w:tc>
          <w:tcPr>
            <w:tcW w:w="1083" w:type="pct"/>
            <w:tcBorders>
              <w:top w:val="single" w:sz="4" w:space="0" w:color="auto"/>
              <w:left w:val="nil"/>
              <w:bottom w:val="nil"/>
              <w:right w:val="nil"/>
            </w:tcBorders>
          </w:tcPr>
          <w:p w14:paraId="3D39A839" w14:textId="77777777" w:rsidR="0092726A" w:rsidRPr="00FC2211" w:rsidRDefault="001D4228" w:rsidP="008E2043">
            <w:pPr>
              <w:jc w:val="center"/>
              <w:rPr>
                <w:rFonts w:cstheme="minorHAnsi"/>
                <w:bCs/>
                <w:szCs w:val="20"/>
                <w:lang w:val="en-CA"/>
              </w:rPr>
            </w:pPr>
            <w:r w:rsidRPr="00FC2211">
              <w:rPr>
                <w:rFonts w:cstheme="minorHAnsi"/>
                <w:bCs/>
                <w:szCs w:val="20"/>
                <w:lang w:val="en-CA"/>
              </w:rPr>
              <w:t>100%</w:t>
            </w:r>
          </w:p>
        </w:tc>
      </w:tr>
      <w:tr w:rsidR="0092726A" w:rsidRPr="00FC2211" w14:paraId="085F42A7" w14:textId="77777777" w:rsidTr="00940887">
        <w:tc>
          <w:tcPr>
            <w:tcW w:w="1509" w:type="pct"/>
            <w:tcBorders>
              <w:top w:val="nil"/>
              <w:left w:val="nil"/>
              <w:bottom w:val="single" w:sz="8" w:space="0" w:color="auto"/>
              <w:right w:val="nil"/>
            </w:tcBorders>
          </w:tcPr>
          <w:p w14:paraId="18CFD6C3" w14:textId="77777777" w:rsidR="0092726A" w:rsidRPr="00FC2211" w:rsidRDefault="0092726A" w:rsidP="008E2043">
            <w:pPr>
              <w:rPr>
                <w:rFonts w:cstheme="minorHAnsi"/>
                <w:szCs w:val="20"/>
              </w:rPr>
            </w:pPr>
            <w:r w:rsidRPr="00FC2211">
              <w:rPr>
                <w:rFonts w:cstheme="minorHAnsi"/>
                <w:szCs w:val="20"/>
              </w:rPr>
              <w:t>FG Manufacturing Inc. (“FG”)</w:t>
            </w:r>
          </w:p>
        </w:tc>
        <w:tc>
          <w:tcPr>
            <w:tcW w:w="1031" w:type="pct"/>
            <w:tcBorders>
              <w:top w:val="nil"/>
              <w:left w:val="nil"/>
              <w:bottom w:val="single" w:sz="8" w:space="0" w:color="auto"/>
              <w:right w:val="nil"/>
            </w:tcBorders>
          </w:tcPr>
          <w:p w14:paraId="786EA2D2" w14:textId="77777777" w:rsidR="0092726A" w:rsidRPr="00FC2211" w:rsidRDefault="0092726A" w:rsidP="008E2043">
            <w:pPr>
              <w:ind w:left="-15"/>
              <w:jc w:val="center"/>
              <w:rPr>
                <w:rFonts w:cstheme="minorHAnsi"/>
                <w:bCs/>
                <w:szCs w:val="20"/>
                <w:lang w:val="en-CA"/>
              </w:rPr>
            </w:pPr>
            <w:r w:rsidRPr="00FC2211">
              <w:rPr>
                <w:rFonts w:cstheme="minorHAnsi"/>
                <w:bCs/>
                <w:szCs w:val="20"/>
                <w:lang w:val="en-CA"/>
              </w:rPr>
              <w:t>INEO Solutions Inc.</w:t>
            </w:r>
          </w:p>
        </w:tc>
        <w:tc>
          <w:tcPr>
            <w:tcW w:w="1377" w:type="pct"/>
            <w:tcBorders>
              <w:top w:val="nil"/>
              <w:left w:val="nil"/>
              <w:bottom w:val="single" w:sz="8" w:space="0" w:color="auto"/>
              <w:right w:val="nil"/>
            </w:tcBorders>
          </w:tcPr>
          <w:p w14:paraId="47694408" w14:textId="77777777" w:rsidR="0092726A" w:rsidRPr="00FC2211" w:rsidRDefault="0092726A" w:rsidP="008E2043">
            <w:pPr>
              <w:ind w:left="-15"/>
              <w:jc w:val="center"/>
              <w:rPr>
                <w:rFonts w:cstheme="minorHAnsi"/>
                <w:bCs/>
                <w:szCs w:val="20"/>
                <w:lang w:val="en-CA"/>
              </w:rPr>
            </w:pPr>
            <w:r w:rsidRPr="00FC2211">
              <w:rPr>
                <w:rFonts w:cstheme="minorHAnsi"/>
                <w:bCs/>
                <w:szCs w:val="20"/>
                <w:lang w:val="en-CA"/>
              </w:rPr>
              <w:t>Canada</w:t>
            </w:r>
          </w:p>
        </w:tc>
        <w:tc>
          <w:tcPr>
            <w:tcW w:w="1083" w:type="pct"/>
            <w:tcBorders>
              <w:top w:val="nil"/>
              <w:left w:val="nil"/>
              <w:bottom w:val="single" w:sz="8" w:space="0" w:color="auto"/>
              <w:right w:val="nil"/>
            </w:tcBorders>
          </w:tcPr>
          <w:p w14:paraId="2C63B68E" w14:textId="77777777" w:rsidR="0092726A" w:rsidRPr="00FC2211" w:rsidRDefault="0092726A" w:rsidP="008E2043">
            <w:pPr>
              <w:jc w:val="center"/>
              <w:rPr>
                <w:rFonts w:cstheme="minorHAnsi"/>
                <w:bCs/>
                <w:szCs w:val="20"/>
                <w:lang w:val="en-CA"/>
              </w:rPr>
            </w:pPr>
            <w:r w:rsidRPr="00FC2211">
              <w:rPr>
                <w:rFonts w:cstheme="minorHAnsi"/>
                <w:bCs/>
                <w:szCs w:val="20"/>
                <w:lang w:val="en-CA"/>
              </w:rPr>
              <w:t>100%</w:t>
            </w:r>
          </w:p>
        </w:tc>
      </w:tr>
    </w:tbl>
    <w:p w14:paraId="498CA4B5" w14:textId="77777777" w:rsidR="006030C6" w:rsidRPr="00FC2211" w:rsidRDefault="006030C6" w:rsidP="006030C6">
      <w:pPr>
        <w:tabs>
          <w:tab w:val="left" w:pos="720"/>
        </w:tabs>
        <w:rPr>
          <w:rFonts w:cstheme="minorHAnsi"/>
          <w:szCs w:val="20"/>
        </w:rPr>
      </w:pPr>
    </w:p>
    <w:p w14:paraId="33979BC1" w14:textId="66D6B33C" w:rsidR="00427D66" w:rsidRPr="00FC2211" w:rsidRDefault="00427D66" w:rsidP="00940887">
      <w:pPr>
        <w:pStyle w:val="BodyText"/>
        <w:ind w:left="360"/>
        <w:jc w:val="both"/>
        <w:rPr>
          <w:rFonts w:cstheme="minorHAnsi"/>
          <w:bCs/>
          <w:szCs w:val="20"/>
          <w:lang w:val="en-CA"/>
        </w:rPr>
      </w:pPr>
      <w:r w:rsidRPr="00FC2211">
        <w:rPr>
          <w:rFonts w:cstheme="minorHAnsi"/>
          <w:bCs/>
          <w:szCs w:val="20"/>
          <w:lang w:val="en-CA"/>
        </w:rPr>
        <w:t>The</w:t>
      </w:r>
      <w:r w:rsidR="00223539" w:rsidRPr="00FC2211">
        <w:rPr>
          <w:rFonts w:cstheme="minorHAnsi"/>
          <w:bCs/>
          <w:szCs w:val="20"/>
          <w:lang w:val="en-CA"/>
        </w:rPr>
        <w:t>se</w:t>
      </w:r>
      <w:r w:rsidR="004B5AFC" w:rsidRPr="00FC2211">
        <w:rPr>
          <w:rFonts w:cstheme="minorHAnsi"/>
          <w:bCs/>
          <w:szCs w:val="20"/>
          <w:lang w:val="en-CA"/>
        </w:rPr>
        <w:t xml:space="preserve"> </w:t>
      </w:r>
      <w:r w:rsidR="001937C9" w:rsidRPr="00FC2211">
        <w:rPr>
          <w:rFonts w:cstheme="minorHAnsi"/>
          <w:bCs/>
          <w:szCs w:val="20"/>
          <w:lang w:val="en-CA"/>
        </w:rPr>
        <w:t>Financial Statements</w:t>
      </w:r>
      <w:r w:rsidRPr="00FC2211">
        <w:rPr>
          <w:rFonts w:cstheme="minorHAnsi"/>
          <w:bCs/>
          <w:szCs w:val="20"/>
          <w:lang w:val="en-CA"/>
        </w:rPr>
        <w:t xml:space="preserve"> include the accounts of the Company and its subsidiaries of which it has control. All intercompany balances, transactions</w:t>
      </w:r>
      <w:r w:rsidR="003A7974" w:rsidRPr="00FC2211">
        <w:rPr>
          <w:rFonts w:cstheme="minorHAnsi"/>
          <w:bCs/>
          <w:szCs w:val="20"/>
          <w:lang w:val="en-CA"/>
        </w:rPr>
        <w:t>,</w:t>
      </w:r>
      <w:r w:rsidRPr="00FC2211">
        <w:rPr>
          <w:rFonts w:cstheme="minorHAnsi"/>
          <w:bCs/>
          <w:szCs w:val="20"/>
          <w:lang w:val="en-CA"/>
        </w:rPr>
        <w:t xml:space="preserve"> and any unrealized gains and losses arising from intercompany transactions have been eliminated.</w:t>
      </w:r>
    </w:p>
    <w:p w14:paraId="5A3F1972" w14:textId="77777777" w:rsidR="00427D66" w:rsidRPr="00FC2211" w:rsidRDefault="00427D66" w:rsidP="00C243A5">
      <w:pPr>
        <w:tabs>
          <w:tab w:val="left" w:pos="720"/>
        </w:tabs>
        <w:rPr>
          <w:rFonts w:cstheme="minorHAnsi"/>
          <w:szCs w:val="20"/>
        </w:rPr>
      </w:pPr>
    </w:p>
    <w:p w14:paraId="41C01E8E" w14:textId="77777777" w:rsidR="00631F39" w:rsidRPr="00FC2211" w:rsidRDefault="0067698F" w:rsidP="00C243A5">
      <w:pPr>
        <w:widowControl w:val="0"/>
        <w:autoSpaceDE w:val="0"/>
        <w:autoSpaceDN w:val="0"/>
        <w:ind w:left="360"/>
        <w:outlineLvl w:val="1"/>
        <w:rPr>
          <w:rFonts w:eastAsia="Calibri" w:cstheme="minorHAnsi"/>
          <w:b/>
          <w:bCs/>
          <w:szCs w:val="20"/>
        </w:rPr>
      </w:pPr>
      <w:r w:rsidRPr="00FC2211">
        <w:rPr>
          <w:rFonts w:eastAsia="Calibri" w:cstheme="minorHAnsi"/>
          <w:b/>
          <w:bCs/>
          <w:szCs w:val="20"/>
        </w:rPr>
        <w:t xml:space="preserve"> </w:t>
      </w:r>
      <w:r w:rsidR="00631F39" w:rsidRPr="00FC2211">
        <w:rPr>
          <w:rFonts w:eastAsia="Calibri" w:cstheme="minorHAnsi"/>
          <w:b/>
          <w:bCs/>
          <w:szCs w:val="20"/>
        </w:rPr>
        <w:t>Use of estimates and judgments</w:t>
      </w:r>
    </w:p>
    <w:p w14:paraId="0260F5E5" w14:textId="77777777" w:rsidR="00631F39" w:rsidRPr="00FC2211" w:rsidRDefault="00631F39" w:rsidP="00C243A5">
      <w:pPr>
        <w:widowControl w:val="0"/>
        <w:autoSpaceDE w:val="0"/>
        <w:autoSpaceDN w:val="0"/>
        <w:rPr>
          <w:rFonts w:eastAsia="Calibri" w:cstheme="minorHAnsi"/>
          <w:b/>
          <w:szCs w:val="20"/>
        </w:rPr>
      </w:pPr>
    </w:p>
    <w:p w14:paraId="5CC61088" w14:textId="6B36662F" w:rsidR="00120548" w:rsidRPr="00FC2211" w:rsidRDefault="00631F39" w:rsidP="009D7FED">
      <w:pPr>
        <w:widowControl w:val="0"/>
        <w:autoSpaceDE w:val="0"/>
        <w:autoSpaceDN w:val="0"/>
        <w:ind w:left="432" w:right="4"/>
        <w:jc w:val="both"/>
        <w:rPr>
          <w:rFonts w:eastAsia="Calibri" w:cstheme="minorHAnsi"/>
          <w:szCs w:val="20"/>
        </w:rPr>
      </w:pPr>
      <w:r w:rsidRPr="00FC2211">
        <w:rPr>
          <w:rFonts w:eastAsia="Calibri" w:cstheme="minorHAnsi"/>
          <w:szCs w:val="20"/>
        </w:rPr>
        <w:t>The preparation of</w:t>
      </w:r>
      <w:r w:rsidR="00D73F43" w:rsidRPr="00FC2211">
        <w:rPr>
          <w:rFonts w:eastAsia="Calibri" w:cstheme="minorHAnsi"/>
          <w:szCs w:val="20"/>
        </w:rPr>
        <w:t xml:space="preserve"> </w:t>
      </w:r>
      <w:r w:rsidR="00283514" w:rsidRPr="00FC2211">
        <w:rPr>
          <w:rFonts w:eastAsia="Calibri" w:cstheme="minorHAnsi"/>
          <w:szCs w:val="20"/>
        </w:rPr>
        <w:t>the</w:t>
      </w:r>
      <w:r w:rsidR="003A061E" w:rsidRPr="00FC2211">
        <w:rPr>
          <w:rFonts w:eastAsia="Calibri" w:cstheme="minorHAnsi"/>
          <w:szCs w:val="20"/>
        </w:rPr>
        <w:t>se</w:t>
      </w:r>
      <w:r w:rsidR="00283514" w:rsidRPr="00FC2211">
        <w:rPr>
          <w:rFonts w:eastAsia="Calibri" w:cstheme="minorHAnsi"/>
          <w:szCs w:val="20"/>
        </w:rPr>
        <w:t xml:space="preserve"> </w:t>
      </w:r>
      <w:r w:rsidR="001937C9" w:rsidRPr="00FC2211">
        <w:rPr>
          <w:rFonts w:eastAsia="Calibri" w:cstheme="minorHAnsi"/>
          <w:szCs w:val="20"/>
        </w:rPr>
        <w:t>Financial Statements</w:t>
      </w:r>
      <w:r w:rsidRPr="00FC2211">
        <w:rPr>
          <w:rFonts w:eastAsia="Calibri" w:cstheme="minorHAnsi"/>
          <w:szCs w:val="20"/>
        </w:rPr>
        <w:t xml:space="preserve"> requires management to make judgments, estimates</w:t>
      </w:r>
      <w:r w:rsidR="00F8663B" w:rsidRPr="00FC2211">
        <w:rPr>
          <w:rFonts w:eastAsia="Calibri" w:cstheme="minorHAnsi"/>
          <w:szCs w:val="20"/>
        </w:rPr>
        <w:t>,</w:t>
      </w:r>
      <w:r w:rsidRPr="00FC2211">
        <w:rPr>
          <w:rFonts w:eastAsia="Calibri" w:cstheme="minorHAnsi"/>
          <w:szCs w:val="20"/>
        </w:rPr>
        <w:t xml:space="preserve"> and assumptions that affect the application of policies and reported amounts of assets, liabilities, </w:t>
      </w:r>
      <w:r w:rsidR="009D7FED" w:rsidRPr="00FC2211">
        <w:rPr>
          <w:rFonts w:eastAsia="Calibri" w:cstheme="minorHAnsi"/>
          <w:szCs w:val="20"/>
        </w:rPr>
        <w:t>revenues,</w:t>
      </w:r>
      <w:r w:rsidRPr="00FC2211">
        <w:rPr>
          <w:rFonts w:eastAsia="Calibri" w:cstheme="minorHAnsi"/>
          <w:szCs w:val="20"/>
        </w:rPr>
        <w:t xml:space="preserve"> and expenses. Estimates and associated assumptions applied in determining asset or liability values are based on historical experience and various other factors</w:t>
      </w:r>
      <w:r w:rsidR="00D3433C" w:rsidRPr="00FC2211">
        <w:rPr>
          <w:rFonts w:eastAsia="Calibri" w:cstheme="minorHAnsi"/>
          <w:szCs w:val="20"/>
        </w:rPr>
        <w:t>,</w:t>
      </w:r>
      <w:r w:rsidRPr="00FC2211">
        <w:rPr>
          <w:rFonts w:eastAsia="Calibri" w:cstheme="minorHAnsi"/>
          <w:szCs w:val="20"/>
        </w:rPr>
        <w:t xml:space="preserve"> including other sources that are believed to be reasonable under the circumstances</w:t>
      </w:r>
      <w:r w:rsidRPr="00FC2211">
        <w:rPr>
          <w:rFonts w:eastAsia="Calibri" w:cstheme="minorHAnsi"/>
          <w:spacing w:val="-9"/>
          <w:szCs w:val="20"/>
        </w:rPr>
        <w:t xml:space="preserve"> </w:t>
      </w:r>
      <w:r w:rsidRPr="00FC2211">
        <w:rPr>
          <w:rFonts w:eastAsia="Calibri" w:cstheme="minorHAnsi"/>
          <w:szCs w:val="20"/>
        </w:rPr>
        <w:t>but</w:t>
      </w:r>
      <w:r w:rsidRPr="00FC2211">
        <w:rPr>
          <w:rFonts w:eastAsia="Calibri" w:cstheme="minorHAnsi"/>
          <w:spacing w:val="-8"/>
          <w:szCs w:val="20"/>
        </w:rPr>
        <w:t xml:space="preserve"> </w:t>
      </w:r>
      <w:r w:rsidRPr="00FC2211">
        <w:rPr>
          <w:rFonts w:eastAsia="Calibri" w:cstheme="minorHAnsi"/>
          <w:szCs w:val="20"/>
        </w:rPr>
        <w:t>are</w:t>
      </w:r>
      <w:r w:rsidRPr="00FC2211">
        <w:rPr>
          <w:rFonts w:eastAsia="Calibri" w:cstheme="minorHAnsi"/>
          <w:spacing w:val="-7"/>
          <w:szCs w:val="20"/>
        </w:rPr>
        <w:t xml:space="preserve"> </w:t>
      </w:r>
      <w:r w:rsidRPr="00FC2211">
        <w:rPr>
          <w:rFonts w:eastAsia="Calibri" w:cstheme="minorHAnsi"/>
          <w:szCs w:val="20"/>
        </w:rPr>
        <w:t>not</w:t>
      </w:r>
      <w:r w:rsidRPr="00FC2211">
        <w:rPr>
          <w:rFonts w:eastAsia="Calibri" w:cstheme="minorHAnsi"/>
          <w:spacing w:val="-9"/>
          <w:szCs w:val="20"/>
        </w:rPr>
        <w:t xml:space="preserve"> </w:t>
      </w:r>
      <w:r w:rsidRPr="00FC2211">
        <w:rPr>
          <w:rFonts w:eastAsia="Calibri" w:cstheme="minorHAnsi"/>
          <w:szCs w:val="20"/>
        </w:rPr>
        <w:t>necessarily</w:t>
      </w:r>
      <w:r w:rsidRPr="00FC2211">
        <w:rPr>
          <w:rFonts w:eastAsia="Calibri" w:cstheme="minorHAnsi"/>
          <w:spacing w:val="-7"/>
          <w:szCs w:val="20"/>
        </w:rPr>
        <w:t xml:space="preserve"> </w:t>
      </w:r>
      <w:r w:rsidRPr="00FC2211">
        <w:rPr>
          <w:rFonts w:eastAsia="Calibri" w:cstheme="minorHAnsi"/>
          <w:szCs w:val="20"/>
        </w:rPr>
        <w:t>readily</w:t>
      </w:r>
      <w:r w:rsidRPr="00FC2211">
        <w:rPr>
          <w:rFonts w:eastAsia="Calibri" w:cstheme="minorHAnsi"/>
          <w:spacing w:val="-7"/>
          <w:szCs w:val="20"/>
        </w:rPr>
        <w:t xml:space="preserve"> </w:t>
      </w:r>
      <w:r w:rsidRPr="00FC2211">
        <w:rPr>
          <w:rFonts w:eastAsia="Calibri" w:cstheme="minorHAnsi"/>
          <w:szCs w:val="20"/>
        </w:rPr>
        <w:t>apparent</w:t>
      </w:r>
      <w:r w:rsidRPr="00FC2211">
        <w:rPr>
          <w:rFonts w:eastAsia="Calibri" w:cstheme="minorHAnsi"/>
          <w:spacing w:val="-8"/>
          <w:szCs w:val="20"/>
        </w:rPr>
        <w:t xml:space="preserve"> </w:t>
      </w:r>
      <w:r w:rsidRPr="00FC2211">
        <w:rPr>
          <w:rFonts w:eastAsia="Calibri" w:cstheme="minorHAnsi"/>
          <w:szCs w:val="20"/>
        </w:rPr>
        <w:t>or</w:t>
      </w:r>
      <w:r w:rsidRPr="00FC2211">
        <w:rPr>
          <w:rFonts w:eastAsia="Calibri" w:cstheme="minorHAnsi"/>
          <w:spacing w:val="-7"/>
          <w:szCs w:val="20"/>
        </w:rPr>
        <w:t xml:space="preserve"> </w:t>
      </w:r>
      <w:r w:rsidRPr="00FC2211">
        <w:rPr>
          <w:rFonts w:eastAsia="Calibri" w:cstheme="minorHAnsi"/>
          <w:szCs w:val="20"/>
        </w:rPr>
        <w:t>recognizable</w:t>
      </w:r>
      <w:r w:rsidRPr="00FC2211">
        <w:rPr>
          <w:rFonts w:eastAsia="Calibri" w:cstheme="minorHAnsi"/>
          <w:spacing w:val="-8"/>
          <w:szCs w:val="20"/>
        </w:rPr>
        <w:t xml:space="preserve"> </w:t>
      </w:r>
      <w:r w:rsidR="00D3433C" w:rsidRPr="00FC2211">
        <w:rPr>
          <w:rFonts w:eastAsia="Calibri" w:cstheme="minorHAnsi"/>
          <w:szCs w:val="20"/>
        </w:rPr>
        <w:t>when</w:t>
      </w:r>
      <w:r w:rsidRPr="00FC2211">
        <w:rPr>
          <w:rFonts w:eastAsia="Calibri" w:cstheme="minorHAnsi"/>
          <w:spacing w:val="-7"/>
          <w:szCs w:val="20"/>
        </w:rPr>
        <w:t xml:space="preserve"> </w:t>
      </w:r>
      <w:r w:rsidRPr="00FC2211">
        <w:rPr>
          <w:rFonts w:eastAsia="Calibri" w:cstheme="minorHAnsi"/>
          <w:szCs w:val="20"/>
        </w:rPr>
        <w:t>such</w:t>
      </w:r>
      <w:r w:rsidRPr="00FC2211">
        <w:rPr>
          <w:rFonts w:eastAsia="Calibri" w:cstheme="minorHAnsi"/>
          <w:spacing w:val="-7"/>
          <w:szCs w:val="20"/>
        </w:rPr>
        <w:t xml:space="preserve"> </w:t>
      </w:r>
      <w:r w:rsidRPr="00FC2211">
        <w:rPr>
          <w:rFonts w:eastAsia="Calibri" w:cstheme="minorHAnsi"/>
          <w:szCs w:val="20"/>
        </w:rPr>
        <w:t>estimate</w:t>
      </w:r>
      <w:r w:rsidRPr="00FC2211">
        <w:rPr>
          <w:rFonts w:eastAsia="Calibri" w:cstheme="minorHAnsi"/>
          <w:spacing w:val="-7"/>
          <w:szCs w:val="20"/>
        </w:rPr>
        <w:t xml:space="preserve"> </w:t>
      </w:r>
      <w:r w:rsidRPr="00FC2211">
        <w:rPr>
          <w:rFonts w:eastAsia="Calibri" w:cstheme="minorHAnsi"/>
          <w:szCs w:val="20"/>
        </w:rPr>
        <w:t>or</w:t>
      </w:r>
      <w:r w:rsidRPr="00FC2211">
        <w:rPr>
          <w:rFonts w:eastAsia="Calibri" w:cstheme="minorHAnsi"/>
          <w:spacing w:val="-8"/>
          <w:szCs w:val="20"/>
        </w:rPr>
        <w:t xml:space="preserve"> </w:t>
      </w:r>
      <w:r w:rsidRPr="00FC2211">
        <w:rPr>
          <w:rFonts w:eastAsia="Calibri" w:cstheme="minorHAnsi"/>
          <w:szCs w:val="20"/>
        </w:rPr>
        <w:t>assumption is made. Actual results may differ from these</w:t>
      </w:r>
      <w:r w:rsidRPr="00FC2211">
        <w:rPr>
          <w:rFonts w:eastAsia="Calibri" w:cstheme="minorHAnsi"/>
          <w:spacing w:val="-3"/>
          <w:szCs w:val="20"/>
        </w:rPr>
        <w:t xml:space="preserve"> </w:t>
      </w:r>
      <w:r w:rsidRPr="00FC2211">
        <w:rPr>
          <w:rFonts w:eastAsia="Calibri" w:cstheme="minorHAnsi"/>
          <w:szCs w:val="20"/>
        </w:rPr>
        <w:t>estimates.</w:t>
      </w:r>
    </w:p>
    <w:p w14:paraId="3575100B" w14:textId="77777777" w:rsidR="00AC1CF9" w:rsidRPr="00FC2211" w:rsidRDefault="00AC1CF9" w:rsidP="00F90739">
      <w:pPr>
        <w:rPr>
          <w:rFonts w:eastAsia="Calibri" w:cstheme="minorHAnsi"/>
          <w:szCs w:val="20"/>
        </w:rPr>
      </w:pPr>
    </w:p>
    <w:p w14:paraId="66F55048" w14:textId="77777777" w:rsidR="00AC1CF9" w:rsidRPr="00FC2211" w:rsidRDefault="00AC1CF9" w:rsidP="001A520A">
      <w:pPr>
        <w:widowControl w:val="0"/>
        <w:autoSpaceDE w:val="0"/>
        <w:autoSpaceDN w:val="0"/>
        <w:ind w:left="432" w:right="4"/>
        <w:jc w:val="both"/>
        <w:rPr>
          <w:rFonts w:eastAsia="Calibri" w:cstheme="minorHAnsi"/>
          <w:szCs w:val="20"/>
        </w:rPr>
      </w:pPr>
      <w:r w:rsidRPr="00FC2211">
        <w:rPr>
          <w:rFonts w:eastAsia="Calibri" w:cstheme="minorHAnsi"/>
          <w:szCs w:val="20"/>
        </w:rPr>
        <w:t xml:space="preserve">The information about significant areas of estimation uncertainty considered by management in preparing the </w:t>
      </w:r>
      <w:r w:rsidR="001937C9" w:rsidRPr="00FC2211">
        <w:rPr>
          <w:rFonts w:eastAsia="Calibri" w:cstheme="minorHAnsi"/>
          <w:szCs w:val="20"/>
        </w:rPr>
        <w:t>Financial Statements</w:t>
      </w:r>
      <w:r w:rsidRPr="00FC2211">
        <w:rPr>
          <w:rFonts w:eastAsia="Calibri" w:cstheme="minorHAnsi"/>
          <w:szCs w:val="20"/>
        </w:rPr>
        <w:t xml:space="preserve"> is as follows:</w:t>
      </w:r>
    </w:p>
    <w:p w14:paraId="6C15D5A3" w14:textId="77777777" w:rsidR="00AC1CF9" w:rsidRPr="00FC2211" w:rsidRDefault="00AC1CF9" w:rsidP="00AC1CF9">
      <w:pPr>
        <w:widowControl w:val="0"/>
        <w:autoSpaceDE w:val="0"/>
        <w:autoSpaceDN w:val="0"/>
        <w:rPr>
          <w:rFonts w:eastAsia="Calibri" w:cstheme="minorHAnsi"/>
          <w:szCs w:val="20"/>
        </w:rPr>
      </w:pPr>
    </w:p>
    <w:p w14:paraId="1CB1B53E" w14:textId="77777777" w:rsidR="00AC1CF9" w:rsidRPr="00FC2211" w:rsidRDefault="00AC1CF9" w:rsidP="00AC1CF9">
      <w:pPr>
        <w:widowControl w:val="0"/>
        <w:autoSpaceDE w:val="0"/>
        <w:autoSpaceDN w:val="0"/>
        <w:ind w:left="879"/>
        <w:rPr>
          <w:rFonts w:eastAsia="Calibri" w:cstheme="minorHAnsi"/>
          <w:i/>
          <w:szCs w:val="20"/>
        </w:rPr>
      </w:pPr>
      <w:r w:rsidRPr="00FC2211">
        <w:rPr>
          <w:rFonts w:eastAsia="Calibri" w:cstheme="minorHAnsi"/>
          <w:i/>
          <w:szCs w:val="20"/>
        </w:rPr>
        <w:t>Inventories</w:t>
      </w:r>
    </w:p>
    <w:p w14:paraId="6882DC12" w14:textId="77777777" w:rsidR="00AC1CF9" w:rsidRPr="00FC2211" w:rsidRDefault="00AC1CF9" w:rsidP="00AC1CF9">
      <w:pPr>
        <w:widowControl w:val="0"/>
        <w:autoSpaceDE w:val="0"/>
        <w:autoSpaceDN w:val="0"/>
        <w:rPr>
          <w:rFonts w:eastAsia="Calibri" w:cstheme="minorHAnsi"/>
          <w:i/>
          <w:szCs w:val="20"/>
        </w:rPr>
      </w:pPr>
    </w:p>
    <w:p w14:paraId="7F41827D" w14:textId="3AB313C4" w:rsidR="00AC1CF9" w:rsidRPr="00FC2211" w:rsidRDefault="00AC1CF9" w:rsidP="00060D90">
      <w:pPr>
        <w:widowControl w:val="0"/>
        <w:autoSpaceDE w:val="0"/>
        <w:autoSpaceDN w:val="0"/>
        <w:ind w:left="879" w:right="4"/>
        <w:jc w:val="both"/>
        <w:rPr>
          <w:rFonts w:cstheme="minorHAnsi"/>
          <w:szCs w:val="20"/>
        </w:rPr>
      </w:pPr>
      <w:r w:rsidRPr="00FC2211">
        <w:rPr>
          <w:rFonts w:eastAsia="Calibri" w:cstheme="minorHAnsi"/>
          <w:szCs w:val="20"/>
        </w:rPr>
        <w:t>Inventories are valued at the lower of cost and net realizable value. Cost of inventory includes cost of purchase (purchase price, import duties, transport, handling, and other costs directly attributable to the acquisition</w:t>
      </w:r>
      <w:r w:rsidRPr="00FC2211">
        <w:rPr>
          <w:rFonts w:eastAsia="Calibri" w:cstheme="minorHAnsi"/>
          <w:spacing w:val="-11"/>
          <w:szCs w:val="20"/>
        </w:rPr>
        <w:t xml:space="preserve"> </w:t>
      </w:r>
      <w:r w:rsidRPr="00FC2211">
        <w:rPr>
          <w:rFonts w:eastAsia="Calibri" w:cstheme="minorHAnsi"/>
          <w:szCs w:val="20"/>
        </w:rPr>
        <w:t>of</w:t>
      </w:r>
      <w:r w:rsidRPr="00FC2211">
        <w:rPr>
          <w:rFonts w:eastAsia="Calibri" w:cstheme="minorHAnsi"/>
          <w:spacing w:val="-11"/>
          <w:szCs w:val="20"/>
        </w:rPr>
        <w:t xml:space="preserve"> </w:t>
      </w:r>
      <w:r w:rsidRPr="00FC2211">
        <w:rPr>
          <w:rFonts w:eastAsia="Calibri" w:cstheme="minorHAnsi"/>
          <w:szCs w:val="20"/>
        </w:rPr>
        <w:t>inventories)</w:t>
      </w:r>
      <w:r w:rsidRPr="00FC2211">
        <w:rPr>
          <w:rFonts w:eastAsia="Calibri" w:cstheme="minorHAnsi"/>
          <w:spacing w:val="-11"/>
          <w:szCs w:val="20"/>
        </w:rPr>
        <w:t xml:space="preserve"> </w:t>
      </w:r>
      <w:r w:rsidRPr="00FC2211">
        <w:rPr>
          <w:rFonts w:eastAsia="Calibri" w:cstheme="minorHAnsi"/>
          <w:szCs w:val="20"/>
        </w:rPr>
        <w:t>and</w:t>
      </w:r>
      <w:r w:rsidRPr="00FC2211">
        <w:rPr>
          <w:rFonts w:eastAsia="Calibri" w:cstheme="minorHAnsi"/>
          <w:spacing w:val="-10"/>
          <w:szCs w:val="20"/>
        </w:rPr>
        <w:t xml:space="preserve"> </w:t>
      </w:r>
      <w:r w:rsidRPr="00FC2211">
        <w:rPr>
          <w:rFonts w:eastAsia="Calibri" w:cstheme="minorHAnsi"/>
          <w:szCs w:val="20"/>
        </w:rPr>
        <w:t>other</w:t>
      </w:r>
      <w:r w:rsidRPr="00FC2211">
        <w:rPr>
          <w:rFonts w:eastAsia="Calibri" w:cstheme="minorHAnsi"/>
          <w:spacing w:val="-12"/>
          <w:szCs w:val="20"/>
        </w:rPr>
        <w:t xml:space="preserve"> </w:t>
      </w:r>
      <w:r w:rsidRPr="00FC2211">
        <w:rPr>
          <w:rFonts w:eastAsia="Calibri" w:cstheme="minorHAnsi"/>
          <w:szCs w:val="20"/>
        </w:rPr>
        <w:t>costs</w:t>
      </w:r>
      <w:r w:rsidRPr="00FC2211">
        <w:rPr>
          <w:rFonts w:eastAsia="Calibri" w:cstheme="minorHAnsi"/>
          <w:spacing w:val="-10"/>
          <w:szCs w:val="20"/>
        </w:rPr>
        <w:t xml:space="preserve"> </w:t>
      </w:r>
      <w:r w:rsidRPr="00FC2211">
        <w:rPr>
          <w:rFonts w:eastAsia="Calibri" w:cstheme="minorHAnsi"/>
          <w:szCs w:val="20"/>
        </w:rPr>
        <w:t>incurred</w:t>
      </w:r>
      <w:r w:rsidRPr="00FC2211">
        <w:rPr>
          <w:rFonts w:eastAsia="Calibri" w:cstheme="minorHAnsi"/>
          <w:spacing w:val="-11"/>
          <w:szCs w:val="20"/>
        </w:rPr>
        <w:t xml:space="preserve"> </w:t>
      </w:r>
      <w:r w:rsidRPr="00FC2211">
        <w:rPr>
          <w:rFonts w:eastAsia="Calibri" w:cstheme="minorHAnsi"/>
          <w:szCs w:val="20"/>
        </w:rPr>
        <w:t>in</w:t>
      </w:r>
      <w:r w:rsidRPr="00FC2211">
        <w:rPr>
          <w:rFonts w:eastAsia="Calibri" w:cstheme="minorHAnsi"/>
          <w:spacing w:val="-12"/>
          <w:szCs w:val="20"/>
        </w:rPr>
        <w:t xml:space="preserve"> </w:t>
      </w:r>
      <w:r w:rsidRPr="00FC2211">
        <w:rPr>
          <w:rFonts w:eastAsia="Calibri" w:cstheme="minorHAnsi"/>
          <w:szCs w:val="20"/>
        </w:rPr>
        <w:t>bringing</w:t>
      </w:r>
      <w:r w:rsidRPr="00FC2211">
        <w:rPr>
          <w:rFonts w:eastAsia="Calibri" w:cstheme="minorHAnsi"/>
          <w:spacing w:val="-11"/>
          <w:szCs w:val="20"/>
        </w:rPr>
        <w:t xml:space="preserve"> </w:t>
      </w:r>
      <w:r w:rsidRPr="00FC2211">
        <w:rPr>
          <w:rFonts w:eastAsia="Calibri" w:cstheme="minorHAnsi"/>
          <w:szCs w:val="20"/>
        </w:rPr>
        <w:t>the</w:t>
      </w:r>
      <w:r w:rsidRPr="00FC2211">
        <w:rPr>
          <w:rFonts w:eastAsia="Calibri" w:cstheme="minorHAnsi"/>
          <w:spacing w:val="-12"/>
          <w:szCs w:val="20"/>
        </w:rPr>
        <w:t xml:space="preserve"> </w:t>
      </w:r>
      <w:r w:rsidRPr="00FC2211">
        <w:rPr>
          <w:rFonts w:eastAsia="Calibri" w:cstheme="minorHAnsi"/>
          <w:szCs w:val="20"/>
        </w:rPr>
        <w:t>inventories</w:t>
      </w:r>
      <w:r w:rsidRPr="00FC2211">
        <w:rPr>
          <w:rFonts w:eastAsia="Calibri" w:cstheme="minorHAnsi"/>
          <w:spacing w:val="-10"/>
          <w:szCs w:val="20"/>
        </w:rPr>
        <w:t xml:space="preserve"> </w:t>
      </w:r>
      <w:r w:rsidRPr="00FC2211">
        <w:rPr>
          <w:rFonts w:eastAsia="Calibri" w:cstheme="minorHAnsi"/>
          <w:szCs w:val="20"/>
        </w:rPr>
        <w:t>to</w:t>
      </w:r>
      <w:r w:rsidRPr="00FC2211">
        <w:rPr>
          <w:rFonts w:eastAsia="Calibri" w:cstheme="minorHAnsi"/>
          <w:spacing w:val="-11"/>
          <w:szCs w:val="20"/>
        </w:rPr>
        <w:t xml:space="preserve"> </w:t>
      </w:r>
      <w:r w:rsidRPr="00FC2211">
        <w:rPr>
          <w:rFonts w:eastAsia="Calibri" w:cstheme="minorHAnsi"/>
          <w:szCs w:val="20"/>
        </w:rPr>
        <w:t>their</w:t>
      </w:r>
      <w:r w:rsidRPr="00FC2211">
        <w:rPr>
          <w:rFonts w:eastAsia="Calibri" w:cstheme="minorHAnsi"/>
          <w:spacing w:val="-12"/>
          <w:szCs w:val="20"/>
        </w:rPr>
        <w:t xml:space="preserve"> </w:t>
      </w:r>
      <w:r w:rsidRPr="00FC2211">
        <w:rPr>
          <w:rFonts w:eastAsia="Calibri" w:cstheme="minorHAnsi"/>
          <w:szCs w:val="20"/>
        </w:rPr>
        <w:t>present</w:t>
      </w:r>
      <w:r w:rsidRPr="00FC2211">
        <w:rPr>
          <w:rFonts w:eastAsia="Calibri" w:cstheme="minorHAnsi"/>
          <w:spacing w:val="-11"/>
          <w:szCs w:val="20"/>
        </w:rPr>
        <w:t xml:space="preserve"> </w:t>
      </w:r>
      <w:r w:rsidRPr="00FC2211">
        <w:rPr>
          <w:rFonts w:eastAsia="Calibri" w:cstheme="minorHAnsi"/>
          <w:szCs w:val="20"/>
        </w:rPr>
        <w:t>location</w:t>
      </w:r>
      <w:r w:rsidRPr="00FC2211">
        <w:rPr>
          <w:rFonts w:eastAsia="Calibri" w:cstheme="minorHAnsi"/>
          <w:spacing w:val="-11"/>
          <w:szCs w:val="20"/>
        </w:rPr>
        <w:t xml:space="preserve"> </w:t>
      </w:r>
      <w:r w:rsidRPr="00FC2211">
        <w:rPr>
          <w:rFonts w:eastAsia="Calibri" w:cstheme="minorHAnsi"/>
          <w:szCs w:val="20"/>
        </w:rPr>
        <w:t>and condition. Net realizable value for inventories is the estimated selling price in the ordinary course of business</w:t>
      </w:r>
      <w:r w:rsidR="00D3433C" w:rsidRPr="00FC2211">
        <w:rPr>
          <w:rFonts w:eastAsia="Calibri" w:cstheme="minorHAnsi"/>
          <w:szCs w:val="20"/>
        </w:rPr>
        <w:t>,</w:t>
      </w:r>
      <w:r w:rsidRPr="00FC2211">
        <w:rPr>
          <w:rFonts w:eastAsia="Calibri" w:cstheme="minorHAnsi"/>
          <w:szCs w:val="20"/>
        </w:rPr>
        <w:t xml:space="preserve"> less the estimated </w:t>
      </w:r>
      <w:r w:rsidR="00D3433C" w:rsidRPr="00FC2211">
        <w:rPr>
          <w:rFonts w:eastAsia="Calibri" w:cstheme="minorHAnsi"/>
          <w:szCs w:val="20"/>
        </w:rPr>
        <w:t>completion costs and</w:t>
      </w:r>
      <w:r w:rsidRPr="00FC2211">
        <w:rPr>
          <w:rFonts w:eastAsia="Calibri" w:cstheme="minorHAnsi"/>
          <w:szCs w:val="20"/>
        </w:rPr>
        <w:t xml:space="preserve"> costs necessary to make the sale. Provisions</w:t>
      </w:r>
      <w:r w:rsidRPr="00FC2211">
        <w:rPr>
          <w:rFonts w:eastAsia="Calibri" w:cstheme="minorHAnsi"/>
          <w:spacing w:val="-6"/>
          <w:szCs w:val="20"/>
        </w:rPr>
        <w:t xml:space="preserve"> </w:t>
      </w:r>
      <w:r w:rsidRPr="00FC2211">
        <w:rPr>
          <w:rFonts w:eastAsia="Calibri" w:cstheme="minorHAnsi"/>
          <w:szCs w:val="20"/>
        </w:rPr>
        <w:t>are</w:t>
      </w:r>
      <w:r w:rsidRPr="00FC2211">
        <w:rPr>
          <w:rFonts w:eastAsia="Calibri" w:cstheme="minorHAnsi"/>
          <w:spacing w:val="-7"/>
          <w:szCs w:val="20"/>
        </w:rPr>
        <w:t xml:space="preserve"> </w:t>
      </w:r>
      <w:r w:rsidRPr="00FC2211">
        <w:rPr>
          <w:rFonts w:eastAsia="Calibri" w:cstheme="minorHAnsi"/>
          <w:szCs w:val="20"/>
        </w:rPr>
        <w:t>made</w:t>
      </w:r>
      <w:r w:rsidRPr="00FC2211">
        <w:rPr>
          <w:rFonts w:eastAsia="Calibri" w:cstheme="minorHAnsi"/>
          <w:spacing w:val="-5"/>
          <w:szCs w:val="20"/>
        </w:rPr>
        <w:t xml:space="preserve"> </w:t>
      </w:r>
      <w:r w:rsidRPr="00FC2211">
        <w:rPr>
          <w:rFonts w:eastAsia="Calibri" w:cstheme="minorHAnsi"/>
          <w:szCs w:val="20"/>
        </w:rPr>
        <w:t>in</w:t>
      </w:r>
      <w:r w:rsidRPr="00FC2211">
        <w:rPr>
          <w:rFonts w:eastAsia="Calibri" w:cstheme="minorHAnsi"/>
          <w:spacing w:val="-6"/>
          <w:szCs w:val="20"/>
        </w:rPr>
        <w:t xml:space="preserve"> </w:t>
      </w:r>
      <w:r w:rsidRPr="00FC2211">
        <w:rPr>
          <w:rFonts w:eastAsia="Calibri" w:cstheme="minorHAnsi"/>
          <w:szCs w:val="20"/>
        </w:rPr>
        <w:t>profit</w:t>
      </w:r>
      <w:r w:rsidRPr="00FC2211">
        <w:rPr>
          <w:rFonts w:eastAsia="Calibri" w:cstheme="minorHAnsi"/>
          <w:spacing w:val="-7"/>
          <w:szCs w:val="20"/>
        </w:rPr>
        <w:t xml:space="preserve"> </w:t>
      </w:r>
      <w:r w:rsidRPr="00FC2211">
        <w:rPr>
          <w:rFonts w:eastAsia="Calibri" w:cstheme="minorHAnsi"/>
          <w:szCs w:val="20"/>
        </w:rPr>
        <w:t>or</w:t>
      </w:r>
      <w:r w:rsidRPr="00FC2211">
        <w:rPr>
          <w:rFonts w:eastAsia="Calibri" w:cstheme="minorHAnsi"/>
          <w:spacing w:val="-5"/>
          <w:szCs w:val="20"/>
        </w:rPr>
        <w:t xml:space="preserve"> </w:t>
      </w:r>
      <w:r w:rsidRPr="00FC2211">
        <w:rPr>
          <w:rFonts w:eastAsia="Calibri" w:cstheme="minorHAnsi"/>
          <w:szCs w:val="20"/>
        </w:rPr>
        <w:t>loss</w:t>
      </w:r>
      <w:r w:rsidRPr="00FC2211">
        <w:rPr>
          <w:rFonts w:eastAsia="Calibri" w:cstheme="minorHAnsi"/>
          <w:spacing w:val="-6"/>
          <w:szCs w:val="20"/>
        </w:rPr>
        <w:t xml:space="preserve"> </w:t>
      </w:r>
      <w:r w:rsidRPr="00FC2211">
        <w:rPr>
          <w:rFonts w:eastAsia="Calibri" w:cstheme="minorHAnsi"/>
          <w:szCs w:val="20"/>
        </w:rPr>
        <w:t>in</w:t>
      </w:r>
      <w:r w:rsidRPr="00FC2211">
        <w:rPr>
          <w:rFonts w:eastAsia="Calibri" w:cstheme="minorHAnsi"/>
          <w:spacing w:val="-7"/>
          <w:szCs w:val="20"/>
        </w:rPr>
        <w:t xml:space="preserve"> </w:t>
      </w:r>
      <w:r w:rsidRPr="00FC2211">
        <w:rPr>
          <w:rFonts w:eastAsia="Calibri" w:cstheme="minorHAnsi"/>
          <w:szCs w:val="20"/>
        </w:rPr>
        <w:t>the</w:t>
      </w:r>
      <w:r w:rsidRPr="00FC2211">
        <w:rPr>
          <w:rFonts w:eastAsia="Calibri" w:cstheme="minorHAnsi"/>
          <w:spacing w:val="-5"/>
          <w:szCs w:val="20"/>
        </w:rPr>
        <w:t xml:space="preserve"> </w:t>
      </w:r>
      <w:r w:rsidR="00346BCD" w:rsidRPr="00FC2211">
        <w:rPr>
          <w:rFonts w:eastAsia="Calibri" w:cstheme="minorHAnsi"/>
          <w:spacing w:val="-5"/>
          <w:szCs w:val="20"/>
        </w:rPr>
        <w:t>period</w:t>
      </w:r>
      <w:r w:rsidRPr="00FC2211">
        <w:rPr>
          <w:rFonts w:eastAsia="Calibri" w:cstheme="minorHAnsi"/>
          <w:spacing w:val="-6"/>
          <w:szCs w:val="20"/>
        </w:rPr>
        <w:t xml:space="preserve"> </w:t>
      </w:r>
      <w:r w:rsidRPr="00FC2211">
        <w:rPr>
          <w:rFonts w:eastAsia="Calibri" w:cstheme="minorHAnsi"/>
          <w:szCs w:val="20"/>
        </w:rPr>
        <w:t>for</w:t>
      </w:r>
      <w:r w:rsidRPr="00FC2211">
        <w:rPr>
          <w:rFonts w:eastAsia="Calibri" w:cstheme="minorHAnsi"/>
          <w:spacing w:val="-7"/>
          <w:szCs w:val="20"/>
        </w:rPr>
        <w:t xml:space="preserve"> </w:t>
      </w:r>
      <w:r w:rsidRPr="00FC2211">
        <w:rPr>
          <w:rFonts w:eastAsia="Calibri" w:cstheme="minorHAnsi"/>
          <w:szCs w:val="20"/>
        </w:rPr>
        <w:t>any</w:t>
      </w:r>
      <w:r w:rsidRPr="00FC2211">
        <w:rPr>
          <w:rFonts w:eastAsia="Calibri" w:cstheme="minorHAnsi"/>
          <w:spacing w:val="-6"/>
          <w:szCs w:val="20"/>
        </w:rPr>
        <w:t xml:space="preserve"> </w:t>
      </w:r>
      <w:r w:rsidRPr="00FC2211">
        <w:rPr>
          <w:rFonts w:eastAsia="Calibri" w:cstheme="minorHAnsi"/>
          <w:szCs w:val="20"/>
        </w:rPr>
        <w:t>difference</w:t>
      </w:r>
      <w:r w:rsidRPr="00FC2211">
        <w:rPr>
          <w:rFonts w:eastAsia="Calibri" w:cstheme="minorHAnsi"/>
          <w:spacing w:val="-6"/>
          <w:szCs w:val="20"/>
        </w:rPr>
        <w:t xml:space="preserve"> </w:t>
      </w:r>
      <w:r w:rsidRPr="00FC2211">
        <w:rPr>
          <w:rFonts w:eastAsia="Calibri" w:cstheme="minorHAnsi"/>
          <w:szCs w:val="20"/>
        </w:rPr>
        <w:t>between</w:t>
      </w:r>
      <w:r w:rsidRPr="00FC2211">
        <w:rPr>
          <w:rFonts w:eastAsia="Calibri" w:cstheme="minorHAnsi"/>
          <w:spacing w:val="-7"/>
          <w:szCs w:val="20"/>
        </w:rPr>
        <w:t xml:space="preserve"> </w:t>
      </w:r>
      <w:r w:rsidRPr="00FC2211">
        <w:rPr>
          <w:rFonts w:eastAsia="Calibri" w:cstheme="minorHAnsi"/>
          <w:szCs w:val="20"/>
        </w:rPr>
        <w:t>book</w:t>
      </w:r>
      <w:r w:rsidRPr="00FC2211">
        <w:rPr>
          <w:rFonts w:eastAsia="Calibri" w:cstheme="minorHAnsi"/>
          <w:spacing w:val="-5"/>
          <w:szCs w:val="20"/>
        </w:rPr>
        <w:t xml:space="preserve"> </w:t>
      </w:r>
      <w:r w:rsidRPr="00FC2211">
        <w:rPr>
          <w:rFonts w:eastAsia="Calibri" w:cstheme="minorHAnsi"/>
          <w:szCs w:val="20"/>
        </w:rPr>
        <w:t>value</w:t>
      </w:r>
      <w:r w:rsidRPr="00FC2211">
        <w:rPr>
          <w:rFonts w:eastAsia="Calibri" w:cstheme="minorHAnsi"/>
          <w:spacing w:val="-6"/>
          <w:szCs w:val="20"/>
        </w:rPr>
        <w:t xml:space="preserve"> </w:t>
      </w:r>
      <w:r w:rsidRPr="00FC2211">
        <w:rPr>
          <w:rFonts w:eastAsia="Calibri" w:cstheme="minorHAnsi"/>
          <w:szCs w:val="20"/>
        </w:rPr>
        <w:t>and</w:t>
      </w:r>
      <w:r w:rsidRPr="00FC2211">
        <w:rPr>
          <w:rFonts w:eastAsia="Calibri" w:cstheme="minorHAnsi"/>
          <w:spacing w:val="-7"/>
          <w:szCs w:val="20"/>
        </w:rPr>
        <w:t xml:space="preserve"> </w:t>
      </w:r>
      <w:r w:rsidRPr="00FC2211">
        <w:rPr>
          <w:rFonts w:eastAsia="Calibri" w:cstheme="minorHAnsi"/>
          <w:szCs w:val="20"/>
        </w:rPr>
        <w:t>net</w:t>
      </w:r>
      <w:r w:rsidRPr="00FC2211">
        <w:rPr>
          <w:rFonts w:eastAsia="Calibri" w:cstheme="minorHAnsi"/>
          <w:spacing w:val="-5"/>
          <w:szCs w:val="20"/>
        </w:rPr>
        <w:t xml:space="preserve"> </w:t>
      </w:r>
      <w:r w:rsidRPr="00FC2211">
        <w:rPr>
          <w:rFonts w:eastAsia="Calibri" w:cstheme="minorHAnsi"/>
          <w:szCs w:val="20"/>
        </w:rPr>
        <w:t>realizable value.</w:t>
      </w:r>
    </w:p>
    <w:p w14:paraId="0F380174" w14:textId="77777777" w:rsidR="00AC1CF9" w:rsidRPr="00FC2211" w:rsidRDefault="00AC1CF9" w:rsidP="00AC1CF9">
      <w:pPr>
        <w:tabs>
          <w:tab w:val="left" w:pos="720"/>
        </w:tabs>
        <w:rPr>
          <w:rFonts w:cstheme="minorHAnsi"/>
          <w:szCs w:val="20"/>
        </w:rPr>
      </w:pPr>
    </w:p>
    <w:p w14:paraId="729C8558" w14:textId="46F6DD15" w:rsidR="00AC1CF9" w:rsidRPr="00FC2211" w:rsidRDefault="00071F45" w:rsidP="00AC1CF9">
      <w:pPr>
        <w:widowControl w:val="0"/>
        <w:autoSpaceDE w:val="0"/>
        <w:autoSpaceDN w:val="0"/>
        <w:ind w:left="869" w:right="630"/>
        <w:rPr>
          <w:rFonts w:eastAsia="Calibri" w:cstheme="minorHAnsi"/>
          <w:i/>
          <w:szCs w:val="20"/>
        </w:rPr>
      </w:pPr>
      <w:r w:rsidRPr="00FC2211">
        <w:rPr>
          <w:rFonts w:eastAsia="Calibri" w:cstheme="minorHAnsi"/>
          <w:i/>
          <w:szCs w:val="20"/>
        </w:rPr>
        <w:t>Equipment</w:t>
      </w:r>
    </w:p>
    <w:p w14:paraId="79B488BC" w14:textId="77777777" w:rsidR="00AC1CF9" w:rsidRPr="00FC2211" w:rsidRDefault="00AC1CF9" w:rsidP="00AC1CF9">
      <w:pPr>
        <w:widowControl w:val="0"/>
        <w:autoSpaceDE w:val="0"/>
        <w:autoSpaceDN w:val="0"/>
        <w:ind w:right="630"/>
        <w:rPr>
          <w:rFonts w:eastAsia="Calibri" w:cstheme="minorHAnsi"/>
          <w:i/>
          <w:szCs w:val="20"/>
        </w:rPr>
      </w:pPr>
    </w:p>
    <w:p w14:paraId="0D0BE0DE" w14:textId="77777777" w:rsidR="00BF2598" w:rsidRPr="00FC2211" w:rsidRDefault="00BF2598" w:rsidP="00BF2598">
      <w:pPr>
        <w:ind w:left="852" w:right="4"/>
        <w:jc w:val="both"/>
        <w:rPr>
          <w:rFonts w:eastAsia="Calibri" w:cstheme="minorHAnsi"/>
          <w:szCs w:val="20"/>
        </w:rPr>
      </w:pPr>
      <w:r w:rsidRPr="00FC2211">
        <w:rPr>
          <w:rFonts w:eastAsia="Calibri" w:cstheme="minorHAnsi"/>
          <w:szCs w:val="20"/>
        </w:rPr>
        <w:t>The estimated useful lives of assets are reviewed by management and adjusted if necessary. To estimate equipment’s useful life, management uses its experience with the same or similar assets and may review industry practices for similar pieces of equipment and apply statistical methods to assist in its determination of useful life.</w:t>
      </w:r>
    </w:p>
    <w:p w14:paraId="7F259D1D" w14:textId="77777777" w:rsidR="001446FB" w:rsidRPr="00FC2211" w:rsidRDefault="001446FB" w:rsidP="001446FB">
      <w:pPr>
        <w:rPr>
          <w:rFonts w:cstheme="minorHAnsi"/>
          <w:szCs w:val="20"/>
        </w:rPr>
      </w:pPr>
      <w:r w:rsidRPr="00FC2211">
        <w:rPr>
          <w:rFonts w:cstheme="minorHAnsi"/>
          <w:szCs w:val="20"/>
        </w:rPr>
        <w:br w:type="page"/>
      </w:r>
    </w:p>
    <w:p w14:paraId="19B91BB0" w14:textId="77777777" w:rsidR="005B40D6" w:rsidRPr="00FC2211" w:rsidRDefault="005B40D6" w:rsidP="005B40D6">
      <w:pPr>
        <w:pStyle w:val="Heading2"/>
        <w:tabs>
          <w:tab w:val="left" w:pos="519"/>
        </w:tabs>
        <w:spacing w:before="0"/>
        <w:rPr>
          <w:rFonts w:asciiTheme="minorHAnsi" w:eastAsia="Calibri" w:hAnsiTheme="minorHAnsi" w:cstheme="minorHAnsi"/>
          <w:b/>
          <w:bCs/>
          <w:color w:val="auto"/>
          <w:sz w:val="20"/>
          <w:szCs w:val="20"/>
        </w:rPr>
      </w:pPr>
      <w:r w:rsidRPr="00FC2211">
        <w:rPr>
          <w:rFonts w:asciiTheme="minorHAnsi" w:eastAsia="Calibri" w:hAnsiTheme="minorHAnsi" w:cstheme="minorHAnsi"/>
          <w:b/>
          <w:bCs/>
          <w:color w:val="auto"/>
          <w:sz w:val="20"/>
          <w:szCs w:val="20"/>
        </w:rPr>
        <w:lastRenderedPageBreak/>
        <w:t>2.    BASIS OF CONSOLIDATION AND PREPARATION</w:t>
      </w:r>
      <w:r w:rsidRPr="00FC2211">
        <w:rPr>
          <w:rFonts w:asciiTheme="minorHAnsi" w:eastAsia="Calibri" w:hAnsiTheme="minorHAnsi" w:cstheme="minorHAnsi"/>
          <w:b/>
          <w:bCs/>
          <w:color w:val="auto"/>
          <w:spacing w:val="-1"/>
          <w:sz w:val="20"/>
          <w:szCs w:val="20"/>
        </w:rPr>
        <w:t xml:space="preserve"> </w:t>
      </w:r>
      <w:r w:rsidRPr="00FC2211">
        <w:rPr>
          <w:rFonts w:asciiTheme="minorHAnsi" w:eastAsia="Calibri" w:hAnsiTheme="minorHAnsi" w:cstheme="minorHAnsi"/>
          <w:b/>
          <w:bCs/>
          <w:color w:val="auto"/>
          <w:sz w:val="20"/>
          <w:szCs w:val="20"/>
        </w:rPr>
        <w:t>(CONTINUED)</w:t>
      </w:r>
    </w:p>
    <w:p w14:paraId="6D67FDFC" w14:textId="77777777" w:rsidR="005B40D6" w:rsidRPr="00FC2211" w:rsidRDefault="005B40D6" w:rsidP="005B40D6">
      <w:pPr>
        <w:widowControl w:val="0"/>
        <w:autoSpaceDE w:val="0"/>
        <w:autoSpaceDN w:val="0"/>
        <w:ind w:left="520"/>
        <w:rPr>
          <w:rFonts w:eastAsia="Calibri" w:cstheme="minorHAnsi"/>
          <w:b/>
          <w:szCs w:val="20"/>
        </w:rPr>
      </w:pPr>
    </w:p>
    <w:p w14:paraId="49879E96" w14:textId="77777777" w:rsidR="005B40D6" w:rsidRPr="00FC2211" w:rsidRDefault="005B40D6" w:rsidP="005B40D6">
      <w:pPr>
        <w:widowControl w:val="0"/>
        <w:autoSpaceDE w:val="0"/>
        <w:autoSpaceDN w:val="0"/>
        <w:rPr>
          <w:rFonts w:eastAsia="Calibri" w:cstheme="minorHAnsi"/>
          <w:b/>
          <w:szCs w:val="20"/>
        </w:rPr>
      </w:pPr>
      <w:r w:rsidRPr="00FC2211">
        <w:rPr>
          <w:rFonts w:eastAsia="Calibri" w:cstheme="minorHAnsi"/>
          <w:b/>
          <w:szCs w:val="20"/>
        </w:rPr>
        <w:t xml:space="preserve">        Use of estimates and judgments (continued)</w:t>
      </w:r>
    </w:p>
    <w:p w14:paraId="5BB06900" w14:textId="77777777" w:rsidR="005B40D6" w:rsidRPr="00FC2211" w:rsidRDefault="005B40D6" w:rsidP="00D25034">
      <w:pPr>
        <w:ind w:left="852" w:right="4"/>
        <w:rPr>
          <w:rFonts w:eastAsia="Calibri" w:cstheme="minorHAnsi"/>
          <w:szCs w:val="20"/>
        </w:rPr>
      </w:pPr>
    </w:p>
    <w:p w14:paraId="79140C82" w14:textId="77777777" w:rsidR="005842BE" w:rsidRPr="00FC2211" w:rsidRDefault="005842BE" w:rsidP="00743579">
      <w:pPr>
        <w:widowControl w:val="0"/>
        <w:autoSpaceDE w:val="0"/>
        <w:autoSpaceDN w:val="0"/>
        <w:spacing w:before="1"/>
        <w:ind w:left="880" w:right="630"/>
        <w:rPr>
          <w:rFonts w:eastAsia="Calibri" w:cstheme="minorHAnsi"/>
          <w:i/>
          <w:szCs w:val="20"/>
        </w:rPr>
      </w:pPr>
      <w:r w:rsidRPr="00FC2211">
        <w:rPr>
          <w:rFonts w:eastAsia="Calibri" w:cstheme="minorHAnsi"/>
          <w:i/>
          <w:szCs w:val="20"/>
        </w:rPr>
        <w:t>Income taxes</w:t>
      </w:r>
    </w:p>
    <w:p w14:paraId="1130D629" w14:textId="77777777" w:rsidR="005842BE" w:rsidRPr="00FC2211" w:rsidRDefault="005842BE" w:rsidP="00743579">
      <w:pPr>
        <w:widowControl w:val="0"/>
        <w:autoSpaceDE w:val="0"/>
        <w:autoSpaceDN w:val="0"/>
        <w:spacing w:before="12"/>
        <w:ind w:right="630"/>
        <w:rPr>
          <w:rFonts w:eastAsia="Calibri" w:cstheme="minorHAnsi"/>
          <w:i/>
          <w:szCs w:val="20"/>
        </w:rPr>
      </w:pPr>
    </w:p>
    <w:p w14:paraId="19948AFC" w14:textId="5CE3A8CC" w:rsidR="005842BE" w:rsidRPr="00FC2211" w:rsidRDefault="005842BE" w:rsidP="00CF01E6">
      <w:pPr>
        <w:widowControl w:val="0"/>
        <w:autoSpaceDE w:val="0"/>
        <w:autoSpaceDN w:val="0"/>
        <w:ind w:left="880" w:right="4"/>
        <w:jc w:val="both"/>
        <w:rPr>
          <w:rFonts w:eastAsia="Calibri" w:cstheme="minorHAnsi"/>
          <w:szCs w:val="20"/>
        </w:rPr>
      </w:pPr>
      <w:r w:rsidRPr="00FC2211">
        <w:rPr>
          <w:rFonts w:eastAsia="Calibri" w:cstheme="minorHAnsi"/>
          <w:szCs w:val="20"/>
        </w:rPr>
        <w:t>Tax provisions are based on enacted or substantively enacted laws. Changes in those laws could affect amounts recognized in profit or loss both in the</w:t>
      </w:r>
      <w:r w:rsidR="00B62E86" w:rsidRPr="00FC2211">
        <w:rPr>
          <w:rFonts w:eastAsia="Calibri" w:cstheme="minorHAnsi"/>
          <w:szCs w:val="20"/>
        </w:rPr>
        <w:t xml:space="preserve"> period</w:t>
      </w:r>
      <w:r w:rsidRPr="00FC2211">
        <w:rPr>
          <w:rFonts w:eastAsia="Calibri" w:cstheme="minorHAnsi"/>
          <w:szCs w:val="20"/>
        </w:rPr>
        <w:t xml:space="preserve"> of change, which would include any impact on cumulative provisions, and in future</w:t>
      </w:r>
      <w:r w:rsidR="00A82940" w:rsidRPr="00FC2211">
        <w:rPr>
          <w:rFonts w:eastAsia="Calibri" w:cstheme="minorHAnsi"/>
          <w:szCs w:val="20"/>
        </w:rPr>
        <w:t xml:space="preserve"> period</w:t>
      </w:r>
      <w:r w:rsidRPr="00FC2211">
        <w:rPr>
          <w:rFonts w:eastAsia="Calibri" w:cstheme="minorHAnsi"/>
          <w:szCs w:val="20"/>
        </w:rPr>
        <w:t xml:space="preserve">s. Deferred tax assets (if any) are recognized only to the extent it is considered probable that those assets will be recoverable. This involves </w:t>
      </w:r>
      <w:r w:rsidR="00D3433C" w:rsidRPr="00FC2211">
        <w:rPr>
          <w:rFonts w:eastAsia="Calibri" w:cstheme="minorHAnsi"/>
          <w:szCs w:val="20"/>
        </w:rPr>
        <w:t>assessing</w:t>
      </w:r>
      <w:r w:rsidRPr="00FC2211">
        <w:rPr>
          <w:rFonts w:eastAsia="Calibri" w:cstheme="minorHAnsi"/>
          <w:szCs w:val="20"/>
        </w:rPr>
        <w:t xml:space="preserve"> when those deferred</w:t>
      </w:r>
      <w:r w:rsidRPr="00FC2211">
        <w:rPr>
          <w:rFonts w:eastAsia="Calibri" w:cstheme="minorHAnsi"/>
          <w:spacing w:val="-8"/>
          <w:szCs w:val="20"/>
        </w:rPr>
        <w:t xml:space="preserve"> </w:t>
      </w:r>
      <w:r w:rsidRPr="00FC2211">
        <w:rPr>
          <w:rFonts w:eastAsia="Calibri" w:cstheme="minorHAnsi"/>
          <w:szCs w:val="20"/>
        </w:rPr>
        <w:t>tax</w:t>
      </w:r>
      <w:r w:rsidRPr="00FC2211">
        <w:rPr>
          <w:rFonts w:eastAsia="Calibri" w:cstheme="minorHAnsi"/>
          <w:spacing w:val="-8"/>
          <w:szCs w:val="20"/>
        </w:rPr>
        <w:t xml:space="preserve"> </w:t>
      </w:r>
      <w:r w:rsidRPr="00FC2211">
        <w:rPr>
          <w:rFonts w:eastAsia="Calibri" w:cstheme="minorHAnsi"/>
          <w:szCs w:val="20"/>
        </w:rPr>
        <w:t>assets</w:t>
      </w:r>
      <w:r w:rsidRPr="00FC2211">
        <w:rPr>
          <w:rFonts w:eastAsia="Calibri" w:cstheme="minorHAnsi"/>
          <w:spacing w:val="-8"/>
          <w:szCs w:val="20"/>
        </w:rPr>
        <w:t xml:space="preserve"> </w:t>
      </w:r>
      <w:r w:rsidRPr="00FC2211">
        <w:rPr>
          <w:rFonts w:eastAsia="Calibri" w:cstheme="minorHAnsi"/>
          <w:szCs w:val="20"/>
        </w:rPr>
        <w:t>are</w:t>
      </w:r>
      <w:r w:rsidRPr="00FC2211">
        <w:rPr>
          <w:rFonts w:eastAsia="Calibri" w:cstheme="minorHAnsi"/>
          <w:spacing w:val="-7"/>
          <w:szCs w:val="20"/>
        </w:rPr>
        <w:t xml:space="preserve"> </w:t>
      </w:r>
      <w:r w:rsidRPr="00FC2211">
        <w:rPr>
          <w:rFonts w:eastAsia="Calibri" w:cstheme="minorHAnsi"/>
          <w:szCs w:val="20"/>
        </w:rPr>
        <w:t>likely</w:t>
      </w:r>
      <w:r w:rsidRPr="00FC2211">
        <w:rPr>
          <w:rFonts w:eastAsia="Calibri" w:cstheme="minorHAnsi"/>
          <w:spacing w:val="-8"/>
          <w:szCs w:val="20"/>
        </w:rPr>
        <w:t xml:space="preserve"> </w:t>
      </w:r>
      <w:r w:rsidRPr="00FC2211">
        <w:rPr>
          <w:rFonts w:eastAsia="Calibri" w:cstheme="minorHAnsi"/>
          <w:szCs w:val="20"/>
        </w:rPr>
        <w:t>to</w:t>
      </w:r>
      <w:r w:rsidRPr="00FC2211">
        <w:rPr>
          <w:rFonts w:eastAsia="Calibri" w:cstheme="minorHAnsi"/>
          <w:spacing w:val="-7"/>
          <w:szCs w:val="20"/>
        </w:rPr>
        <w:t xml:space="preserve"> </w:t>
      </w:r>
      <w:r w:rsidRPr="00FC2211">
        <w:rPr>
          <w:rFonts w:eastAsia="Calibri" w:cstheme="minorHAnsi"/>
          <w:szCs w:val="20"/>
        </w:rPr>
        <w:t>reverse</w:t>
      </w:r>
      <w:r w:rsidRPr="00FC2211">
        <w:rPr>
          <w:rFonts w:eastAsia="Calibri" w:cstheme="minorHAnsi"/>
          <w:spacing w:val="-8"/>
          <w:szCs w:val="20"/>
        </w:rPr>
        <w:t xml:space="preserve"> </w:t>
      </w:r>
      <w:r w:rsidRPr="00FC2211">
        <w:rPr>
          <w:rFonts w:eastAsia="Calibri" w:cstheme="minorHAnsi"/>
          <w:szCs w:val="20"/>
        </w:rPr>
        <w:t>and</w:t>
      </w:r>
      <w:r w:rsidRPr="00FC2211">
        <w:rPr>
          <w:rFonts w:eastAsia="Calibri" w:cstheme="minorHAnsi"/>
          <w:spacing w:val="-8"/>
          <w:szCs w:val="20"/>
        </w:rPr>
        <w:t xml:space="preserve"> </w:t>
      </w:r>
      <w:r w:rsidRPr="00FC2211">
        <w:rPr>
          <w:rFonts w:eastAsia="Calibri" w:cstheme="minorHAnsi"/>
          <w:szCs w:val="20"/>
        </w:rPr>
        <w:t>a</w:t>
      </w:r>
      <w:r w:rsidRPr="00FC2211">
        <w:rPr>
          <w:rFonts w:eastAsia="Calibri" w:cstheme="minorHAnsi"/>
          <w:spacing w:val="-7"/>
          <w:szCs w:val="20"/>
        </w:rPr>
        <w:t xml:space="preserve"> </w:t>
      </w:r>
      <w:r w:rsidRPr="00FC2211">
        <w:rPr>
          <w:rFonts w:eastAsia="Calibri" w:cstheme="minorHAnsi"/>
          <w:szCs w:val="20"/>
        </w:rPr>
        <w:t>judgment</w:t>
      </w:r>
      <w:r w:rsidRPr="00FC2211">
        <w:rPr>
          <w:rFonts w:eastAsia="Calibri" w:cstheme="minorHAnsi"/>
          <w:spacing w:val="-9"/>
          <w:szCs w:val="20"/>
        </w:rPr>
        <w:t xml:space="preserve"> </w:t>
      </w:r>
      <w:r w:rsidRPr="00FC2211">
        <w:rPr>
          <w:rFonts w:eastAsia="Calibri" w:cstheme="minorHAnsi"/>
          <w:szCs w:val="20"/>
        </w:rPr>
        <w:t>as</w:t>
      </w:r>
      <w:r w:rsidRPr="00FC2211">
        <w:rPr>
          <w:rFonts w:eastAsia="Calibri" w:cstheme="minorHAnsi"/>
          <w:spacing w:val="-8"/>
          <w:szCs w:val="20"/>
        </w:rPr>
        <w:t xml:space="preserve"> </w:t>
      </w:r>
      <w:r w:rsidRPr="00FC2211">
        <w:rPr>
          <w:rFonts w:eastAsia="Calibri" w:cstheme="minorHAnsi"/>
          <w:szCs w:val="20"/>
        </w:rPr>
        <w:t>to</w:t>
      </w:r>
      <w:r w:rsidRPr="00FC2211">
        <w:rPr>
          <w:rFonts w:eastAsia="Calibri" w:cstheme="minorHAnsi"/>
          <w:spacing w:val="-8"/>
          <w:szCs w:val="20"/>
        </w:rPr>
        <w:t xml:space="preserve"> </w:t>
      </w:r>
      <w:r w:rsidRPr="00FC2211">
        <w:rPr>
          <w:rFonts w:eastAsia="Calibri" w:cstheme="minorHAnsi"/>
          <w:szCs w:val="20"/>
        </w:rPr>
        <w:t>whether</w:t>
      </w:r>
      <w:r w:rsidRPr="00FC2211">
        <w:rPr>
          <w:rFonts w:eastAsia="Calibri" w:cstheme="minorHAnsi"/>
          <w:spacing w:val="-8"/>
          <w:szCs w:val="20"/>
        </w:rPr>
        <w:t xml:space="preserve"> </w:t>
      </w:r>
      <w:r w:rsidRPr="00FC2211">
        <w:rPr>
          <w:rFonts w:eastAsia="Calibri" w:cstheme="minorHAnsi"/>
          <w:szCs w:val="20"/>
        </w:rPr>
        <w:t>or</w:t>
      </w:r>
      <w:r w:rsidRPr="00FC2211">
        <w:rPr>
          <w:rFonts w:eastAsia="Calibri" w:cstheme="minorHAnsi"/>
          <w:spacing w:val="-8"/>
          <w:szCs w:val="20"/>
        </w:rPr>
        <w:t xml:space="preserve"> </w:t>
      </w:r>
      <w:r w:rsidRPr="00FC2211">
        <w:rPr>
          <w:rFonts w:eastAsia="Calibri" w:cstheme="minorHAnsi"/>
          <w:szCs w:val="20"/>
        </w:rPr>
        <w:t>not</w:t>
      </w:r>
      <w:r w:rsidRPr="00FC2211">
        <w:rPr>
          <w:rFonts w:eastAsia="Calibri" w:cstheme="minorHAnsi"/>
          <w:spacing w:val="-8"/>
          <w:szCs w:val="20"/>
        </w:rPr>
        <w:t xml:space="preserve"> </w:t>
      </w:r>
      <w:r w:rsidRPr="00FC2211">
        <w:rPr>
          <w:rFonts w:eastAsia="Calibri" w:cstheme="minorHAnsi"/>
          <w:szCs w:val="20"/>
        </w:rPr>
        <w:t>there</w:t>
      </w:r>
      <w:r w:rsidRPr="00FC2211">
        <w:rPr>
          <w:rFonts w:eastAsia="Calibri" w:cstheme="minorHAnsi"/>
          <w:spacing w:val="-7"/>
          <w:szCs w:val="20"/>
        </w:rPr>
        <w:t xml:space="preserve"> </w:t>
      </w:r>
      <w:r w:rsidRPr="00FC2211">
        <w:rPr>
          <w:rFonts w:eastAsia="Calibri" w:cstheme="minorHAnsi"/>
          <w:szCs w:val="20"/>
        </w:rPr>
        <w:t>will</w:t>
      </w:r>
      <w:r w:rsidRPr="00FC2211">
        <w:rPr>
          <w:rFonts w:eastAsia="Calibri" w:cstheme="minorHAnsi"/>
          <w:spacing w:val="-8"/>
          <w:szCs w:val="20"/>
        </w:rPr>
        <w:t xml:space="preserve"> </w:t>
      </w:r>
      <w:r w:rsidRPr="00FC2211">
        <w:rPr>
          <w:rFonts w:eastAsia="Calibri" w:cstheme="minorHAnsi"/>
          <w:szCs w:val="20"/>
        </w:rPr>
        <w:t>be</w:t>
      </w:r>
      <w:r w:rsidRPr="00FC2211">
        <w:rPr>
          <w:rFonts w:eastAsia="Calibri" w:cstheme="minorHAnsi"/>
          <w:spacing w:val="-7"/>
          <w:szCs w:val="20"/>
        </w:rPr>
        <w:t xml:space="preserve"> </w:t>
      </w:r>
      <w:r w:rsidRPr="00FC2211">
        <w:rPr>
          <w:rFonts w:eastAsia="Calibri" w:cstheme="minorHAnsi"/>
          <w:szCs w:val="20"/>
        </w:rPr>
        <w:t>sufficient</w:t>
      </w:r>
      <w:r w:rsidRPr="00FC2211">
        <w:rPr>
          <w:rFonts w:eastAsia="Calibri" w:cstheme="minorHAnsi"/>
          <w:spacing w:val="-8"/>
          <w:szCs w:val="20"/>
        </w:rPr>
        <w:t xml:space="preserve"> </w:t>
      </w:r>
      <w:r w:rsidRPr="00FC2211">
        <w:rPr>
          <w:rFonts w:eastAsia="Calibri" w:cstheme="minorHAnsi"/>
          <w:szCs w:val="20"/>
        </w:rPr>
        <w:t xml:space="preserve">taxable profits available to offset the tax assets when they do reverse. This requires assumptions regarding future profitability and is therefore inherently uncertain. To the extent assumptions regarding future profitability change, there can be an increase or decrease in the amounts recognized in respect of deferred tax assets </w:t>
      </w:r>
      <w:r w:rsidR="00D3433C" w:rsidRPr="00FC2211">
        <w:rPr>
          <w:rFonts w:eastAsia="Calibri" w:cstheme="minorHAnsi"/>
          <w:szCs w:val="20"/>
        </w:rPr>
        <w:t>and</w:t>
      </w:r>
      <w:r w:rsidRPr="00FC2211">
        <w:rPr>
          <w:rFonts w:eastAsia="Calibri" w:cstheme="minorHAnsi"/>
          <w:szCs w:val="20"/>
        </w:rPr>
        <w:t xml:space="preserve"> the amounts recognized in profit or loss in the </w:t>
      </w:r>
      <w:r w:rsidR="00B62E86" w:rsidRPr="00FC2211">
        <w:rPr>
          <w:rFonts w:eastAsia="Calibri" w:cstheme="minorHAnsi"/>
          <w:szCs w:val="20"/>
        </w:rPr>
        <w:t>year</w:t>
      </w:r>
      <w:r w:rsidRPr="00FC2211">
        <w:rPr>
          <w:rFonts w:eastAsia="Calibri" w:cstheme="minorHAnsi"/>
          <w:szCs w:val="20"/>
        </w:rPr>
        <w:t xml:space="preserve"> in which the change</w:t>
      </w:r>
      <w:r w:rsidRPr="00FC2211">
        <w:rPr>
          <w:rFonts w:eastAsia="Calibri" w:cstheme="minorHAnsi"/>
          <w:spacing w:val="-23"/>
          <w:szCs w:val="20"/>
        </w:rPr>
        <w:t xml:space="preserve"> </w:t>
      </w:r>
      <w:r w:rsidRPr="00FC2211">
        <w:rPr>
          <w:rFonts w:eastAsia="Calibri" w:cstheme="minorHAnsi"/>
          <w:szCs w:val="20"/>
        </w:rPr>
        <w:t>occurs.</w:t>
      </w:r>
    </w:p>
    <w:p w14:paraId="7C00AD52" w14:textId="77777777" w:rsidR="00614A5E" w:rsidRPr="00FC2211" w:rsidRDefault="00614A5E" w:rsidP="00CF01E6">
      <w:pPr>
        <w:widowControl w:val="0"/>
        <w:autoSpaceDE w:val="0"/>
        <w:autoSpaceDN w:val="0"/>
        <w:ind w:left="880" w:right="4"/>
        <w:jc w:val="both"/>
        <w:rPr>
          <w:rFonts w:eastAsia="Calibri" w:cstheme="minorHAnsi"/>
          <w:szCs w:val="20"/>
        </w:rPr>
      </w:pPr>
    </w:p>
    <w:p w14:paraId="33F4F576" w14:textId="7C0BD33D" w:rsidR="00614A5E" w:rsidRPr="00FC2211" w:rsidRDefault="0002326D" w:rsidP="00614A5E">
      <w:pPr>
        <w:autoSpaceDE w:val="0"/>
        <w:autoSpaceDN w:val="0"/>
        <w:adjustRightInd w:val="0"/>
        <w:ind w:left="710" w:right="630" w:firstLine="142"/>
        <w:rPr>
          <w:rFonts w:cstheme="minorHAnsi"/>
          <w:color w:val="000000"/>
          <w:szCs w:val="20"/>
        </w:rPr>
      </w:pPr>
      <w:r w:rsidRPr="00FC2211">
        <w:rPr>
          <w:rFonts w:cstheme="minorHAnsi"/>
          <w:i/>
          <w:iCs/>
          <w:color w:val="000000"/>
          <w:szCs w:val="20"/>
        </w:rPr>
        <w:t>Share-based</w:t>
      </w:r>
      <w:r w:rsidR="00614A5E" w:rsidRPr="00FC2211">
        <w:rPr>
          <w:rFonts w:cstheme="minorHAnsi"/>
          <w:i/>
          <w:iCs/>
          <w:color w:val="000000"/>
          <w:szCs w:val="20"/>
        </w:rPr>
        <w:t xml:space="preserve"> </w:t>
      </w:r>
      <w:r w:rsidRPr="00FC2211">
        <w:rPr>
          <w:rFonts w:cstheme="minorHAnsi"/>
          <w:i/>
          <w:iCs/>
          <w:color w:val="000000"/>
          <w:szCs w:val="20"/>
        </w:rPr>
        <w:t>c</w:t>
      </w:r>
      <w:r w:rsidR="00614A5E" w:rsidRPr="00FC2211">
        <w:rPr>
          <w:rFonts w:cstheme="minorHAnsi"/>
          <w:i/>
          <w:iCs/>
          <w:color w:val="000000"/>
          <w:szCs w:val="20"/>
        </w:rPr>
        <w:t>ompensation</w:t>
      </w:r>
    </w:p>
    <w:p w14:paraId="57797852" w14:textId="77777777" w:rsidR="00614A5E" w:rsidRPr="00FC2211" w:rsidRDefault="00614A5E" w:rsidP="00614A5E">
      <w:pPr>
        <w:autoSpaceDE w:val="0"/>
        <w:autoSpaceDN w:val="0"/>
        <w:adjustRightInd w:val="0"/>
        <w:ind w:left="852" w:right="630"/>
        <w:rPr>
          <w:rFonts w:cstheme="minorHAnsi"/>
          <w:color w:val="000000"/>
          <w:szCs w:val="20"/>
        </w:rPr>
      </w:pPr>
    </w:p>
    <w:p w14:paraId="6A09D46D" w14:textId="77777777" w:rsidR="00614A5E" w:rsidRPr="00FC2211" w:rsidRDefault="00614A5E" w:rsidP="00614A5E">
      <w:pPr>
        <w:autoSpaceDE w:val="0"/>
        <w:autoSpaceDN w:val="0"/>
        <w:adjustRightInd w:val="0"/>
        <w:ind w:left="852" w:right="4"/>
        <w:jc w:val="both"/>
        <w:rPr>
          <w:rFonts w:cstheme="minorHAnsi"/>
          <w:color w:val="000000" w:themeColor="text1"/>
          <w:szCs w:val="20"/>
        </w:rPr>
      </w:pPr>
      <w:r w:rsidRPr="00FC2211">
        <w:rPr>
          <w:rFonts w:cstheme="minorHAnsi"/>
          <w:color w:val="000000" w:themeColor="text1"/>
          <w:szCs w:val="20"/>
        </w:rPr>
        <w:t>Management assesses the fair value of stock options granted in accordance with the accounting policy stated in Note 3.  The fair value of stock options granted is measured using the Black-Scholes option pricing model, which was created to estimate the fair value of freely tradable, fully transferable options. The Company’s stock options have characteristics significantly different from those of traded options, and changes in the highly subjective input assumptions can materially affect the calculated values. The fair value of stock options granted using the Black-Scholes option pricing model does not necessarily provide a reliable measure of the fair value of the Company’s stock option awards.</w:t>
      </w:r>
    </w:p>
    <w:p w14:paraId="2492EF59" w14:textId="77777777" w:rsidR="00614A5E" w:rsidRPr="00FC2211" w:rsidRDefault="00614A5E" w:rsidP="00CF01E6">
      <w:pPr>
        <w:widowControl w:val="0"/>
        <w:autoSpaceDE w:val="0"/>
        <w:autoSpaceDN w:val="0"/>
        <w:ind w:left="880" w:right="4"/>
        <w:jc w:val="both"/>
        <w:rPr>
          <w:rFonts w:eastAsia="Calibri" w:cstheme="minorHAnsi"/>
          <w:szCs w:val="20"/>
        </w:rPr>
      </w:pPr>
    </w:p>
    <w:p w14:paraId="72A49FD7" w14:textId="77777777" w:rsidR="005842BE" w:rsidRPr="00FC2211" w:rsidRDefault="005842BE" w:rsidP="00743579">
      <w:pPr>
        <w:widowControl w:val="0"/>
        <w:autoSpaceDE w:val="0"/>
        <w:autoSpaceDN w:val="0"/>
        <w:ind w:right="630"/>
        <w:rPr>
          <w:rFonts w:eastAsia="Calibri" w:cstheme="minorHAnsi"/>
          <w:szCs w:val="20"/>
        </w:rPr>
      </w:pPr>
    </w:p>
    <w:p w14:paraId="3094E116" w14:textId="77777777" w:rsidR="005842BE" w:rsidRPr="00FC2211" w:rsidRDefault="005842BE" w:rsidP="00DE4A53">
      <w:pPr>
        <w:widowControl w:val="0"/>
        <w:autoSpaceDE w:val="0"/>
        <w:autoSpaceDN w:val="0"/>
        <w:ind w:left="432" w:right="4"/>
        <w:jc w:val="both"/>
        <w:rPr>
          <w:rFonts w:eastAsia="Calibri" w:cstheme="minorHAnsi"/>
          <w:szCs w:val="20"/>
        </w:rPr>
      </w:pPr>
      <w:r w:rsidRPr="00FC2211">
        <w:rPr>
          <w:rFonts w:eastAsia="Calibri" w:cstheme="minorHAnsi"/>
          <w:szCs w:val="20"/>
        </w:rPr>
        <w:t>The information about significant areas of judgment considered by management in preparing the</w:t>
      </w:r>
      <w:r w:rsidR="00026E6A" w:rsidRPr="00FC2211">
        <w:rPr>
          <w:rFonts w:eastAsia="Calibri" w:cstheme="minorHAnsi"/>
          <w:szCs w:val="20"/>
        </w:rPr>
        <w:t>se</w:t>
      </w:r>
      <w:r w:rsidRPr="00FC2211">
        <w:rPr>
          <w:rFonts w:eastAsia="Calibri" w:cstheme="minorHAnsi"/>
          <w:szCs w:val="20"/>
        </w:rPr>
        <w:t xml:space="preserve"> </w:t>
      </w:r>
      <w:r w:rsidR="001937C9" w:rsidRPr="00FC2211">
        <w:rPr>
          <w:rFonts w:eastAsia="Calibri" w:cstheme="minorHAnsi"/>
          <w:szCs w:val="20"/>
        </w:rPr>
        <w:t>Financial Statements</w:t>
      </w:r>
      <w:r w:rsidRPr="00FC2211">
        <w:rPr>
          <w:rFonts w:eastAsia="Calibri" w:cstheme="minorHAnsi"/>
          <w:szCs w:val="20"/>
        </w:rPr>
        <w:t xml:space="preserve"> is as follows:</w:t>
      </w:r>
    </w:p>
    <w:p w14:paraId="5A8BC4B5" w14:textId="77777777" w:rsidR="005842BE" w:rsidRPr="00FC2211" w:rsidRDefault="005842BE" w:rsidP="00743579">
      <w:pPr>
        <w:widowControl w:val="0"/>
        <w:autoSpaceDE w:val="0"/>
        <w:autoSpaceDN w:val="0"/>
        <w:spacing w:before="11"/>
        <w:ind w:right="630"/>
        <w:rPr>
          <w:rFonts w:eastAsia="Calibri" w:cstheme="minorHAnsi"/>
          <w:szCs w:val="20"/>
        </w:rPr>
      </w:pPr>
    </w:p>
    <w:p w14:paraId="3F064B0A" w14:textId="77777777" w:rsidR="005842BE" w:rsidRPr="00FC2211" w:rsidRDefault="005842BE" w:rsidP="00743579">
      <w:pPr>
        <w:widowControl w:val="0"/>
        <w:autoSpaceDE w:val="0"/>
        <w:autoSpaceDN w:val="0"/>
        <w:ind w:left="880" w:right="630"/>
        <w:rPr>
          <w:rFonts w:eastAsia="Calibri" w:cstheme="minorHAnsi"/>
          <w:i/>
          <w:szCs w:val="20"/>
        </w:rPr>
      </w:pPr>
      <w:r w:rsidRPr="00FC2211">
        <w:rPr>
          <w:rFonts w:eastAsia="Calibri" w:cstheme="minorHAnsi"/>
          <w:i/>
          <w:szCs w:val="20"/>
        </w:rPr>
        <w:t>Going concern</w:t>
      </w:r>
    </w:p>
    <w:p w14:paraId="6F799F10" w14:textId="77777777" w:rsidR="005842BE" w:rsidRPr="00FC2211" w:rsidRDefault="005842BE" w:rsidP="00743579">
      <w:pPr>
        <w:widowControl w:val="0"/>
        <w:autoSpaceDE w:val="0"/>
        <w:autoSpaceDN w:val="0"/>
        <w:ind w:right="630"/>
        <w:rPr>
          <w:rFonts w:eastAsia="Calibri" w:cstheme="minorHAnsi"/>
          <w:i/>
          <w:szCs w:val="20"/>
        </w:rPr>
      </w:pPr>
    </w:p>
    <w:p w14:paraId="27D82040" w14:textId="24CF742D" w:rsidR="005842BE" w:rsidRPr="00FC2211" w:rsidRDefault="005842BE" w:rsidP="00985C6C">
      <w:pPr>
        <w:widowControl w:val="0"/>
        <w:autoSpaceDE w:val="0"/>
        <w:autoSpaceDN w:val="0"/>
        <w:ind w:left="880" w:right="4"/>
        <w:jc w:val="both"/>
        <w:rPr>
          <w:rFonts w:eastAsia="Calibri" w:cstheme="minorHAnsi"/>
          <w:szCs w:val="20"/>
        </w:rPr>
      </w:pPr>
      <w:r w:rsidRPr="00FC2211">
        <w:rPr>
          <w:rFonts w:eastAsia="Calibri" w:cstheme="minorHAnsi"/>
          <w:szCs w:val="20"/>
        </w:rPr>
        <w:t>The assessment of the Company's ability to continue as a going concern</w:t>
      </w:r>
      <w:r w:rsidR="00D3433C" w:rsidRPr="00FC2211">
        <w:rPr>
          <w:rFonts w:eastAsia="Calibri" w:cstheme="minorHAnsi"/>
          <w:szCs w:val="20"/>
        </w:rPr>
        <w:t>,</w:t>
      </w:r>
      <w:r w:rsidRPr="00FC2211">
        <w:rPr>
          <w:rFonts w:eastAsia="Calibri" w:cstheme="minorHAnsi"/>
          <w:szCs w:val="20"/>
        </w:rPr>
        <w:t xml:space="preserve"> as discussed in Note 1</w:t>
      </w:r>
      <w:r w:rsidR="00F77108" w:rsidRPr="00FC2211">
        <w:rPr>
          <w:rFonts w:eastAsia="Calibri" w:cstheme="minorHAnsi"/>
          <w:szCs w:val="20"/>
        </w:rPr>
        <w:t>,</w:t>
      </w:r>
      <w:r w:rsidRPr="00FC2211">
        <w:rPr>
          <w:rFonts w:eastAsia="Calibri" w:cstheme="minorHAnsi"/>
          <w:szCs w:val="20"/>
        </w:rPr>
        <w:t xml:space="preserve"> involves judgment regarding future funding available for its operations and working capital requirements.</w:t>
      </w:r>
    </w:p>
    <w:p w14:paraId="59D8D843" w14:textId="77777777" w:rsidR="002D58E1" w:rsidRPr="00FC2211" w:rsidRDefault="002D58E1" w:rsidP="00C243A5">
      <w:pPr>
        <w:autoSpaceDE w:val="0"/>
        <w:autoSpaceDN w:val="0"/>
        <w:adjustRightInd w:val="0"/>
        <w:ind w:left="852" w:right="630"/>
        <w:rPr>
          <w:rFonts w:cstheme="minorHAnsi"/>
          <w:color w:val="000000"/>
          <w:szCs w:val="20"/>
        </w:rPr>
      </w:pPr>
    </w:p>
    <w:p w14:paraId="6EED6744" w14:textId="77777777" w:rsidR="002D58E1" w:rsidRPr="00FC2211" w:rsidRDefault="002D58E1" w:rsidP="00C243A5">
      <w:pPr>
        <w:autoSpaceDE w:val="0"/>
        <w:autoSpaceDN w:val="0"/>
        <w:adjustRightInd w:val="0"/>
        <w:ind w:left="852" w:right="630"/>
        <w:rPr>
          <w:rFonts w:cstheme="minorHAnsi"/>
          <w:i/>
          <w:iCs/>
          <w:szCs w:val="20"/>
        </w:rPr>
      </w:pPr>
      <w:r w:rsidRPr="00FC2211">
        <w:rPr>
          <w:rFonts w:cstheme="minorHAnsi"/>
          <w:i/>
          <w:iCs/>
          <w:szCs w:val="20"/>
        </w:rPr>
        <w:t>Business combinations</w:t>
      </w:r>
    </w:p>
    <w:p w14:paraId="249F8F3F" w14:textId="77777777" w:rsidR="002D58E1" w:rsidRPr="00FC2211" w:rsidRDefault="002D58E1" w:rsidP="00C243A5">
      <w:pPr>
        <w:autoSpaceDE w:val="0"/>
        <w:autoSpaceDN w:val="0"/>
        <w:adjustRightInd w:val="0"/>
        <w:ind w:left="852" w:right="630"/>
        <w:rPr>
          <w:rFonts w:cstheme="minorHAnsi"/>
          <w:szCs w:val="20"/>
        </w:rPr>
      </w:pPr>
    </w:p>
    <w:p w14:paraId="18471AF6" w14:textId="77777777" w:rsidR="002D58E1" w:rsidRPr="00FC2211" w:rsidRDefault="002D58E1" w:rsidP="00C76409">
      <w:pPr>
        <w:autoSpaceDE w:val="0"/>
        <w:autoSpaceDN w:val="0"/>
        <w:adjustRightInd w:val="0"/>
        <w:ind w:left="852" w:right="4"/>
        <w:jc w:val="both"/>
        <w:rPr>
          <w:rFonts w:cstheme="minorHAnsi"/>
          <w:szCs w:val="20"/>
        </w:rPr>
      </w:pPr>
      <w:r w:rsidRPr="00FC2211">
        <w:rPr>
          <w:rFonts w:cstheme="minorHAnsi"/>
          <w:szCs w:val="20"/>
        </w:rPr>
        <w:t>Business combinations require management to exercise judgment in</w:t>
      </w:r>
      <w:r w:rsidR="00B24116" w:rsidRPr="00FC2211">
        <w:rPr>
          <w:rFonts w:cstheme="minorHAnsi"/>
          <w:szCs w:val="20"/>
        </w:rPr>
        <w:t xml:space="preserve"> determining whether a group of assets constitutes a business and</w:t>
      </w:r>
      <w:r w:rsidRPr="00FC2211">
        <w:rPr>
          <w:rFonts w:cstheme="minorHAnsi"/>
          <w:szCs w:val="20"/>
        </w:rPr>
        <w:t xml:space="preserve"> measuring the fair value of assets acquired and liabilities and contingent liabilities incurred or assumed. Judgment is also required in determining what qualifies as part of consideration paid.</w:t>
      </w:r>
    </w:p>
    <w:p w14:paraId="7AE2163F" w14:textId="77777777" w:rsidR="00AC1CF9" w:rsidRPr="00FC2211" w:rsidRDefault="00AC1CF9" w:rsidP="00C76409">
      <w:pPr>
        <w:autoSpaceDE w:val="0"/>
        <w:autoSpaceDN w:val="0"/>
        <w:adjustRightInd w:val="0"/>
        <w:ind w:left="852" w:right="4"/>
        <w:jc w:val="both"/>
        <w:rPr>
          <w:rFonts w:cstheme="minorHAnsi"/>
          <w:szCs w:val="20"/>
        </w:rPr>
      </w:pPr>
    </w:p>
    <w:p w14:paraId="4E7C68A5" w14:textId="77777777" w:rsidR="00DB3951" w:rsidRPr="00FC2211" w:rsidRDefault="00DB3951">
      <w:pPr>
        <w:rPr>
          <w:rFonts w:cstheme="minorHAnsi"/>
          <w:szCs w:val="20"/>
        </w:rPr>
      </w:pPr>
      <w:r w:rsidRPr="00FC2211">
        <w:rPr>
          <w:rFonts w:cstheme="minorHAnsi"/>
          <w:szCs w:val="20"/>
        </w:rPr>
        <w:br w:type="page"/>
      </w:r>
    </w:p>
    <w:p w14:paraId="15C7623A" w14:textId="77777777" w:rsidR="00600AC3" w:rsidRPr="00FC2211" w:rsidRDefault="001643A6" w:rsidP="00246178">
      <w:pPr>
        <w:pStyle w:val="Heading1"/>
        <w:numPr>
          <w:ilvl w:val="0"/>
          <w:numId w:val="43"/>
        </w:numPr>
        <w:ind w:left="284"/>
        <w:rPr>
          <w:rFonts w:cstheme="minorHAnsi"/>
          <w:szCs w:val="20"/>
          <w:lang w:val="en-GB"/>
        </w:rPr>
      </w:pPr>
      <w:r w:rsidRPr="00FC2211">
        <w:rPr>
          <w:rFonts w:cstheme="minorHAnsi"/>
          <w:szCs w:val="20"/>
          <w:lang w:val="en-GB"/>
        </w:rPr>
        <w:lastRenderedPageBreak/>
        <w:t>S</w:t>
      </w:r>
      <w:r w:rsidR="007B7BDC" w:rsidRPr="00FC2211">
        <w:rPr>
          <w:rFonts w:cstheme="minorHAnsi"/>
          <w:szCs w:val="20"/>
          <w:lang w:val="en-GB"/>
        </w:rPr>
        <w:t>IGNIFICANT ACCOUNTING POLICIES</w:t>
      </w:r>
    </w:p>
    <w:p w14:paraId="1D100E35" w14:textId="77777777" w:rsidR="00C243A5" w:rsidRPr="00FC2211" w:rsidRDefault="00C243A5" w:rsidP="00C243A5">
      <w:pPr>
        <w:rPr>
          <w:lang w:val="en-GB"/>
        </w:rPr>
      </w:pPr>
    </w:p>
    <w:p w14:paraId="7EFD92DE" w14:textId="2B2CF968" w:rsidR="00AA05FB" w:rsidRPr="00FC2211" w:rsidRDefault="00AA05FB" w:rsidP="00AA05FB">
      <w:pPr>
        <w:pStyle w:val="NormalWeb"/>
        <w:ind w:left="357"/>
        <w:jc w:val="both"/>
        <w:rPr>
          <w:rFonts w:eastAsia="Calibri" w:cstheme="minorHAnsi"/>
          <w:szCs w:val="20"/>
        </w:rPr>
      </w:pPr>
      <w:r w:rsidRPr="00FC2211">
        <w:rPr>
          <w:rFonts w:eastAsia="Calibri" w:cstheme="minorHAnsi"/>
          <w:szCs w:val="20"/>
        </w:rPr>
        <w:t>In preparing these Financial Statements, the significant accounting policies and judgements made by management in applying the Company’s significant accounting policies and key sources of estimation uncertainty were the same as those that applied to the Company’s audited financial statements for the year ended June 30, 202</w:t>
      </w:r>
      <w:r w:rsidR="00FD3799" w:rsidRPr="00FC2211">
        <w:rPr>
          <w:rFonts w:eastAsia="Calibri" w:cstheme="minorHAnsi"/>
          <w:szCs w:val="20"/>
        </w:rPr>
        <w:t>3</w:t>
      </w:r>
      <w:r w:rsidRPr="00FC2211">
        <w:rPr>
          <w:rFonts w:eastAsia="Calibri" w:cstheme="minorHAnsi"/>
          <w:szCs w:val="20"/>
        </w:rPr>
        <w:t xml:space="preserve">.  </w:t>
      </w:r>
    </w:p>
    <w:p w14:paraId="60F83CA4" w14:textId="77777777" w:rsidR="00AA05FB" w:rsidRPr="00FC2211" w:rsidRDefault="00AA05FB" w:rsidP="00AA05FB">
      <w:pPr>
        <w:pStyle w:val="NormalWeb"/>
        <w:ind w:left="357"/>
        <w:jc w:val="both"/>
        <w:rPr>
          <w:rFonts w:eastAsia="Calibri" w:cstheme="minorHAnsi"/>
          <w:szCs w:val="20"/>
        </w:rPr>
      </w:pPr>
    </w:p>
    <w:p w14:paraId="2E3B524B" w14:textId="0D0385DA" w:rsidR="00AA05FB" w:rsidRPr="00FC2211" w:rsidRDefault="00AA05FB" w:rsidP="00AA05FB">
      <w:pPr>
        <w:pStyle w:val="NormalWeb"/>
        <w:ind w:left="357"/>
        <w:jc w:val="both"/>
        <w:rPr>
          <w:rFonts w:eastAsia="Calibri" w:cstheme="minorHAnsi"/>
          <w:szCs w:val="20"/>
        </w:rPr>
      </w:pPr>
      <w:r w:rsidRPr="00FC2211">
        <w:rPr>
          <w:rFonts w:eastAsia="Calibri" w:cstheme="minorHAnsi"/>
          <w:szCs w:val="20"/>
        </w:rPr>
        <w:t>Interim results are not necessarily indicative of the results expected for the financial year. Annual results may differ from interim estimates. The significant judgments made by management applied in the preparation of these Financial Statements are consistent with those applied and disclosed in the Company's audited consolidated financial statements for the year ended June 30, 202</w:t>
      </w:r>
      <w:r w:rsidR="00FD3799" w:rsidRPr="00FC2211">
        <w:rPr>
          <w:rFonts w:eastAsia="Calibri" w:cstheme="minorHAnsi"/>
          <w:szCs w:val="20"/>
        </w:rPr>
        <w:t>3</w:t>
      </w:r>
      <w:r w:rsidRPr="00FC2211">
        <w:rPr>
          <w:rFonts w:eastAsia="Calibri" w:cstheme="minorHAnsi"/>
          <w:szCs w:val="20"/>
        </w:rPr>
        <w:t xml:space="preserve">. </w:t>
      </w:r>
    </w:p>
    <w:p w14:paraId="47DBC06F" w14:textId="77777777" w:rsidR="00AA05FB" w:rsidRPr="00FC2211" w:rsidRDefault="00AA05FB" w:rsidP="008E654B">
      <w:pPr>
        <w:pStyle w:val="Heading2"/>
        <w:tabs>
          <w:tab w:val="left" w:pos="519"/>
        </w:tabs>
        <w:spacing w:before="0"/>
        <w:rPr>
          <w:rFonts w:asciiTheme="minorHAnsi" w:eastAsia="Calibri" w:hAnsiTheme="minorHAnsi" w:cstheme="minorHAnsi"/>
          <w:b/>
          <w:bCs/>
          <w:color w:val="auto"/>
          <w:sz w:val="20"/>
          <w:szCs w:val="20"/>
        </w:rPr>
      </w:pPr>
    </w:p>
    <w:p w14:paraId="76C56F4A" w14:textId="5BCC4E11" w:rsidR="008E654B" w:rsidRPr="00FC2211" w:rsidRDefault="008E654B" w:rsidP="008E654B">
      <w:pPr>
        <w:pStyle w:val="Heading2"/>
        <w:tabs>
          <w:tab w:val="left" w:pos="519"/>
        </w:tabs>
        <w:spacing w:before="0"/>
        <w:rPr>
          <w:rFonts w:asciiTheme="minorHAnsi" w:eastAsia="Calibri" w:hAnsiTheme="minorHAnsi" w:cstheme="minorHAnsi"/>
          <w:b/>
          <w:bCs/>
          <w:color w:val="auto"/>
          <w:sz w:val="20"/>
          <w:szCs w:val="20"/>
        </w:rPr>
      </w:pPr>
      <w:r w:rsidRPr="00FC2211">
        <w:rPr>
          <w:rFonts w:asciiTheme="minorHAnsi" w:eastAsia="Calibri" w:hAnsiTheme="minorHAnsi" w:cstheme="minorHAnsi"/>
          <w:b/>
          <w:bCs/>
          <w:color w:val="auto"/>
          <w:sz w:val="20"/>
          <w:szCs w:val="20"/>
        </w:rPr>
        <w:t>4.    VITTAGE ASSET ACQUISITION</w:t>
      </w:r>
    </w:p>
    <w:p w14:paraId="0F4B62BF" w14:textId="77777777" w:rsidR="008E654B" w:rsidRPr="00FC2211" w:rsidRDefault="008E654B" w:rsidP="008E654B">
      <w:pPr>
        <w:autoSpaceDE w:val="0"/>
        <w:autoSpaceDN w:val="0"/>
        <w:adjustRightInd w:val="0"/>
        <w:jc w:val="both"/>
        <w:rPr>
          <w:rFonts w:cstheme="minorBidi"/>
          <w:szCs w:val="20"/>
          <w:lang w:val="en-CA"/>
        </w:rPr>
      </w:pPr>
    </w:p>
    <w:p w14:paraId="5A17EC69" w14:textId="6314E309" w:rsidR="008E654B" w:rsidRPr="00FC2211" w:rsidRDefault="008E654B" w:rsidP="008E6FAB">
      <w:pPr>
        <w:autoSpaceDE w:val="0"/>
        <w:autoSpaceDN w:val="0"/>
        <w:adjustRightInd w:val="0"/>
        <w:ind w:left="288"/>
        <w:jc w:val="both"/>
        <w:rPr>
          <w:rFonts w:cstheme="minorBidi"/>
          <w:szCs w:val="20"/>
          <w:lang w:val="en-CA"/>
        </w:rPr>
      </w:pPr>
      <w:r w:rsidRPr="00FC2211">
        <w:rPr>
          <w:rFonts w:cstheme="minorBidi"/>
          <w:szCs w:val="20"/>
          <w:lang w:val="en-CA"/>
        </w:rPr>
        <w:t xml:space="preserve">On December 22, 2021, the Company acquired </w:t>
      </w:r>
      <w:r w:rsidR="00E6340F" w:rsidRPr="00FC2211">
        <w:rPr>
          <w:rFonts w:cstheme="minorBidi"/>
          <w:szCs w:val="20"/>
          <w:lang w:val="en-CA"/>
        </w:rPr>
        <w:t xml:space="preserve">all of </w:t>
      </w:r>
      <w:r w:rsidR="00A82940" w:rsidRPr="00FC2211">
        <w:rPr>
          <w:rFonts w:cstheme="minorBidi"/>
          <w:szCs w:val="20"/>
          <w:lang w:val="en-CA"/>
        </w:rPr>
        <w:t xml:space="preserve">the assets of </w:t>
      </w:r>
      <w:r w:rsidRPr="00FC2211">
        <w:rPr>
          <w:rFonts w:cstheme="minorBidi"/>
          <w:szCs w:val="20"/>
          <w:lang w:val="en-CA"/>
        </w:rPr>
        <w:t>Vittage</w:t>
      </w:r>
      <w:r w:rsidR="00A82940" w:rsidRPr="00FC2211">
        <w:rPr>
          <w:rFonts w:cstheme="minorBidi"/>
          <w:szCs w:val="20"/>
          <w:lang w:val="en-CA"/>
        </w:rPr>
        <w:t xml:space="preserve"> Ltd. </w:t>
      </w:r>
      <w:r w:rsidRPr="00FC2211">
        <w:rPr>
          <w:rFonts w:cstheme="minorBidi"/>
          <w:szCs w:val="20"/>
          <w:lang w:val="en-CA"/>
        </w:rPr>
        <w:t xml:space="preserve">in exchange for </w:t>
      </w:r>
      <w:r w:rsidR="008E6FAB" w:rsidRPr="00FC2211">
        <w:rPr>
          <w:rFonts w:cstheme="minorBidi"/>
          <w:szCs w:val="20"/>
          <w:lang w:val="en-CA"/>
        </w:rPr>
        <w:t>US</w:t>
      </w:r>
      <w:r w:rsidRPr="00FC2211">
        <w:rPr>
          <w:rFonts w:cstheme="minorBidi"/>
          <w:szCs w:val="20"/>
          <w:lang w:val="en-CA"/>
        </w:rPr>
        <w:t xml:space="preserve">$35,000 in cash. </w:t>
      </w:r>
      <w:r w:rsidR="00A82940" w:rsidRPr="00FC2211">
        <w:rPr>
          <w:rFonts w:cstheme="minorBidi"/>
          <w:szCs w:val="20"/>
          <w:lang w:val="en-CA"/>
        </w:rPr>
        <w:t>The purpose of the acquisition was primarily to acquire the Securitytags.com domain name</w:t>
      </w:r>
      <w:r w:rsidR="008E6FAB" w:rsidRPr="00FC2211">
        <w:rPr>
          <w:rFonts w:cstheme="minorBidi"/>
          <w:szCs w:val="20"/>
          <w:lang w:val="en-CA"/>
        </w:rPr>
        <w:t xml:space="preserve"> and its inventories for resale</w:t>
      </w:r>
      <w:r w:rsidR="00A82940" w:rsidRPr="00FC2211">
        <w:rPr>
          <w:rFonts w:cstheme="minorBidi"/>
          <w:szCs w:val="20"/>
          <w:lang w:val="en-CA"/>
        </w:rPr>
        <w:t>.</w:t>
      </w:r>
    </w:p>
    <w:p w14:paraId="62D56CBB" w14:textId="77777777" w:rsidR="008E654B" w:rsidRPr="00FC2211" w:rsidRDefault="008E654B" w:rsidP="008E6FAB">
      <w:pPr>
        <w:autoSpaceDE w:val="0"/>
        <w:autoSpaceDN w:val="0"/>
        <w:adjustRightInd w:val="0"/>
        <w:ind w:left="288"/>
        <w:jc w:val="both"/>
        <w:rPr>
          <w:rFonts w:cstheme="minorBidi"/>
          <w:szCs w:val="20"/>
          <w:lang w:val="en-CA"/>
        </w:rPr>
      </w:pPr>
    </w:p>
    <w:p w14:paraId="30B9340D" w14:textId="2E29A609" w:rsidR="008E654B" w:rsidRPr="00FC2211" w:rsidRDefault="008E654B" w:rsidP="008E6FAB">
      <w:pPr>
        <w:ind w:left="288"/>
        <w:jc w:val="both"/>
        <w:rPr>
          <w:szCs w:val="20"/>
        </w:rPr>
      </w:pPr>
      <w:bookmarkStart w:id="2" w:name="_Hlk113792406"/>
      <w:r w:rsidRPr="00FC2211">
        <w:rPr>
          <w:rFonts w:cstheme="minorBidi"/>
          <w:szCs w:val="20"/>
          <w:lang w:val="en-CA"/>
        </w:rPr>
        <w:t>In accordance with IFRS 3, using the asset concentration test, the acquisition met the definition of an asset acquisition as substantially all of the fair value is in the inventor</w:t>
      </w:r>
      <w:r w:rsidR="008E6FAB" w:rsidRPr="00FC2211">
        <w:rPr>
          <w:rFonts w:cstheme="minorBidi"/>
          <w:szCs w:val="20"/>
          <w:lang w:val="en-CA"/>
        </w:rPr>
        <w:t>ies</w:t>
      </w:r>
      <w:r w:rsidRPr="00FC2211">
        <w:rPr>
          <w:rFonts w:cstheme="minorBidi"/>
          <w:szCs w:val="20"/>
          <w:lang w:val="en-CA"/>
        </w:rPr>
        <w:t xml:space="preserve">. </w:t>
      </w:r>
    </w:p>
    <w:bookmarkEnd w:id="2"/>
    <w:p w14:paraId="4C0EA2B3" w14:textId="77777777" w:rsidR="008E654B" w:rsidRPr="00FC2211" w:rsidRDefault="008E654B" w:rsidP="008E6FAB">
      <w:pPr>
        <w:autoSpaceDE w:val="0"/>
        <w:autoSpaceDN w:val="0"/>
        <w:adjustRightInd w:val="0"/>
        <w:ind w:left="288"/>
        <w:jc w:val="both"/>
        <w:rPr>
          <w:rFonts w:cstheme="minorBidi"/>
          <w:szCs w:val="20"/>
          <w:lang w:val="en-CA"/>
        </w:rPr>
      </w:pPr>
    </w:p>
    <w:p w14:paraId="30F138E7" w14:textId="28C57D00" w:rsidR="008E654B" w:rsidRPr="00FC2211" w:rsidRDefault="00482E8F" w:rsidP="008E6FAB">
      <w:pPr>
        <w:autoSpaceDE w:val="0"/>
        <w:autoSpaceDN w:val="0"/>
        <w:adjustRightInd w:val="0"/>
        <w:ind w:left="288"/>
        <w:jc w:val="both"/>
        <w:rPr>
          <w:rFonts w:cstheme="minorBidi"/>
          <w:szCs w:val="20"/>
          <w:lang w:val="en-CA"/>
        </w:rPr>
      </w:pPr>
      <w:r w:rsidRPr="00FC2211">
        <w:rPr>
          <w:rFonts w:cstheme="minorBidi"/>
          <w:szCs w:val="20"/>
          <w:lang w:val="en-CA"/>
        </w:rPr>
        <w:t>T</w:t>
      </w:r>
      <w:r w:rsidR="008E654B" w:rsidRPr="00FC2211">
        <w:rPr>
          <w:rFonts w:cstheme="minorBidi"/>
          <w:szCs w:val="20"/>
          <w:lang w:val="en-CA"/>
        </w:rPr>
        <w:t>he following table summarizes the fair value of the consideration transferred and the fair values assigned to each asset acquired on the acquisition date:</w:t>
      </w:r>
    </w:p>
    <w:p w14:paraId="3120C0FF" w14:textId="77777777" w:rsidR="008E654B" w:rsidRPr="00FC2211" w:rsidRDefault="008E654B" w:rsidP="008E654B">
      <w:pPr>
        <w:widowControl w:val="0"/>
        <w:autoSpaceDE w:val="0"/>
        <w:autoSpaceDN w:val="0"/>
        <w:spacing w:line="244" w:lineRule="exact"/>
        <w:ind w:left="360"/>
        <w:rPr>
          <w:rFonts w:cstheme="minorHAnsi"/>
          <w:szCs w:val="20"/>
          <w:lang w:val="en-CA"/>
        </w:rPr>
      </w:pPr>
    </w:p>
    <w:p w14:paraId="5098D0A0" w14:textId="77777777" w:rsidR="008E654B" w:rsidRPr="00FC2211" w:rsidRDefault="008E654B" w:rsidP="008E654B">
      <w:pPr>
        <w:widowControl w:val="0"/>
        <w:autoSpaceDE w:val="0"/>
        <w:autoSpaceDN w:val="0"/>
        <w:spacing w:line="244" w:lineRule="exact"/>
        <w:ind w:left="360"/>
        <w:rPr>
          <w:rFonts w:cstheme="minorHAnsi"/>
          <w:b/>
          <w:bCs/>
          <w:szCs w:val="20"/>
          <w:u w:val="single"/>
          <w:lang w:val="en-CA"/>
        </w:rPr>
      </w:pPr>
      <w:bookmarkStart w:id="3" w:name="_Hlk114141256"/>
      <w:r w:rsidRPr="00FC2211">
        <w:rPr>
          <w:rFonts w:cstheme="minorHAnsi"/>
          <w:b/>
          <w:bCs/>
          <w:szCs w:val="20"/>
          <w:u w:val="single"/>
          <w:lang w:val="en-CA"/>
        </w:rPr>
        <w:t>Consideration transferred</w:t>
      </w:r>
    </w:p>
    <w:p w14:paraId="118869BD" w14:textId="77777777" w:rsidR="008E654B" w:rsidRPr="00FC2211" w:rsidRDefault="008E654B" w:rsidP="008E654B">
      <w:pPr>
        <w:widowControl w:val="0"/>
        <w:autoSpaceDE w:val="0"/>
        <w:autoSpaceDN w:val="0"/>
        <w:spacing w:line="244" w:lineRule="exact"/>
        <w:ind w:left="360"/>
        <w:rPr>
          <w:rFonts w:cstheme="minorHAnsi"/>
          <w:szCs w:val="20"/>
          <w:lang w:val="en-CA"/>
        </w:rPr>
      </w:pPr>
      <w:r w:rsidRPr="00FC2211">
        <w:rPr>
          <w:rFonts w:cstheme="minorHAnsi"/>
          <w:szCs w:val="20"/>
          <w:lang w:val="en-CA"/>
        </w:rPr>
        <w:t>Cash</w:t>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00482E8F" w:rsidRPr="00FC2211">
        <w:rPr>
          <w:rFonts w:cstheme="minorHAnsi"/>
          <w:szCs w:val="20"/>
          <w:lang w:val="en-CA"/>
        </w:rPr>
        <w:t xml:space="preserve">   </w:t>
      </w:r>
      <w:r w:rsidRPr="00FC2211">
        <w:rPr>
          <w:rFonts w:cstheme="minorHAnsi"/>
          <w:b/>
          <w:bCs/>
          <w:szCs w:val="20"/>
          <w:lang w:val="en-CA"/>
        </w:rPr>
        <w:t>$</w:t>
      </w:r>
      <w:r w:rsidR="00482E8F" w:rsidRPr="00FC2211">
        <w:rPr>
          <w:rFonts w:cstheme="minorHAnsi"/>
          <w:b/>
          <w:bCs/>
          <w:szCs w:val="20"/>
          <w:lang w:val="en-CA"/>
        </w:rPr>
        <w:t>4</w:t>
      </w:r>
      <w:r w:rsidRPr="00FC2211">
        <w:rPr>
          <w:rFonts w:cstheme="minorHAnsi"/>
          <w:b/>
          <w:bCs/>
          <w:szCs w:val="20"/>
          <w:lang w:val="en-CA"/>
        </w:rPr>
        <w:t>3,</w:t>
      </w:r>
      <w:r w:rsidR="00482E8F" w:rsidRPr="00FC2211">
        <w:rPr>
          <w:rFonts w:cstheme="minorHAnsi"/>
          <w:b/>
          <w:bCs/>
          <w:szCs w:val="20"/>
          <w:lang w:val="en-CA"/>
        </w:rPr>
        <w:t>939</w:t>
      </w:r>
    </w:p>
    <w:p w14:paraId="394D2272" w14:textId="77777777" w:rsidR="008E654B" w:rsidRPr="00FC2211" w:rsidRDefault="008E654B" w:rsidP="008E654B">
      <w:pPr>
        <w:widowControl w:val="0"/>
        <w:autoSpaceDE w:val="0"/>
        <w:autoSpaceDN w:val="0"/>
        <w:spacing w:line="244" w:lineRule="exact"/>
        <w:ind w:left="360"/>
        <w:rPr>
          <w:rFonts w:cstheme="minorHAnsi"/>
          <w:szCs w:val="20"/>
          <w:lang w:val="en-CA"/>
        </w:rPr>
      </w:pPr>
    </w:p>
    <w:p w14:paraId="5F2F3E63" w14:textId="77777777" w:rsidR="008E654B" w:rsidRPr="00FC2211" w:rsidRDefault="008E654B" w:rsidP="008E654B">
      <w:pPr>
        <w:widowControl w:val="0"/>
        <w:autoSpaceDE w:val="0"/>
        <w:autoSpaceDN w:val="0"/>
        <w:spacing w:line="244" w:lineRule="exact"/>
        <w:ind w:left="360"/>
        <w:rPr>
          <w:rFonts w:cstheme="minorHAnsi"/>
          <w:b/>
          <w:bCs/>
          <w:szCs w:val="20"/>
          <w:u w:val="single"/>
          <w:lang w:val="en-CA"/>
        </w:rPr>
      </w:pPr>
      <w:r w:rsidRPr="00FC2211">
        <w:rPr>
          <w:rFonts w:cstheme="minorHAnsi"/>
          <w:b/>
          <w:bCs/>
          <w:szCs w:val="20"/>
          <w:u w:val="single"/>
          <w:lang w:val="en-CA"/>
        </w:rPr>
        <w:t>Identifiable assets required</w:t>
      </w:r>
    </w:p>
    <w:p w14:paraId="3279470A" w14:textId="77777777" w:rsidR="008E654B" w:rsidRPr="00FC2211" w:rsidRDefault="008E654B" w:rsidP="008E654B">
      <w:pPr>
        <w:widowControl w:val="0"/>
        <w:autoSpaceDE w:val="0"/>
        <w:autoSpaceDN w:val="0"/>
        <w:spacing w:line="244" w:lineRule="exact"/>
        <w:ind w:left="360"/>
        <w:rPr>
          <w:rFonts w:cstheme="minorHAnsi"/>
          <w:szCs w:val="20"/>
          <w:lang w:val="en-CA"/>
        </w:rPr>
      </w:pPr>
      <w:r w:rsidRPr="00FC2211">
        <w:rPr>
          <w:rFonts w:cstheme="minorHAnsi"/>
          <w:szCs w:val="20"/>
          <w:lang w:val="en-CA"/>
        </w:rPr>
        <w:t>Inventories</w:t>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t>$</w:t>
      </w:r>
      <w:r w:rsidR="00482E8F" w:rsidRPr="00FC2211">
        <w:rPr>
          <w:rFonts w:cstheme="minorHAnsi"/>
          <w:szCs w:val="20"/>
          <w:lang w:val="en-CA"/>
        </w:rPr>
        <w:t>37</w:t>
      </w:r>
      <w:r w:rsidRPr="00FC2211">
        <w:rPr>
          <w:rFonts w:cstheme="minorHAnsi"/>
          <w:szCs w:val="20"/>
          <w:lang w:val="en-CA"/>
        </w:rPr>
        <w:t>,</w:t>
      </w:r>
      <w:r w:rsidR="00482E8F" w:rsidRPr="00FC2211">
        <w:rPr>
          <w:rFonts w:cstheme="minorHAnsi"/>
          <w:szCs w:val="20"/>
          <w:lang w:val="en-CA"/>
        </w:rPr>
        <w:t>431</w:t>
      </w:r>
    </w:p>
    <w:p w14:paraId="71A713C3" w14:textId="38DCD04E" w:rsidR="008E654B" w:rsidRPr="00FC2211" w:rsidRDefault="00482E8F" w:rsidP="008E654B">
      <w:pPr>
        <w:widowControl w:val="0"/>
        <w:autoSpaceDE w:val="0"/>
        <w:autoSpaceDN w:val="0"/>
        <w:spacing w:line="244" w:lineRule="exact"/>
        <w:ind w:left="360"/>
        <w:rPr>
          <w:rFonts w:cstheme="minorHAnsi"/>
          <w:szCs w:val="20"/>
          <w:u w:val="single"/>
          <w:lang w:val="en-CA"/>
        </w:rPr>
      </w:pPr>
      <w:r w:rsidRPr="00FC2211">
        <w:rPr>
          <w:rFonts w:cstheme="minorHAnsi"/>
          <w:szCs w:val="20"/>
          <w:u w:val="single"/>
          <w:lang w:val="en-CA"/>
        </w:rPr>
        <w:t>Intangible</w:t>
      </w:r>
      <w:r w:rsidR="00A82940" w:rsidRPr="00FC2211">
        <w:rPr>
          <w:rFonts w:cstheme="minorHAnsi"/>
          <w:szCs w:val="20"/>
          <w:u w:val="single"/>
          <w:lang w:val="en-CA"/>
        </w:rPr>
        <w:t xml:space="preserve"> assets</w:t>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t xml:space="preserve">$  </w:t>
      </w:r>
      <w:r w:rsidRPr="00FC2211">
        <w:rPr>
          <w:rFonts w:cstheme="minorHAnsi"/>
          <w:szCs w:val="20"/>
          <w:u w:val="single"/>
          <w:lang w:val="en-CA"/>
        </w:rPr>
        <w:t>6</w:t>
      </w:r>
      <w:r w:rsidR="008E654B" w:rsidRPr="00FC2211">
        <w:rPr>
          <w:rFonts w:cstheme="minorHAnsi"/>
          <w:szCs w:val="20"/>
          <w:u w:val="single"/>
          <w:lang w:val="en-CA"/>
        </w:rPr>
        <w:t>,5</w:t>
      </w:r>
      <w:r w:rsidRPr="00FC2211">
        <w:rPr>
          <w:rFonts w:cstheme="minorHAnsi"/>
          <w:szCs w:val="20"/>
          <w:u w:val="single"/>
          <w:lang w:val="en-CA"/>
        </w:rPr>
        <w:t>08</w:t>
      </w:r>
    </w:p>
    <w:p w14:paraId="31AE0478" w14:textId="2D05B067" w:rsidR="008E654B" w:rsidRPr="00FC2211" w:rsidRDefault="008E654B" w:rsidP="008E654B">
      <w:pPr>
        <w:widowControl w:val="0"/>
        <w:autoSpaceDE w:val="0"/>
        <w:autoSpaceDN w:val="0"/>
        <w:spacing w:line="244" w:lineRule="exact"/>
        <w:ind w:left="360"/>
        <w:rPr>
          <w:rFonts w:cstheme="minorHAnsi"/>
          <w:szCs w:val="20"/>
          <w:lang w:val="en-CA"/>
        </w:rPr>
      </w:pPr>
      <w:r w:rsidRPr="00FC2211">
        <w:rPr>
          <w:rFonts w:cstheme="minorHAnsi"/>
          <w:b/>
          <w:bCs/>
          <w:szCs w:val="20"/>
          <w:lang w:val="en-CA"/>
        </w:rPr>
        <w:t>Total identifiable assets acquired</w:t>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b/>
          <w:bCs/>
          <w:szCs w:val="20"/>
          <w:lang w:val="en-CA"/>
        </w:rPr>
        <w:t>$</w:t>
      </w:r>
      <w:r w:rsidR="00E83120" w:rsidRPr="00FC2211">
        <w:rPr>
          <w:rFonts w:cstheme="minorHAnsi"/>
          <w:b/>
          <w:bCs/>
          <w:szCs w:val="20"/>
          <w:lang w:val="en-CA"/>
        </w:rPr>
        <w:t>43,939</w:t>
      </w:r>
    </w:p>
    <w:p w14:paraId="7BEE4755" w14:textId="77777777" w:rsidR="008E654B" w:rsidRPr="00FC2211" w:rsidRDefault="008E654B" w:rsidP="008E654B">
      <w:pPr>
        <w:widowControl w:val="0"/>
        <w:autoSpaceDE w:val="0"/>
        <w:autoSpaceDN w:val="0"/>
        <w:spacing w:line="244" w:lineRule="exact"/>
        <w:ind w:left="360"/>
        <w:rPr>
          <w:rFonts w:cstheme="minorHAnsi"/>
          <w:szCs w:val="20"/>
          <w:lang w:val="en-CA"/>
        </w:rPr>
      </w:pPr>
    </w:p>
    <w:bookmarkEnd w:id="3"/>
    <w:p w14:paraId="7F337C9D" w14:textId="77777777" w:rsidR="008E654B" w:rsidRPr="00FC2211" w:rsidRDefault="008E654B" w:rsidP="008E654B">
      <w:pPr>
        <w:widowControl w:val="0"/>
        <w:autoSpaceDE w:val="0"/>
        <w:autoSpaceDN w:val="0"/>
        <w:spacing w:line="244" w:lineRule="exact"/>
        <w:ind w:left="360"/>
        <w:rPr>
          <w:rFonts w:cstheme="minorHAnsi"/>
          <w:szCs w:val="20"/>
          <w:lang w:val="en-CA"/>
        </w:rPr>
      </w:pPr>
    </w:p>
    <w:p w14:paraId="7540933C" w14:textId="68E6278E" w:rsidR="00482E8F" w:rsidRPr="00FC2211" w:rsidRDefault="00482E8F" w:rsidP="00380756">
      <w:pPr>
        <w:widowControl w:val="0"/>
        <w:autoSpaceDE w:val="0"/>
        <w:autoSpaceDN w:val="0"/>
        <w:spacing w:line="244" w:lineRule="exact"/>
        <w:ind w:left="360"/>
        <w:jc w:val="both"/>
        <w:rPr>
          <w:rFonts w:cstheme="minorHAnsi"/>
          <w:szCs w:val="20"/>
          <w:lang w:val="en-CA"/>
        </w:rPr>
      </w:pPr>
      <w:r w:rsidRPr="00FC2211">
        <w:rPr>
          <w:rFonts w:cstheme="minorHAnsi"/>
          <w:szCs w:val="20"/>
          <w:lang w:val="en-CA"/>
        </w:rPr>
        <w:t>Intangible assets acquire</w:t>
      </w:r>
      <w:r w:rsidR="00664CDA" w:rsidRPr="00FC2211">
        <w:rPr>
          <w:rFonts w:cstheme="minorHAnsi"/>
          <w:szCs w:val="20"/>
          <w:lang w:val="en-CA"/>
        </w:rPr>
        <w:t>d</w:t>
      </w:r>
      <w:r w:rsidRPr="00FC2211">
        <w:rPr>
          <w:rFonts w:cstheme="minorHAnsi"/>
          <w:szCs w:val="20"/>
          <w:lang w:val="en-CA"/>
        </w:rPr>
        <w:t xml:space="preserve"> </w:t>
      </w:r>
      <w:r w:rsidR="00A82940" w:rsidRPr="00FC2211">
        <w:rPr>
          <w:rFonts w:cstheme="minorHAnsi"/>
          <w:szCs w:val="20"/>
          <w:lang w:val="en-CA"/>
        </w:rPr>
        <w:t xml:space="preserve">include domain names, </w:t>
      </w:r>
      <w:r w:rsidR="00B850C4" w:rsidRPr="00FC2211">
        <w:rPr>
          <w:rFonts w:cstheme="minorHAnsi"/>
          <w:szCs w:val="20"/>
          <w:lang w:val="en-CA"/>
        </w:rPr>
        <w:t>websites</w:t>
      </w:r>
      <w:r w:rsidR="00A82940" w:rsidRPr="00FC2211">
        <w:rPr>
          <w:rFonts w:cstheme="minorHAnsi"/>
          <w:szCs w:val="20"/>
          <w:lang w:val="en-CA"/>
        </w:rPr>
        <w:t xml:space="preserve">, social media </w:t>
      </w:r>
      <w:r w:rsidR="008E6FAB" w:rsidRPr="00FC2211">
        <w:rPr>
          <w:rFonts w:cstheme="minorHAnsi"/>
          <w:szCs w:val="20"/>
          <w:lang w:val="en-CA"/>
        </w:rPr>
        <w:t xml:space="preserve">accounts, </w:t>
      </w:r>
      <w:r w:rsidR="00A82940" w:rsidRPr="00FC2211">
        <w:rPr>
          <w:rFonts w:cstheme="minorHAnsi"/>
          <w:szCs w:val="20"/>
          <w:lang w:val="en-CA"/>
        </w:rPr>
        <w:t xml:space="preserve">and customer listings, which </w:t>
      </w:r>
      <w:r w:rsidRPr="00FC2211">
        <w:rPr>
          <w:rFonts w:cstheme="minorHAnsi"/>
          <w:szCs w:val="20"/>
          <w:lang w:val="en-CA"/>
        </w:rPr>
        <w:t xml:space="preserve">are amortized over their estimated useful life of 3 years.  During the </w:t>
      </w:r>
      <w:r w:rsidR="00FB361C">
        <w:rPr>
          <w:rFonts w:cstheme="minorHAnsi"/>
          <w:szCs w:val="20"/>
          <w:lang w:val="en-CA"/>
        </w:rPr>
        <w:t>nine</w:t>
      </w:r>
      <w:r w:rsidR="00FD3799" w:rsidRPr="00FC2211">
        <w:rPr>
          <w:rFonts w:cstheme="minorHAnsi"/>
          <w:szCs w:val="20"/>
          <w:lang w:val="en-CA"/>
        </w:rPr>
        <w:t xml:space="preserve"> months</w:t>
      </w:r>
      <w:r w:rsidRPr="00FC2211">
        <w:rPr>
          <w:rFonts w:cstheme="minorHAnsi"/>
          <w:szCs w:val="20"/>
          <w:lang w:val="en-CA"/>
        </w:rPr>
        <w:t xml:space="preserve"> ended </w:t>
      </w:r>
      <w:r w:rsidR="00FB361C">
        <w:rPr>
          <w:rFonts w:cstheme="minorHAnsi"/>
          <w:szCs w:val="20"/>
          <w:lang w:val="en-CA"/>
        </w:rPr>
        <w:t>March</w:t>
      </w:r>
      <w:r w:rsidR="00A03263" w:rsidRPr="00FC2211">
        <w:rPr>
          <w:rFonts w:cstheme="minorHAnsi"/>
          <w:szCs w:val="20"/>
          <w:lang w:val="en-CA"/>
        </w:rPr>
        <w:t xml:space="preserve"> 31</w:t>
      </w:r>
      <w:r w:rsidR="00664CDA" w:rsidRPr="00FC2211">
        <w:rPr>
          <w:rFonts w:cstheme="minorHAnsi"/>
          <w:szCs w:val="20"/>
          <w:lang w:val="en-CA"/>
        </w:rPr>
        <w:t>, 202</w:t>
      </w:r>
      <w:r w:rsidR="00FB361C">
        <w:rPr>
          <w:rFonts w:cstheme="minorHAnsi"/>
          <w:szCs w:val="20"/>
          <w:lang w:val="en-CA"/>
        </w:rPr>
        <w:t>4</w:t>
      </w:r>
      <w:r w:rsidR="008E6FAB" w:rsidRPr="00FC2211">
        <w:rPr>
          <w:rFonts w:cstheme="minorHAnsi"/>
          <w:szCs w:val="20"/>
          <w:lang w:val="en-CA"/>
        </w:rPr>
        <w:t>,</w:t>
      </w:r>
      <w:r w:rsidR="00664CDA" w:rsidRPr="00FC2211">
        <w:rPr>
          <w:rFonts w:cstheme="minorHAnsi"/>
          <w:szCs w:val="20"/>
          <w:lang w:val="en-CA"/>
        </w:rPr>
        <w:t xml:space="preserve"> the </w:t>
      </w:r>
      <w:r w:rsidR="00A82940" w:rsidRPr="00FC2211">
        <w:rPr>
          <w:rFonts w:cstheme="minorHAnsi"/>
          <w:szCs w:val="20"/>
          <w:lang w:val="en-CA"/>
        </w:rPr>
        <w:t>C</w:t>
      </w:r>
      <w:r w:rsidR="00664CDA" w:rsidRPr="00FC2211">
        <w:rPr>
          <w:rFonts w:cstheme="minorHAnsi"/>
          <w:szCs w:val="20"/>
          <w:lang w:val="en-CA"/>
        </w:rPr>
        <w:t>ompany recognized $</w:t>
      </w:r>
      <w:r w:rsidR="00A03263" w:rsidRPr="00FC2211">
        <w:rPr>
          <w:rFonts w:cstheme="minorHAnsi"/>
          <w:szCs w:val="20"/>
          <w:lang w:val="en-CA"/>
        </w:rPr>
        <w:t>1,</w:t>
      </w:r>
      <w:r w:rsidR="00DA7DEE">
        <w:rPr>
          <w:rFonts w:cstheme="minorHAnsi"/>
          <w:szCs w:val="20"/>
          <w:lang w:val="en-CA"/>
        </w:rPr>
        <w:t>627</w:t>
      </w:r>
      <w:r w:rsidR="007B6D01" w:rsidRPr="00FC2211">
        <w:rPr>
          <w:rFonts w:cstheme="minorHAnsi"/>
          <w:szCs w:val="20"/>
          <w:lang w:val="en-CA"/>
        </w:rPr>
        <w:t xml:space="preserve"> (</w:t>
      </w:r>
      <w:r w:rsidR="00D03363">
        <w:rPr>
          <w:rFonts w:cstheme="minorHAnsi"/>
          <w:szCs w:val="20"/>
          <w:lang w:val="en-CA"/>
        </w:rPr>
        <w:t>March 31, 2023</w:t>
      </w:r>
      <w:r w:rsidR="007B6D01" w:rsidRPr="00FC2211">
        <w:rPr>
          <w:rFonts w:cstheme="minorHAnsi"/>
          <w:szCs w:val="20"/>
          <w:lang w:val="en-CA"/>
        </w:rPr>
        <w:t xml:space="preserve"> - $</w:t>
      </w:r>
      <w:r w:rsidR="00A03263" w:rsidRPr="00FC2211">
        <w:rPr>
          <w:rFonts w:cstheme="minorHAnsi"/>
          <w:szCs w:val="20"/>
          <w:lang w:val="en-CA"/>
        </w:rPr>
        <w:t>1,</w:t>
      </w:r>
      <w:r w:rsidR="00DA7DEE">
        <w:rPr>
          <w:rFonts w:cstheme="minorHAnsi"/>
          <w:szCs w:val="20"/>
          <w:lang w:val="en-CA"/>
        </w:rPr>
        <w:t>627</w:t>
      </w:r>
      <w:r w:rsidR="007B6D01" w:rsidRPr="00FC2211">
        <w:rPr>
          <w:rFonts w:cstheme="minorHAnsi"/>
          <w:szCs w:val="20"/>
          <w:lang w:val="en-CA"/>
        </w:rPr>
        <w:t>)</w:t>
      </w:r>
      <w:r w:rsidR="00664CDA" w:rsidRPr="00FC2211">
        <w:rPr>
          <w:rFonts w:cstheme="minorHAnsi"/>
          <w:szCs w:val="20"/>
          <w:lang w:val="en-CA"/>
        </w:rPr>
        <w:t xml:space="preserve"> in amortization related to the intangible assets.</w:t>
      </w:r>
    </w:p>
    <w:p w14:paraId="495D5CE8" w14:textId="77777777" w:rsidR="00482E8F" w:rsidRPr="00FC2211" w:rsidRDefault="00482E8F" w:rsidP="008E654B">
      <w:pPr>
        <w:widowControl w:val="0"/>
        <w:autoSpaceDE w:val="0"/>
        <w:autoSpaceDN w:val="0"/>
        <w:spacing w:line="244" w:lineRule="exact"/>
        <w:ind w:left="360"/>
        <w:rPr>
          <w:rFonts w:cstheme="minorHAnsi"/>
          <w:szCs w:val="20"/>
          <w:lang w:val="en-CA"/>
        </w:rPr>
      </w:pPr>
    </w:p>
    <w:p w14:paraId="52DC58CF" w14:textId="77777777" w:rsidR="008E654B" w:rsidRPr="00FC2211" w:rsidRDefault="008E654B" w:rsidP="006D684A">
      <w:pPr>
        <w:tabs>
          <w:tab w:val="left" w:pos="360"/>
        </w:tabs>
        <w:ind w:left="360" w:right="630"/>
        <w:rPr>
          <w:rFonts w:eastAsia="Calibri" w:cstheme="minorHAnsi"/>
          <w:szCs w:val="20"/>
        </w:rPr>
      </w:pPr>
    </w:p>
    <w:p w14:paraId="6A47ED24" w14:textId="77777777" w:rsidR="00365A7E" w:rsidRPr="00FC2211" w:rsidRDefault="008E654B" w:rsidP="00365A7E">
      <w:pPr>
        <w:pStyle w:val="Heading1"/>
        <w:spacing w:before="0"/>
        <w:rPr>
          <w:rFonts w:cstheme="minorHAnsi"/>
          <w:szCs w:val="20"/>
          <w:lang w:val="en-CA"/>
        </w:rPr>
      </w:pPr>
      <w:r w:rsidRPr="00FC2211">
        <w:rPr>
          <w:rFonts w:cstheme="minorHAnsi"/>
          <w:szCs w:val="20"/>
          <w:lang w:val="en-GB"/>
        </w:rPr>
        <w:t>5</w:t>
      </w:r>
      <w:r w:rsidR="00365A7E" w:rsidRPr="00FC2211">
        <w:rPr>
          <w:rFonts w:cstheme="minorHAnsi"/>
          <w:szCs w:val="20"/>
          <w:lang w:val="en-GB"/>
        </w:rPr>
        <w:t xml:space="preserve">.   </w:t>
      </w:r>
      <w:r w:rsidR="00365A7E" w:rsidRPr="00FC2211">
        <w:rPr>
          <w:rFonts w:cstheme="minorHAnsi"/>
          <w:szCs w:val="20"/>
        </w:rPr>
        <w:t>ACC</w:t>
      </w:r>
      <w:r w:rsidR="00406DA6" w:rsidRPr="00FC2211">
        <w:rPr>
          <w:rFonts w:cstheme="minorHAnsi"/>
          <w:szCs w:val="20"/>
        </w:rPr>
        <w:t>O</w:t>
      </w:r>
      <w:r w:rsidR="00365A7E" w:rsidRPr="00FC2211">
        <w:rPr>
          <w:rFonts w:cstheme="minorHAnsi"/>
          <w:szCs w:val="20"/>
        </w:rPr>
        <w:t>UNTS RECEIVABLE</w:t>
      </w:r>
    </w:p>
    <w:p w14:paraId="64616627" w14:textId="77777777" w:rsidR="00365A7E" w:rsidRPr="00FC2211" w:rsidRDefault="00365A7E" w:rsidP="007335A5">
      <w:pPr>
        <w:autoSpaceDE w:val="0"/>
        <w:autoSpaceDN w:val="0"/>
        <w:adjustRightInd w:val="0"/>
        <w:rPr>
          <w:rFonts w:cstheme="minorHAnsi"/>
          <w:szCs w:val="20"/>
          <w:lang w:val="en-CA"/>
        </w:rPr>
      </w:pPr>
    </w:p>
    <w:p w14:paraId="403CDF73" w14:textId="241494FC" w:rsidR="00E97C9D" w:rsidRPr="00FC2211" w:rsidRDefault="00C8286E" w:rsidP="00D93FBA">
      <w:pPr>
        <w:ind w:left="284" w:firstLine="1"/>
        <w:jc w:val="both"/>
        <w:rPr>
          <w:rFonts w:cstheme="minorHAnsi"/>
          <w:szCs w:val="20"/>
          <w:lang w:val="en-CA"/>
        </w:rPr>
      </w:pPr>
      <w:r w:rsidRPr="00FC2211">
        <w:rPr>
          <w:rFonts w:cstheme="minorHAnsi"/>
          <w:szCs w:val="20"/>
          <w:lang w:val="en-CA"/>
        </w:rPr>
        <w:t xml:space="preserve">Accounts receivable as at </w:t>
      </w:r>
      <w:r w:rsidR="00B128F1">
        <w:rPr>
          <w:rFonts w:cstheme="minorHAnsi"/>
          <w:szCs w:val="20"/>
          <w:lang w:val="en-CA"/>
        </w:rPr>
        <w:t>March 31, 2024</w:t>
      </w:r>
      <w:r w:rsidR="00D93FBA" w:rsidRPr="00FC2211">
        <w:rPr>
          <w:rFonts w:cstheme="minorHAnsi"/>
          <w:szCs w:val="20"/>
          <w:lang w:val="en-CA"/>
        </w:rPr>
        <w:t>,</w:t>
      </w:r>
      <w:r w:rsidR="00FB780D" w:rsidRPr="00FC2211">
        <w:rPr>
          <w:rFonts w:cstheme="minorHAnsi"/>
          <w:szCs w:val="20"/>
          <w:lang w:val="en-CA"/>
        </w:rPr>
        <w:t xml:space="preserve"> </w:t>
      </w:r>
      <w:r w:rsidRPr="00FC2211">
        <w:rPr>
          <w:rFonts w:cstheme="minorHAnsi"/>
          <w:szCs w:val="20"/>
          <w:lang w:val="en-CA"/>
        </w:rPr>
        <w:t>amounted to $</w:t>
      </w:r>
      <w:r w:rsidR="00A04899">
        <w:rPr>
          <w:rFonts w:cstheme="minorHAnsi"/>
          <w:szCs w:val="20"/>
          <w:lang w:val="en-CA"/>
        </w:rPr>
        <w:t>145,729</w:t>
      </w:r>
      <w:r w:rsidR="007B608B" w:rsidRPr="00FC2211">
        <w:rPr>
          <w:rFonts w:cstheme="minorHAnsi"/>
          <w:szCs w:val="20"/>
          <w:lang w:val="en-CA"/>
        </w:rPr>
        <w:t xml:space="preserve"> </w:t>
      </w:r>
      <w:r w:rsidRPr="00FC2211">
        <w:rPr>
          <w:rFonts w:cstheme="minorHAnsi"/>
          <w:szCs w:val="20"/>
          <w:lang w:val="en-CA"/>
        </w:rPr>
        <w:t>(June 30, 202</w:t>
      </w:r>
      <w:r w:rsidR="00136E79" w:rsidRPr="00FC2211">
        <w:rPr>
          <w:rFonts w:cstheme="minorHAnsi"/>
          <w:szCs w:val="20"/>
          <w:lang w:val="en-CA"/>
        </w:rPr>
        <w:t>3</w:t>
      </w:r>
      <w:r w:rsidRPr="00FC2211">
        <w:rPr>
          <w:rFonts w:cstheme="minorHAnsi"/>
          <w:szCs w:val="20"/>
          <w:lang w:val="en-CA"/>
        </w:rPr>
        <w:t xml:space="preserve"> – $</w:t>
      </w:r>
      <w:r w:rsidR="00136E79" w:rsidRPr="00FC2211">
        <w:rPr>
          <w:rFonts w:cstheme="minorHAnsi"/>
          <w:szCs w:val="20"/>
          <w:lang w:val="en-CA"/>
        </w:rPr>
        <w:t>252,599</w:t>
      </w:r>
      <w:r w:rsidRPr="00FC2211">
        <w:rPr>
          <w:rFonts w:cstheme="minorHAnsi"/>
          <w:szCs w:val="20"/>
          <w:lang w:val="en-CA"/>
        </w:rPr>
        <w:t>).</w:t>
      </w:r>
      <w:r w:rsidR="00413970" w:rsidRPr="00FC2211">
        <w:rPr>
          <w:rFonts w:cstheme="minorHAnsi"/>
          <w:szCs w:val="20"/>
          <w:lang w:val="en-CA"/>
        </w:rPr>
        <w:t xml:space="preserve"> </w:t>
      </w:r>
      <w:r w:rsidR="00930193" w:rsidRPr="00FC2211">
        <w:rPr>
          <w:rFonts w:cstheme="minorHAnsi"/>
          <w:szCs w:val="20"/>
          <w:lang w:val="en-CA"/>
        </w:rPr>
        <w:t xml:space="preserve">The Company generally does not hold any collateral as security for </w:t>
      </w:r>
      <w:r w:rsidR="00737884" w:rsidRPr="00FC2211">
        <w:rPr>
          <w:rFonts w:cstheme="minorHAnsi"/>
          <w:szCs w:val="20"/>
          <w:lang w:val="en-CA"/>
        </w:rPr>
        <w:t xml:space="preserve">accounts </w:t>
      </w:r>
      <w:r w:rsidR="00930193" w:rsidRPr="00FC2211">
        <w:rPr>
          <w:rFonts w:cstheme="minorHAnsi"/>
          <w:szCs w:val="20"/>
          <w:lang w:val="en-CA"/>
        </w:rPr>
        <w:t>receivables.</w:t>
      </w:r>
      <w:r w:rsidR="004E59F2" w:rsidRPr="00FC2211">
        <w:rPr>
          <w:rFonts w:cstheme="minorHAnsi"/>
          <w:szCs w:val="20"/>
          <w:lang w:val="en-CA"/>
        </w:rPr>
        <w:t xml:space="preserve"> </w:t>
      </w:r>
      <w:r w:rsidR="009910BD" w:rsidRPr="00FC2211">
        <w:rPr>
          <w:rFonts w:cstheme="minorHAnsi"/>
          <w:szCs w:val="20"/>
          <w:lang w:val="en-CA"/>
        </w:rPr>
        <w:t xml:space="preserve">During the </w:t>
      </w:r>
      <w:r w:rsidR="004831AD">
        <w:rPr>
          <w:rFonts w:cstheme="minorHAnsi"/>
          <w:szCs w:val="20"/>
          <w:lang w:val="en-CA"/>
        </w:rPr>
        <w:t>nine</w:t>
      </w:r>
      <w:r w:rsidR="00C76AF7" w:rsidRPr="00FC2211">
        <w:rPr>
          <w:rFonts w:cstheme="minorHAnsi"/>
          <w:szCs w:val="20"/>
          <w:lang w:val="en-CA"/>
        </w:rPr>
        <w:t xml:space="preserve"> months</w:t>
      </w:r>
      <w:r w:rsidR="00417438" w:rsidRPr="00FC2211">
        <w:rPr>
          <w:rFonts w:cstheme="minorHAnsi"/>
          <w:szCs w:val="20"/>
          <w:lang w:val="en-CA"/>
        </w:rPr>
        <w:t xml:space="preserve"> ended</w:t>
      </w:r>
      <w:r w:rsidRPr="00FC2211">
        <w:rPr>
          <w:rFonts w:cstheme="minorHAnsi"/>
          <w:szCs w:val="20"/>
          <w:lang w:val="en-CA"/>
        </w:rPr>
        <w:t xml:space="preserve"> </w:t>
      </w:r>
      <w:r w:rsidR="004831AD">
        <w:rPr>
          <w:rFonts w:cstheme="minorHAnsi"/>
          <w:szCs w:val="20"/>
          <w:lang w:val="en-CA"/>
        </w:rPr>
        <w:t>March 31, 2024</w:t>
      </w:r>
      <w:r w:rsidR="00D93FBA" w:rsidRPr="00FC2211">
        <w:rPr>
          <w:rFonts w:cstheme="minorHAnsi"/>
          <w:szCs w:val="20"/>
          <w:lang w:val="en-CA"/>
        </w:rPr>
        <w:t>,</w:t>
      </w:r>
      <w:r w:rsidR="00FB780D" w:rsidRPr="00FC2211">
        <w:rPr>
          <w:rFonts w:cstheme="minorHAnsi"/>
          <w:szCs w:val="20"/>
          <w:lang w:val="en-CA"/>
        </w:rPr>
        <w:t xml:space="preserve"> </w:t>
      </w:r>
      <w:r w:rsidR="000D67E8" w:rsidRPr="00FC2211">
        <w:rPr>
          <w:rFonts w:cstheme="minorHAnsi"/>
          <w:szCs w:val="20"/>
          <w:lang w:val="en-CA"/>
        </w:rPr>
        <w:t>the Company recognized expected credit losses of $</w:t>
      </w:r>
      <w:r w:rsidR="00D4251B">
        <w:rPr>
          <w:rFonts w:cstheme="minorHAnsi"/>
          <w:szCs w:val="20"/>
          <w:lang w:val="en-CA"/>
        </w:rPr>
        <w:t>6,614</w:t>
      </w:r>
      <w:r w:rsidR="0088301B" w:rsidRPr="00FC2211">
        <w:rPr>
          <w:rFonts w:cstheme="minorHAnsi"/>
          <w:szCs w:val="20"/>
          <w:lang w:val="en-CA"/>
        </w:rPr>
        <w:t>,</w:t>
      </w:r>
      <w:r w:rsidR="003A35C6" w:rsidRPr="00FC2211">
        <w:rPr>
          <w:rFonts w:cstheme="minorHAnsi"/>
          <w:szCs w:val="20"/>
          <w:lang w:val="en-CA"/>
        </w:rPr>
        <w:t xml:space="preserve"> </w:t>
      </w:r>
      <w:r w:rsidRPr="00FC2211">
        <w:rPr>
          <w:rFonts w:cstheme="minorHAnsi"/>
          <w:szCs w:val="20"/>
          <w:lang w:val="en-CA"/>
        </w:rPr>
        <w:t>(</w:t>
      </w:r>
      <w:r w:rsidR="00FA5459">
        <w:rPr>
          <w:rFonts w:cstheme="minorHAnsi"/>
          <w:szCs w:val="20"/>
          <w:lang w:val="en-CA"/>
        </w:rPr>
        <w:t>March 31, 2023</w:t>
      </w:r>
      <w:r w:rsidRPr="00FC2211">
        <w:rPr>
          <w:rFonts w:cstheme="minorHAnsi"/>
          <w:szCs w:val="20"/>
          <w:lang w:val="en-CA"/>
        </w:rPr>
        <w:t xml:space="preserve"> </w:t>
      </w:r>
      <w:r w:rsidR="00242369" w:rsidRPr="00FC2211">
        <w:rPr>
          <w:rFonts w:cstheme="minorHAnsi"/>
          <w:szCs w:val="20"/>
          <w:lang w:val="en-CA"/>
        </w:rPr>
        <w:t>- $</w:t>
      </w:r>
      <w:r w:rsidR="00542A11" w:rsidRPr="00FC2211">
        <w:rPr>
          <w:rFonts w:cstheme="minorHAnsi"/>
          <w:szCs w:val="20"/>
          <w:lang w:val="en-CA"/>
        </w:rPr>
        <w:t>Nil</w:t>
      </w:r>
      <w:r w:rsidR="007502C7" w:rsidRPr="00FC2211">
        <w:rPr>
          <w:rFonts w:cstheme="minorHAnsi"/>
          <w:szCs w:val="20"/>
          <w:lang w:val="en-CA"/>
        </w:rPr>
        <w:t>).</w:t>
      </w:r>
      <w:r w:rsidR="00664CDA" w:rsidRPr="00FC2211">
        <w:rPr>
          <w:rFonts w:cstheme="minorHAnsi"/>
          <w:szCs w:val="20"/>
          <w:lang w:val="en-CA"/>
        </w:rPr>
        <w:t xml:space="preserve"> As of</w:t>
      </w:r>
      <w:r w:rsidR="00003766" w:rsidRPr="00FC2211">
        <w:rPr>
          <w:rFonts w:cstheme="minorHAnsi"/>
          <w:szCs w:val="20"/>
          <w:lang w:val="en-CA"/>
        </w:rPr>
        <w:t xml:space="preserve"> </w:t>
      </w:r>
      <w:r w:rsidR="00FA5459">
        <w:rPr>
          <w:rFonts w:cstheme="minorHAnsi"/>
          <w:szCs w:val="20"/>
          <w:lang w:val="en-CA"/>
        </w:rPr>
        <w:t>March 31</w:t>
      </w:r>
      <w:r w:rsidR="00664CDA" w:rsidRPr="00FC2211">
        <w:rPr>
          <w:rFonts w:cstheme="minorHAnsi"/>
          <w:szCs w:val="20"/>
          <w:lang w:val="en-CA"/>
        </w:rPr>
        <w:t>, 202</w:t>
      </w:r>
      <w:r w:rsidR="00FA5459">
        <w:rPr>
          <w:rFonts w:cstheme="minorHAnsi"/>
          <w:szCs w:val="20"/>
          <w:lang w:val="en-CA"/>
        </w:rPr>
        <w:t>4</w:t>
      </w:r>
      <w:r w:rsidR="00664CDA" w:rsidRPr="00FC2211">
        <w:rPr>
          <w:rFonts w:cstheme="minorHAnsi"/>
          <w:szCs w:val="20"/>
          <w:lang w:val="en-CA"/>
        </w:rPr>
        <w:t xml:space="preserve">, </w:t>
      </w:r>
      <w:r w:rsidR="003A35C6" w:rsidRPr="00FC2211">
        <w:rPr>
          <w:rFonts w:cstheme="minorHAnsi"/>
          <w:szCs w:val="20"/>
          <w:lang w:val="en-CA"/>
        </w:rPr>
        <w:t>cumulative expected credit losses</w:t>
      </w:r>
      <w:r w:rsidR="00664CDA" w:rsidRPr="00FC2211">
        <w:rPr>
          <w:rFonts w:cstheme="minorHAnsi"/>
          <w:szCs w:val="20"/>
          <w:lang w:val="en-CA"/>
        </w:rPr>
        <w:t xml:space="preserve"> </w:t>
      </w:r>
      <w:r w:rsidR="000D5297" w:rsidRPr="00FC2211">
        <w:rPr>
          <w:rFonts w:cstheme="minorHAnsi"/>
          <w:szCs w:val="20"/>
          <w:lang w:val="en-CA"/>
        </w:rPr>
        <w:t xml:space="preserve">totalled </w:t>
      </w:r>
      <w:r w:rsidR="00664CDA" w:rsidRPr="00FC2211">
        <w:rPr>
          <w:rFonts w:cstheme="minorHAnsi"/>
          <w:szCs w:val="20"/>
          <w:lang w:val="en-CA"/>
        </w:rPr>
        <w:t>$</w:t>
      </w:r>
      <w:r w:rsidR="00393B89">
        <w:rPr>
          <w:rFonts w:cstheme="minorHAnsi"/>
          <w:szCs w:val="20"/>
          <w:lang w:val="en-CA"/>
        </w:rPr>
        <w:t>17,</w:t>
      </w:r>
      <w:r w:rsidR="00D4251B">
        <w:rPr>
          <w:rFonts w:cstheme="minorHAnsi"/>
          <w:szCs w:val="20"/>
          <w:lang w:val="en-CA"/>
        </w:rPr>
        <w:t>062</w:t>
      </w:r>
      <w:r w:rsidR="00664CDA" w:rsidRPr="00FC2211">
        <w:rPr>
          <w:rFonts w:cstheme="minorHAnsi"/>
          <w:szCs w:val="20"/>
          <w:lang w:val="en-CA"/>
        </w:rPr>
        <w:t xml:space="preserve"> (</w:t>
      </w:r>
      <w:r w:rsidR="00693259" w:rsidRPr="00FC2211">
        <w:rPr>
          <w:rFonts w:cstheme="minorHAnsi"/>
          <w:szCs w:val="20"/>
          <w:lang w:val="en-CA"/>
        </w:rPr>
        <w:t xml:space="preserve">June 30, </w:t>
      </w:r>
      <w:r w:rsidR="00664CDA" w:rsidRPr="00FC2211">
        <w:rPr>
          <w:rFonts w:cstheme="minorHAnsi"/>
          <w:szCs w:val="20"/>
          <w:lang w:val="en-CA"/>
        </w:rPr>
        <w:t>202</w:t>
      </w:r>
      <w:r w:rsidR="00693259" w:rsidRPr="00FC2211">
        <w:rPr>
          <w:rFonts w:cstheme="minorHAnsi"/>
          <w:szCs w:val="20"/>
          <w:lang w:val="en-CA"/>
        </w:rPr>
        <w:t>3</w:t>
      </w:r>
      <w:r w:rsidR="00664CDA" w:rsidRPr="00FC2211">
        <w:rPr>
          <w:rFonts w:cstheme="minorHAnsi"/>
          <w:szCs w:val="20"/>
          <w:lang w:val="en-CA"/>
        </w:rPr>
        <w:t xml:space="preserve"> - $</w:t>
      </w:r>
      <w:r w:rsidR="00BF5A7F" w:rsidRPr="00FC2211">
        <w:rPr>
          <w:rFonts w:cstheme="minorHAnsi"/>
          <w:szCs w:val="20"/>
          <w:lang w:val="en-CA"/>
        </w:rPr>
        <w:t>10,448</w:t>
      </w:r>
      <w:r w:rsidR="00664CDA" w:rsidRPr="00FC2211">
        <w:rPr>
          <w:rFonts w:cstheme="minorHAnsi"/>
          <w:szCs w:val="20"/>
          <w:lang w:val="en-CA"/>
        </w:rPr>
        <w:t>).</w:t>
      </w:r>
    </w:p>
    <w:p w14:paraId="0798CB7A" w14:textId="1ED082F6" w:rsidR="009E0238" w:rsidRPr="00FC2211" w:rsidRDefault="009E0238" w:rsidP="00D93FBA">
      <w:pPr>
        <w:ind w:left="284" w:firstLine="1"/>
        <w:jc w:val="both"/>
        <w:rPr>
          <w:rFonts w:cstheme="minorHAnsi"/>
          <w:szCs w:val="20"/>
          <w:lang w:val="en-CA"/>
        </w:rPr>
      </w:pPr>
      <w:r w:rsidRPr="00FC2211">
        <w:rPr>
          <w:rFonts w:cstheme="minorHAnsi"/>
          <w:szCs w:val="20"/>
          <w:lang w:val="en-CA"/>
        </w:rPr>
        <w:br w:type="page"/>
      </w:r>
    </w:p>
    <w:p w14:paraId="461811B7" w14:textId="77777777" w:rsidR="00365A7E" w:rsidRPr="00FC2211" w:rsidRDefault="008E654B" w:rsidP="00643302">
      <w:pPr>
        <w:pStyle w:val="Heading1"/>
        <w:spacing w:before="0"/>
        <w:rPr>
          <w:rFonts w:cstheme="minorHAnsi"/>
          <w:szCs w:val="20"/>
          <w:lang w:val="en-CA"/>
        </w:rPr>
      </w:pPr>
      <w:r w:rsidRPr="00FC2211">
        <w:rPr>
          <w:rFonts w:cstheme="minorHAnsi"/>
          <w:szCs w:val="20"/>
          <w:lang w:val="en-GB"/>
        </w:rPr>
        <w:lastRenderedPageBreak/>
        <w:t>6</w:t>
      </w:r>
      <w:r w:rsidR="00365A7E" w:rsidRPr="00FC2211">
        <w:rPr>
          <w:rFonts w:cstheme="minorHAnsi"/>
          <w:szCs w:val="20"/>
          <w:lang w:val="en-GB"/>
        </w:rPr>
        <w:t xml:space="preserve">.   </w:t>
      </w:r>
      <w:r w:rsidR="00365A7E" w:rsidRPr="00FC2211">
        <w:rPr>
          <w:rFonts w:cstheme="minorHAnsi"/>
          <w:szCs w:val="20"/>
        </w:rPr>
        <w:t>INVENTORY</w:t>
      </w:r>
    </w:p>
    <w:p w14:paraId="246C7AAA" w14:textId="77777777" w:rsidR="00365A7E" w:rsidRPr="00FC2211" w:rsidRDefault="00365A7E" w:rsidP="00643302">
      <w:pPr>
        <w:ind w:firstLine="1"/>
        <w:rPr>
          <w:rFonts w:cstheme="minorHAnsi"/>
          <w:szCs w:val="20"/>
          <w:lang w:val="en-CA"/>
        </w:rPr>
      </w:pPr>
    </w:p>
    <w:p w14:paraId="4FF0E4D2" w14:textId="639D0C9C" w:rsidR="00A82940" w:rsidRPr="00FC2211" w:rsidRDefault="00457AFE" w:rsidP="00D14AB7">
      <w:pPr>
        <w:ind w:left="284"/>
        <w:jc w:val="both"/>
        <w:rPr>
          <w:rFonts w:cstheme="minorHAnsi"/>
          <w:bCs/>
          <w:szCs w:val="20"/>
          <w:lang w:val="en-CA"/>
        </w:rPr>
      </w:pPr>
      <w:r w:rsidRPr="00FC2211">
        <w:rPr>
          <w:rFonts w:cstheme="minorHAnsi"/>
          <w:bCs/>
          <w:szCs w:val="20"/>
          <w:lang w:val="en-CA"/>
        </w:rPr>
        <w:t xml:space="preserve">Inventory </w:t>
      </w:r>
      <w:r w:rsidR="00A37C27" w:rsidRPr="00FC2211">
        <w:rPr>
          <w:rFonts w:cstheme="minorHAnsi"/>
          <w:bCs/>
          <w:szCs w:val="20"/>
          <w:lang w:val="en-CA"/>
        </w:rPr>
        <w:t xml:space="preserve">of </w:t>
      </w:r>
      <w:r w:rsidR="00E53D33" w:rsidRPr="00FC2211">
        <w:rPr>
          <w:rFonts w:cstheme="minorHAnsi"/>
          <w:bCs/>
          <w:szCs w:val="20"/>
          <w:lang w:val="en-CA"/>
        </w:rPr>
        <w:t>f</w:t>
      </w:r>
      <w:r w:rsidR="00A37C27" w:rsidRPr="00FC2211">
        <w:rPr>
          <w:rFonts w:cstheme="minorHAnsi"/>
          <w:bCs/>
          <w:szCs w:val="20"/>
          <w:lang w:val="en-CA"/>
        </w:rPr>
        <w:t xml:space="preserve">inished </w:t>
      </w:r>
      <w:r w:rsidR="007D5F8B" w:rsidRPr="00FC2211">
        <w:rPr>
          <w:rFonts w:cstheme="minorHAnsi"/>
          <w:bCs/>
          <w:szCs w:val="20"/>
          <w:lang w:val="en-CA"/>
        </w:rPr>
        <w:t>goods held</w:t>
      </w:r>
      <w:r w:rsidRPr="00FC2211">
        <w:rPr>
          <w:rFonts w:cstheme="minorHAnsi"/>
          <w:bCs/>
          <w:szCs w:val="20"/>
          <w:lang w:val="en-CA"/>
        </w:rPr>
        <w:t xml:space="preserve"> by the </w:t>
      </w:r>
      <w:r w:rsidR="00123CD1" w:rsidRPr="00FC2211">
        <w:rPr>
          <w:rFonts w:cstheme="minorHAnsi"/>
          <w:bCs/>
          <w:szCs w:val="20"/>
          <w:lang w:val="en-CA"/>
        </w:rPr>
        <w:t>C</w:t>
      </w:r>
      <w:r w:rsidRPr="00FC2211">
        <w:rPr>
          <w:rFonts w:cstheme="minorHAnsi"/>
          <w:bCs/>
          <w:szCs w:val="20"/>
          <w:lang w:val="en-CA"/>
        </w:rPr>
        <w:t>ompany</w:t>
      </w:r>
      <w:r w:rsidR="006B0C91" w:rsidRPr="00FC2211">
        <w:rPr>
          <w:rFonts w:cstheme="minorHAnsi"/>
          <w:bCs/>
          <w:szCs w:val="20"/>
          <w:lang w:val="en-CA"/>
        </w:rPr>
        <w:t xml:space="preserve"> as</w:t>
      </w:r>
      <w:r w:rsidRPr="00FC2211">
        <w:rPr>
          <w:rFonts w:cstheme="minorHAnsi"/>
          <w:bCs/>
          <w:szCs w:val="20"/>
          <w:lang w:val="en-CA"/>
        </w:rPr>
        <w:t xml:space="preserve"> </w:t>
      </w:r>
      <w:r w:rsidR="00D93FBA" w:rsidRPr="00FC2211">
        <w:rPr>
          <w:rFonts w:cstheme="minorHAnsi"/>
          <w:bCs/>
          <w:szCs w:val="20"/>
          <w:lang w:val="en-CA"/>
        </w:rPr>
        <w:t>at</w:t>
      </w:r>
      <w:r w:rsidR="0083715F" w:rsidRPr="00FC2211">
        <w:rPr>
          <w:rFonts w:cstheme="minorHAnsi"/>
          <w:bCs/>
          <w:szCs w:val="20"/>
          <w:lang w:val="en-CA"/>
        </w:rPr>
        <w:t xml:space="preserve"> </w:t>
      </w:r>
      <w:r w:rsidR="00541880">
        <w:rPr>
          <w:rFonts w:cstheme="minorHAnsi"/>
          <w:bCs/>
          <w:szCs w:val="20"/>
          <w:lang w:val="en-CA"/>
        </w:rPr>
        <w:t>March 31, 2024</w:t>
      </w:r>
      <w:r w:rsidR="00D93FBA" w:rsidRPr="00FC2211">
        <w:rPr>
          <w:rFonts w:cstheme="minorHAnsi"/>
          <w:bCs/>
          <w:szCs w:val="20"/>
          <w:lang w:val="en-CA"/>
        </w:rPr>
        <w:t>,</w:t>
      </w:r>
      <w:r w:rsidR="00FB780D" w:rsidRPr="00FC2211">
        <w:rPr>
          <w:rFonts w:cstheme="minorHAnsi"/>
          <w:bCs/>
          <w:szCs w:val="20"/>
          <w:lang w:val="en-CA"/>
        </w:rPr>
        <w:t xml:space="preserve"> </w:t>
      </w:r>
      <w:r w:rsidRPr="00FC2211">
        <w:rPr>
          <w:rFonts w:cstheme="minorHAnsi"/>
          <w:bCs/>
          <w:szCs w:val="20"/>
          <w:lang w:val="en-CA"/>
        </w:rPr>
        <w:t>was $</w:t>
      </w:r>
      <w:r w:rsidR="00115064">
        <w:rPr>
          <w:rFonts w:cstheme="minorHAnsi"/>
          <w:bCs/>
          <w:szCs w:val="20"/>
          <w:lang w:val="en-CA"/>
        </w:rPr>
        <w:t>2</w:t>
      </w:r>
      <w:r w:rsidR="00EB679F">
        <w:rPr>
          <w:rFonts w:cstheme="minorHAnsi"/>
          <w:bCs/>
          <w:szCs w:val="20"/>
          <w:lang w:val="en-CA"/>
        </w:rPr>
        <w:t>1</w:t>
      </w:r>
      <w:r w:rsidR="00115064">
        <w:rPr>
          <w:rFonts w:cstheme="minorHAnsi"/>
          <w:bCs/>
          <w:szCs w:val="20"/>
          <w:lang w:val="en-CA"/>
        </w:rPr>
        <w:t>4,</w:t>
      </w:r>
      <w:r w:rsidR="00EB679F">
        <w:rPr>
          <w:rFonts w:cstheme="minorHAnsi"/>
          <w:bCs/>
          <w:szCs w:val="20"/>
          <w:lang w:val="en-CA"/>
        </w:rPr>
        <w:t>800</w:t>
      </w:r>
      <w:r w:rsidR="00A37C27" w:rsidRPr="00FC2211">
        <w:rPr>
          <w:rFonts w:cstheme="minorHAnsi"/>
          <w:bCs/>
          <w:szCs w:val="20"/>
          <w:lang w:val="en-CA"/>
        </w:rPr>
        <w:t xml:space="preserve"> </w:t>
      </w:r>
      <w:r w:rsidR="006B0C91" w:rsidRPr="00FC2211">
        <w:rPr>
          <w:rFonts w:cstheme="minorHAnsi"/>
          <w:bCs/>
          <w:szCs w:val="20"/>
          <w:lang w:val="en-CA"/>
        </w:rPr>
        <w:t>(</w:t>
      </w:r>
      <w:r w:rsidR="00EC0240" w:rsidRPr="00FC2211">
        <w:rPr>
          <w:rFonts w:cstheme="minorHAnsi"/>
          <w:bCs/>
          <w:szCs w:val="20"/>
          <w:lang w:val="en-CA"/>
        </w:rPr>
        <w:t>June 30, 202</w:t>
      </w:r>
      <w:r w:rsidR="005149EB" w:rsidRPr="00FC2211">
        <w:rPr>
          <w:rFonts w:cstheme="minorHAnsi"/>
          <w:bCs/>
          <w:szCs w:val="20"/>
          <w:lang w:val="en-CA"/>
        </w:rPr>
        <w:t>3</w:t>
      </w:r>
      <w:r w:rsidR="00A37C27" w:rsidRPr="00FC2211">
        <w:rPr>
          <w:rFonts w:cstheme="minorHAnsi"/>
          <w:bCs/>
          <w:szCs w:val="20"/>
          <w:lang w:val="en-CA"/>
        </w:rPr>
        <w:t xml:space="preserve"> - $</w:t>
      </w:r>
      <w:r w:rsidR="005149EB" w:rsidRPr="00FC2211">
        <w:rPr>
          <w:rFonts w:cstheme="minorHAnsi"/>
          <w:bCs/>
          <w:szCs w:val="20"/>
          <w:lang w:val="en-CA"/>
        </w:rPr>
        <w:t>263,962</w:t>
      </w:r>
      <w:r w:rsidR="00A37C27" w:rsidRPr="00FC2211">
        <w:rPr>
          <w:rFonts w:cstheme="minorHAnsi"/>
          <w:bCs/>
          <w:szCs w:val="20"/>
          <w:lang w:val="en-CA"/>
        </w:rPr>
        <w:t>).</w:t>
      </w:r>
      <w:r w:rsidR="00E93EA5" w:rsidRPr="00FC2211">
        <w:rPr>
          <w:rFonts w:cstheme="minorHAnsi"/>
          <w:bCs/>
          <w:szCs w:val="20"/>
          <w:lang w:val="en-CA"/>
        </w:rPr>
        <w:t xml:space="preserve">  </w:t>
      </w:r>
      <w:r w:rsidR="00504D82" w:rsidRPr="00FC2211">
        <w:rPr>
          <w:rFonts w:cstheme="minorHAnsi"/>
          <w:bCs/>
          <w:szCs w:val="20"/>
          <w:lang w:val="en-CA"/>
        </w:rPr>
        <w:t>Finished goods i</w:t>
      </w:r>
      <w:r w:rsidR="00E93EA5" w:rsidRPr="00FC2211">
        <w:rPr>
          <w:rFonts w:cstheme="minorHAnsi"/>
          <w:bCs/>
          <w:szCs w:val="20"/>
          <w:lang w:val="en-CA"/>
        </w:rPr>
        <w:t xml:space="preserve">nventory consists of </w:t>
      </w:r>
      <w:r w:rsidR="00FF6F4B" w:rsidRPr="00FC2211">
        <w:rPr>
          <w:rFonts w:cstheme="minorHAnsi"/>
          <w:bCs/>
          <w:szCs w:val="20"/>
          <w:lang w:val="en-CA"/>
        </w:rPr>
        <w:t>EAS</w:t>
      </w:r>
      <w:r w:rsidR="00E93EA5" w:rsidRPr="00FC2211">
        <w:rPr>
          <w:rFonts w:cstheme="minorHAnsi"/>
          <w:bCs/>
          <w:szCs w:val="20"/>
          <w:lang w:val="en-CA"/>
        </w:rPr>
        <w:t xml:space="preserve"> products held for resale.  </w:t>
      </w:r>
      <w:r w:rsidR="00367A29" w:rsidRPr="00FC2211">
        <w:rPr>
          <w:rFonts w:cstheme="minorHAnsi"/>
          <w:bCs/>
          <w:szCs w:val="20"/>
          <w:lang w:val="en-CA"/>
        </w:rPr>
        <w:t xml:space="preserve">During the </w:t>
      </w:r>
      <w:r w:rsidR="00115064">
        <w:rPr>
          <w:rFonts w:cstheme="minorHAnsi"/>
          <w:bCs/>
          <w:szCs w:val="20"/>
          <w:lang w:val="en-CA"/>
        </w:rPr>
        <w:t>nine</w:t>
      </w:r>
      <w:r w:rsidR="00367A29" w:rsidRPr="00FC2211">
        <w:rPr>
          <w:rFonts w:cstheme="minorHAnsi"/>
          <w:bCs/>
          <w:szCs w:val="20"/>
          <w:lang w:val="en-CA"/>
        </w:rPr>
        <w:t xml:space="preserve"> months ended </w:t>
      </w:r>
      <w:r w:rsidR="00115064">
        <w:rPr>
          <w:rFonts w:cstheme="minorHAnsi"/>
          <w:bCs/>
          <w:szCs w:val="20"/>
          <w:lang w:val="en-CA"/>
        </w:rPr>
        <w:t xml:space="preserve">March </w:t>
      </w:r>
      <w:r w:rsidR="00367A29" w:rsidRPr="00FC2211">
        <w:rPr>
          <w:rFonts w:cstheme="minorHAnsi"/>
          <w:bCs/>
          <w:szCs w:val="20"/>
          <w:lang w:val="en-CA"/>
        </w:rPr>
        <w:t>3</w:t>
      </w:r>
      <w:r w:rsidR="006B3C42" w:rsidRPr="00FC2211">
        <w:rPr>
          <w:rFonts w:cstheme="minorHAnsi"/>
          <w:bCs/>
          <w:szCs w:val="20"/>
          <w:lang w:val="en-CA"/>
        </w:rPr>
        <w:t>1</w:t>
      </w:r>
      <w:r w:rsidR="00367A29" w:rsidRPr="00FC2211">
        <w:rPr>
          <w:rFonts w:cstheme="minorHAnsi"/>
          <w:bCs/>
          <w:szCs w:val="20"/>
          <w:lang w:val="en-CA"/>
        </w:rPr>
        <w:t>, 202</w:t>
      </w:r>
      <w:r w:rsidR="00115064">
        <w:rPr>
          <w:rFonts w:cstheme="minorHAnsi"/>
          <w:bCs/>
          <w:szCs w:val="20"/>
          <w:lang w:val="en-CA"/>
        </w:rPr>
        <w:t>4</w:t>
      </w:r>
      <w:r w:rsidR="00367A29" w:rsidRPr="00FC2211">
        <w:rPr>
          <w:rFonts w:cstheme="minorHAnsi"/>
          <w:bCs/>
          <w:szCs w:val="20"/>
          <w:lang w:val="en-CA"/>
        </w:rPr>
        <w:t xml:space="preserve">, </w:t>
      </w:r>
      <w:r w:rsidR="00E93EA5" w:rsidRPr="00FC2211">
        <w:rPr>
          <w:rFonts w:cstheme="minorHAnsi"/>
          <w:bCs/>
          <w:szCs w:val="20"/>
          <w:lang w:val="en-CA"/>
        </w:rPr>
        <w:t xml:space="preserve">INEO made a provision for the </w:t>
      </w:r>
      <w:r w:rsidR="00B850C4" w:rsidRPr="00FC2211">
        <w:rPr>
          <w:rFonts w:cstheme="minorHAnsi"/>
          <w:bCs/>
          <w:szCs w:val="20"/>
          <w:lang w:val="en-CA"/>
        </w:rPr>
        <w:t>inventory write-down</w:t>
      </w:r>
      <w:r w:rsidR="00367A29" w:rsidRPr="00FC2211">
        <w:rPr>
          <w:rFonts w:cstheme="minorHAnsi"/>
          <w:bCs/>
          <w:szCs w:val="20"/>
          <w:lang w:val="en-CA"/>
        </w:rPr>
        <w:t xml:space="preserve"> of </w:t>
      </w:r>
      <w:r w:rsidR="00E0561B" w:rsidRPr="00FC2211">
        <w:rPr>
          <w:rFonts w:cstheme="minorHAnsi"/>
          <w:bCs/>
          <w:szCs w:val="20"/>
          <w:lang w:val="en-CA"/>
        </w:rPr>
        <w:t>$</w:t>
      </w:r>
      <w:r w:rsidR="00921034">
        <w:rPr>
          <w:rFonts w:cstheme="minorHAnsi"/>
          <w:bCs/>
          <w:szCs w:val="20"/>
          <w:lang w:val="en-CA"/>
        </w:rPr>
        <w:t>29,</w:t>
      </w:r>
      <w:r w:rsidR="00246232">
        <w:rPr>
          <w:rFonts w:cstheme="minorHAnsi"/>
          <w:bCs/>
          <w:szCs w:val="20"/>
          <w:lang w:val="en-CA"/>
        </w:rPr>
        <w:t>416</w:t>
      </w:r>
      <w:r w:rsidR="00F83B74" w:rsidRPr="00FC2211">
        <w:rPr>
          <w:rFonts w:cstheme="minorHAnsi"/>
          <w:bCs/>
          <w:szCs w:val="20"/>
          <w:lang w:val="en-CA"/>
        </w:rPr>
        <w:t xml:space="preserve"> (</w:t>
      </w:r>
      <w:r w:rsidR="00EB679F">
        <w:rPr>
          <w:rFonts w:cstheme="minorHAnsi"/>
          <w:bCs/>
          <w:szCs w:val="20"/>
          <w:lang w:val="en-CA"/>
        </w:rPr>
        <w:t>March 31, 2023</w:t>
      </w:r>
      <w:r w:rsidR="001D1C83" w:rsidRPr="00FC2211">
        <w:rPr>
          <w:rFonts w:cstheme="minorHAnsi"/>
          <w:bCs/>
          <w:szCs w:val="20"/>
          <w:lang w:val="en-CA"/>
        </w:rPr>
        <w:t xml:space="preserve">- $Nil). The </w:t>
      </w:r>
      <w:r w:rsidR="001D1C83" w:rsidRPr="00FC2211">
        <w:rPr>
          <w:rFonts w:cstheme="minorHAnsi"/>
          <w:szCs w:val="20"/>
          <w:lang w:val="en-CA"/>
        </w:rPr>
        <w:t>cumulative</w:t>
      </w:r>
      <w:r w:rsidR="001D1C83" w:rsidRPr="00FC2211">
        <w:rPr>
          <w:rFonts w:cstheme="minorHAnsi"/>
          <w:bCs/>
          <w:szCs w:val="20"/>
          <w:lang w:val="en-CA"/>
        </w:rPr>
        <w:t xml:space="preserve"> provision for inventory write</w:t>
      </w:r>
      <w:r w:rsidR="006333D6" w:rsidRPr="00FC2211">
        <w:rPr>
          <w:rFonts w:cstheme="minorHAnsi"/>
          <w:bCs/>
          <w:szCs w:val="20"/>
          <w:lang w:val="en-CA"/>
        </w:rPr>
        <w:t>-</w:t>
      </w:r>
      <w:r w:rsidR="001D1C83" w:rsidRPr="00FC2211">
        <w:rPr>
          <w:rFonts w:cstheme="minorHAnsi"/>
          <w:bCs/>
          <w:szCs w:val="20"/>
          <w:lang w:val="en-CA"/>
        </w:rPr>
        <w:t xml:space="preserve">down as </w:t>
      </w:r>
      <w:r w:rsidR="00A16B2E" w:rsidRPr="00FC2211">
        <w:rPr>
          <w:rFonts w:cstheme="minorHAnsi"/>
          <w:bCs/>
          <w:szCs w:val="20"/>
          <w:lang w:val="en-CA"/>
        </w:rPr>
        <w:t>at</w:t>
      </w:r>
      <w:r w:rsidR="001D1C83" w:rsidRPr="00FC2211">
        <w:rPr>
          <w:rFonts w:cstheme="minorHAnsi"/>
          <w:bCs/>
          <w:szCs w:val="20"/>
          <w:lang w:val="en-CA"/>
        </w:rPr>
        <w:t xml:space="preserve"> </w:t>
      </w:r>
      <w:r w:rsidR="0014121B">
        <w:rPr>
          <w:rFonts w:cstheme="minorHAnsi"/>
          <w:bCs/>
          <w:szCs w:val="20"/>
          <w:lang w:val="en-CA"/>
        </w:rPr>
        <w:t xml:space="preserve">March 31, 2024 </w:t>
      </w:r>
      <w:r w:rsidR="001D1C83" w:rsidRPr="00FC2211">
        <w:rPr>
          <w:rFonts w:cstheme="minorHAnsi"/>
          <w:bCs/>
          <w:szCs w:val="20"/>
          <w:lang w:val="en-CA"/>
        </w:rPr>
        <w:t>totalled $</w:t>
      </w:r>
      <w:r w:rsidR="0014121B">
        <w:rPr>
          <w:rFonts w:cstheme="minorHAnsi"/>
          <w:bCs/>
          <w:szCs w:val="20"/>
          <w:lang w:val="en-CA"/>
        </w:rPr>
        <w:t>29,416</w:t>
      </w:r>
      <w:r w:rsidR="00D14AB7" w:rsidRPr="00FC2211">
        <w:rPr>
          <w:rFonts w:cstheme="minorHAnsi"/>
          <w:bCs/>
          <w:szCs w:val="20"/>
          <w:lang w:val="en-CA"/>
        </w:rPr>
        <w:t xml:space="preserve"> (June 30, 2023 - $Nil). </w:t>
      </w:r>
      <w:r w:rsidR="002F241B" w:rsidRPr="00FC2211">
        <w:rPr>
          <w:rFonts w:cstheme="minorHAnsi"/>
          <w:bCs/>
          <w:szCs w:val="20"/>
          <w:lang w:val="en-CA"/>
        </w:rPr>
        <w:t xml:space="preserve"> </w:t>
      </w:r>
      <w:r w:rsidR="00A82940" w:rsidRPr="00FC2211">
        <w:rPr>
          <w:rFonts w:cstheme="minorHAnsi"/>
          <w:bCs/>
          <w:szCs w:val="20"/>
          <w:lang w:val="en-CA"/>
        </w:rPr>
        <w:t xml:space="preserve">During the </w:t>
      </w:r>
      <w:r w:rsidR="0014121B">
        <w:rPr>
          <w:rFonts w:cstheme="minorHAnsi"/>
          <w:bCs/>
          <w:szCs w:val="20"/>
          <w:lang w:val="en-CA"/>
        </w:rPr>
        <w:t>nine</w:t>
      </w:r>
      <w:r w:rsidR="00051A59" w:rsidRPr="00FC2211">
        <w:rPr>
          <w:rFonts w:cstheme="minorHAnsi"/>
          <w:bCs/>
          <w:szCs w:val="20"/>
          <w:lang w:val="en-CA"/>
        </w:rPr>
        <w:t xml:space="preserve"> </w:t>
      </w:r>
      <w:r w:rsidR="00A16B2E" w:rsidRPr="00FC2211">
        <w:rPr>
          <w:rFonts w:cstheme="minorHAnsi"/>
          <w:bCs/>
          <w:szCs w:val="20"/>
          <w:lang w:val="en-CA"/>
        </w:rPr>
        <w:t>month</w:t>
      </w:r>
      <w:r w:rsidR="00051A59" w:rsidRPr="00FC2211">
        <w:rPr>
          <w:rFonts w:cstheme="minorHAnsi"/>
          <w:bCs/>
          <w:szCs w:val="20"/>
          <w:lang w:val="en-CA"/>
        </w:rPr>
        <w:t>s</w:t>
      </w:r>
      <w:r w:rsidR="009E0238" w:rsidRPr="00FC2211">
        <w:rPr>
          <w:rFonts w:cstheme="minorHAnsi"/>
          <w:bCs/>
          <w:szCs w:val="20"/>
          <w:lang w:val="en-CA"/>
        </w:rPr>
        <w:t xml:space="preserve"> </w:t>
      </w:r>
      <w:r w:rsidR="00A82940" w:rsidRPr="00FC2211">
        <w:rPr>
          <w:rFonts w:cstheme="minorHAnsi"/>
          <w:bCs/>
          <w:szCs w:val="20"/>
          <w:lang w:val="en-CA"/>
        </w:rPr>
        <w:t xml:space="preserve">ended </w:t>
      </w:r>
      <w:r w:rsidR="0014121B">
        <w:rPr>
          <w:rFonts w:cstheme="minorHAnsi"/>
          <w:bCs/>
          <w:szCs w:val="20"/>
          <w:lang w:val="en-CA"/>
        </w:rPr>
        <w:t>March 31, 2024</w:t>
      </w:r>
      <w:r w:rsidR="00A82940" w:rsidRPr="00FC2211">
        <w:rPr>
          <w:rFonts w:cstheme="minorHAnsi"/>
          <w:bCs/>
          <w:szCs w:val="20"/>
          <w:lang w:val="en-CA"/>
        </w:rPr>
        <w:t>, the Company recognized $</w:t>
      </w:r>
      <w:r w:rsidR="00811B83">
        <w:rPr>
          <w:rFonts w:cstheme="minorHAnsi"/>
          <w:bCs/>
          <w:szCs w:val="20"/>
          <w:lang w:val="en-CA"/>
        </w:rPr>
        <w:t>427,645</w:t>
      </w:r>
      <w:r w:rsidR="00A82940" w:rsidRPr="00FC2211">
        <w:rPr>
          <w:rFonts w:cstheme="minorHAnsi"/>
          <w:bCs/>
          <w:szCs w:val="20"/>
          <w:lang w:val="en-CA"/>
        </w:rPr>
        <w:t xml:space="preserve"> of inventory in cost of sales (</w:t>
      </w:r>
      <w:r w:rsidR="000B64A8">
        <w:rPr>
          <w:rFonts w:cstheme="minorHAnsi"/>
          <w:bCs/>
          <w:szCs w:val="20"/>
          <w:lang w:val="en-CA"/>
        </w:rPr>
        <w:t>March 31</w:t>
      </w:r>
      <w:r w:rsidR="00EE79EC" w:rsidRPr="00FC2211">
        <w:rPr>
          <w:rFonts w:cstheme="minorHAnsi"/>
          <w:bCs/>
          <w:szCs w:val="20"/>
          <w:lang w:val="en-CA"/>
        </w:rPr>
        <w:t xml:space="preserve">, </w:t>
      </w:r>
      <w:r w:rsidR="00A82940" w:rsidRPr="00FC2211">
        <w:rPr>
          <w:rFonts w:cstheme="minorHAnsi"/>
          <w:bCs/>
          <w:szCs w:val="20"/>
          <w:lang w:val="en-CA"/>
        </w:rPr>
        <w:t>202</w:t>
      </w:r>
      <w:r w:rsidR="000B64A8">
        <w:rPr>
          <w:rFonts w:cstheme="minorHAnsi"/>
          <w:bCs/>
          <w:szCs w:val="20"/>
          <w:lang w:val="en-CA"/>
        </w:rPr>
        <w:t>3</w:t>
      </w:r>
      <w:r w:rsidR="00A82940" w:rsidRPr="00FC2211">
        <w:rPr>
          <w:rFonts w:cstheme="minorHAnsi"/>
          <w:bCs/>
          <w:szCs w:val="20"/>
          <w:lang w:val="en-CA"/>
        </w:rPr>
        <w:t xml:space="preserve"> - $</w:t>
      </w:r>
      <w:r w:rsidR="00133348">
        <w:rPr>
          <w:rFonts w:cstheme="minorHAnsi"/>
          <w:bCs/>
          <w:szCs w:val="20"/>
          <w:lang w:val="en-CA"/>
        </w:rPr>
        <w:t>372,475</w:t>
      </w:r>
      <w:r w:rsidR="00A82940" w:rsidRPr="00FC2211">
        <w:rPr>
          <w:rFonts w:cstheme="minorHAnsi"/>
          <w:bCs/>
          <w:szCs w:val="20"/>
          <w:lang w:val="en-CA"/>
        </w:rPr>
        <w:t>).</w:t>
      </w:r>
    </w:p>
    <w:p w14:paraId="687C1A59" w14:textId="77777777" w:rsidR="0052191D" w:rsidRPr="00FC2211" w:rsidRDefault="0052191D" w:rsidP="00FF6F4B">
      <w:pPr>
        <w:ind w:left="284"/>
        <w:jc w:val="both"/>
        <w:rPr>
          <w:rFonts w:cstheme="minorHAnsi"/>
          <w:bCs/>
          <w:szCs w:val="20"/>
          <w:lang w:val="en-CA"/>
        </w:rPr>
      </w:pPr>
    </w:p>
    <w:p w14:paraId="4C19C4AD" w14:textId="77777777" w:rsidR="008D6468" w:rsidRPr="00FC2211" w:rsidRDefault="008E654B" w:rsidP="008D6468">
      <w:pPr>
        <w:pStyle w:val="Heading1"/>
        <w:spacing w:before="0"/>
        <w:rPr>
          <w:rFonts w:cstheme="minorHAnsi"/>
          <w:szCs w:val="20"/>
          <w:lang w:val="en-CA"/>
        </w:rPr>
      </w:pPr>
      <w:r w:rsidRPr="00FC2211">
        <w:rPr>
          <w:rFonts w:cstheme="minorHAnsi"/>
          <w:szCs w:val="20"/>
          <w:lang w:val="en-GB"/>
        </w:rPr>
        <w:t>7</w:t>
      </w:r>
      <w:r w:rsidR="008D6468" w:rsidRPr="00FC2211">
        <w:rPr>
          <w:rFonts w:cstheme="minorHAnsi"/>
          <w:szCs w:val="20"/>
          <w:lang w:val="en-GB"/>
        </w:rPr>
        <w:t xml:space="preserve">.   </w:t>
      </w:r>
      <w:r w:rsidR="008D6468" w:rsidRPr="00FC2211">
        <w:rPr>
          <w:rFonts w:cstheme="minorHAnsi"/>
          <w:szCs w:val="20"/>
        </w:rPr>
        <w:t>PREPAID</w:t>
      </w:r>
      <w:r w:rsidR="008D6468" w:rsidRPr="00FC2211">
        <w:rPr>
          <w:rFonts w:cstheme="minorHAnsi"/>
          <w:szCs w:val="20"/>
          <w:lang w:val="en-GB"/>
        </w:rPr>
        <w:t xml:space="preserve"> EXPENSES</w:t>
      </w:r>
    </w:p>
    <w:p w14:paraId="139AF6CB" w14:textId="77777777" w:rsidR="0076591B" w:rsidRPr="00FC2211" w:rsidRDefault="00395BAF" w:rsidP="008D6468">
      <w:pPr>
        <w:ind w:left="284" w:firstLine="1"/>
        <w:rPr>
          <w:rFonts w:cstheme="minorHAnsi"/>
          <w:bCs/>
          <w:szCs w:val="20"/>
          <w:lang w:val="en-CA"/>
        </w:rPr>
      </w:pPr>
      <w:r w:rsidRPr="00FC2211">
        <w:rPr>
          <w:rFonts w:cstheme="minorHAnsi"/>
          <w:bCs/>
          <w:szCs w:val="20"/>
          <w:lang w:val="en-CA"/>
        </w:rPr>
        <w:tab/>
      </w:r>
    </w:p>
    <w:p w14:paraId="6EB6EF1B" w14:textId="173858F8" w:rsidR="00FF6F4B" w:rsidRPr="00FC2211" w:rsidRDefault="00FF6F4B" w:rsidP="008D6468">
      <w:pPr>
        <w:ind w:left="284" w:firstLine="1"/>
        <w:rPr>
          <w:rFonts w:cstheme="minorHAnsi"/>
          <w:bCs/>
          <w:szCs w:val="20"/>
          <w:lang w:val="en-CA"/>
        </w:rPr>
      </w:pPr>
      <w:r w:rsidRPr="00FC2211">
        <w:rPr>
          <w:rFonts w:cstheme="minorHAnsi"/>
          <w:bCs/>
          <w:szCs w:val="20"/>
          <w:lang w:val="en-CA"/>
        </w:rPr>
        <w:t>The components of prepaid expenses are as follows:</w:t>
      </w:r>
    </w:p>
    <w:p w14:paraId="4B33DFA2" w14:textId="77777777" w:rsidR="00FF6F4B" w:rsidRPr="00FC2211" w:rsidRDefault="00FF6F4B" w:rsidP="008D6468">
      <w:pPr>
        <w:ind w:left="284" w:firstLine="1"/>
        <w:rPr>
          <w:rFonts w:cstheme="minorHAnsi"/>
          <w:bCs/>
          <w:szCs w:val="20"/>
          <w:lang w:val="en-CA"/>
        </w:rPr>
      </w:pPr>
    </w:p>
    <w:tbl>
      <w:tblPr>
        <w:tblW w:w="5577" w:type="dxa"/>
        <w:jc w:val="center"/>
        <w:tblLook w:val="04A0" w:firstRow="1" w:lastRow="0" w:firstColumn="1" w:lastColumn="0" w:noHBand="0" w:noVBand="1"/>
      </w:tblPr>
      <w:tblGrid>
        <w:gridCol w:w="2410"/>
        <w:gridCol w:w="1607"/>
        <w:gridCol w:w="1560"/>
      </w:tblGrid>
      <w:tr w:rsidR="00B42089" w:rsidRPr="00B42089" w14:paraId="12E1FB2E" w14:textId="77777777" w:rsidTr="00BC7A24">
        <w:trPr>
          <w:trHeight w:val="288"/>
          <w:jc w:val="center"/>
        </w:trPr>
        <w:tc>
          <w:tcPr>
            <w:tcW w:w="2410" w:type="dxa"/>
            <w:tcBorders>
              <w:top w:val="nil"/>
              <w:left w:val="nil"/>
              <w:bottom w:val="single" w:sz="8" w:space="0" w:color="auto"/>
              <w:right w:val="nil"/>
            </w:tcBorders>
            <w:shd w:val="clear" w:color="auto" w:fill="auto"/>
            <w:noWrap/>
            <w:vAlign w:val="center"/>
            <w:hideMark/>
          </w:tcPr>
          <w:p w14:paraId="46D1C461" w14:textId="77777777" w:rsidR="00B42089" w:rsidRPr="00B42089" w:rsidRDefault="00B42089" w:rsidP="00B42089">
            <w:pPr>
              <w:rPr>
                <w:rFonts w:ascii="Calibri" w:hAnsi="Calibri" w:cs="Calibri"/>
                <w:b/>
                <w:bCs/>
                <w:color w:val="000000"/>
                <w:szCs w:val="20"/>
                <w:lang w:val="en-CA" w:eastAsia="en-CA"/>
              </w:rPr>
            </w:pPr>
            <w:r w:rsidRPr="00B42089">
              <w:rPr>
                <w:rFonts w:ascii="Calibri" w:hAnsi="Calibri" w:cs="Calibri"/>
                <w:b/>
                <w:bCs/>
                <w:color w:val="000000"/>
                <w:szCs w:val="20"/>
                <w:lang w:val="en-CA" w:eastAsia="en-CA"/>
              </w:rPr>
              <w:t> </w:t>
            </w:r>
          </w:p>
        </w:tc>
        <w:tc>
          <w:tcPr>
            <w:tcW w:w="1607" w:type="dxa"/>
            <w:tcBorders>
              <w:top w:val="nil"/>
              <w:left w:val="nil"/>
              <w:bottom w:val="single" w:sz="8" w:space="0" w:color="auto"/>
              <w:right w:val="nil"/>
            </w:tcBorders>
            <w:shd w:val="clear" w:color="auto" w:fill="auto"/>
            <w:vAlign w:val="center"/>
            <w:hideMark/>
          </w:tcPr>
          <w:p w14:paraId="7867A250" w14:textId="77777777" w:rsidR="00B42089" w:rsidRPr="00B42089" w:rsidRDefault="00B42089" w:rsidP="00B42089">
            <w:pPr>
              <w:jc w:val="right"/>
              <w:rPr>
                <w:rFonts w:ascii="Calibri" w:hAnsi="Calibri" w:cs="Calibri"/>
                <w:b/>
                <w:bCs/>
                <w:color w:val="000000"/>
                <w:szCs w:val="20"/>
                <w:lang w:val="en-CA" w:eastAsia="en-CA"/>
              </w:rPr>
            </w:pPr>
            <w:r w:rsidRPr="00B42089">
              <w:rPr>
                <w:rFonts w:ascii="Calibri" w:hAnsi="Calibri" w:cs="Calibri"/>
                <w:b/>
                <w:bCs/>
                <w:color w:val="000000"/>
                <w:szCs w:val="20"/>
                <w:lang w:val="en-CA" w:eastAsia="en-CA"/>
              </w:rPr>
              <w:t>March 31, 2024</w:t>
            </w:r>
          </w:p>
        </w:tc>
        <w:tc>
          <w:tcPr>
            <w:tcW w:w="1560" w:type="dxa"/>
            <w:tcBorders>
              <w:top w:val="nil"/>
              <w:left w:val="nil"/>
              <w:bottom w:val="single" w:sz="8" w:space="0" w:color="auto"/>
              <w:right w:val="nil"/>
            </w:tcBorders>
            <w:shd w:val="clear" w:color="auto" w:fill="auto"/>
            <w:vAlign w:val="center"/>
            <w:hideMark/>
          </w:tcPr>
          <w:p w14:paraId="3ACAD88A" w14:textId="77777777" w:rsidR="00B42089" w:rsidRPr="00B42089" w:rsidRDefault="00B42089" w:rsidP="00B42089">
            <w:pPr>
              <w:jc w:val="right"/>
              <w:rPr>
                <w:rFonts w:ascii="Calibri" w:hAnsi="Calibri" w:cs="Calibri"/>
                <w:color w:val="000000"/>
                <w:szCs w:val="20"/>
                <w:lang w:val="en-CA" w:eastAsia="en-CA"/>
              </w:rPr>
            </w:pPr>
            <w:r w:rsidRPr="00B42089">
              <w:rPr>
                <w:rFonts w:ascii="Calibri" w:hAnsi="Calibri" w:cs="Calibri"/>
                <w:color w:val="000000"/>
                <w:szCs w:val="20"/>
                <w:lang w:val="en-CA" w:eastAsia="en-CA"/>
              </w:rPr>
              <w:t>June 30, 2023</w:t>
            </w:r>
          </w:p>
        </w:tc>
      </w:tr>
      <w:tr w:rsidR="00B42089" w:rsidRPr="00B42089" w14:paraId="243DB75F" w14:textId="77777777" w:rsidTr="00BC7A24">
        <w:trPr>
          <w:trHeight w:val="276"/>
          <w:jc w:val="center"/>
        </w:trPr>
        <w:tc>
          <w:tcPr>
            <w:tcW w:w="2410" w:type="dxa"/>
            <w:tcBorders>
              <w:top w:val="nil"/>
              <w:left w:val="nil"/>
              <w:bottom w:val="nil"/>
              <w:right w:val="nil"/>
            </w:tcBorders>
            <w:shd w:val="clear" w:color="auto" w:fill="auto"/>
            <w:noWrap/>
            <w:vAlign w:val="center"/>
            <w:hideMark/>
          </w:tcPr>
          <w:p w14:paraId="026DCD69" w14:textId="77777777" w:rsidR="00B42089" w:rsidRPr="00B42089" w:rsidRDefault="00B42089" w:rsidP="00B42089">
            <w:pPr>
              <w:rPr>
                <w:rFonts w:ascii="Calibri" w:hAnsi="Calibri" w:cs="Calibri"/>
                <w:color w:val="000000"/>
                <w:szCs w:val="20"/>
                <w:lang w:val="en-CA" w:eastAsia="en-CA"/>
              </w:rPr>
            </w:pPr>
            <w:r w:rsidRPr="00B42089">
              <w:rPr>
                <w:rFonts w:ascii="Calibri" w:hAnsi="Calibri" w:cs="Calibri"/>
                <w:color w:val="000000"/>
                <w:szCs w:val="20"/>
                <w:lang w:val="en-CA" w:eastAsia="en-CA"/>
              </w:rPr>
              <w:t>Prepaid Insurance</w:t>
            </w:r>
          </w:p>
        </w:tc>
        <w:tc>
          <w:tcPr>
            <w:tcW w:w="1607" w:type="dxa"/>
            <w:tcBorders>
              <w:top w:val="nil"/>
              <w:left w:val="nil"/>
              <w:bottom w:val="nil"/>
              <w:right w:val="nil"/>
            </w:tcBorders>
            <w:shd w:val="clear" w:color="auto" w:fill="auto"/>
            <w:noWrap/>
            <w:vAlign w:val="center"/>
            <w:hideMark/>
          </w:tcPr>
          <w:p w14:paraId="496DE360" w14:textId="3A01845F" w:rsidR="00B42089" w:rsidRPr="00B42089" w:rsidRDefault="00B42089" w:rsidP="00B42089">
            <w:pPr>
              <w:jc w:val="right"/>
              <w:rPr>
                <w:rFonts w:ascii="Calibri" w:hAnsi="Calibri" w:cs="Calibri"/>
                <w:b/>
                <w:bCs/>
                <w:color w:val="000000"/>
                <w:szCs w:val="20"/>
                <w:lang w:val="en-CA" w:eastAsia="en-CA"/>
              </w:rPr>
            </w:pPr>
            <w:r w:rsidRPr="00B42089">
              <w:rPr>
                <w:rFonts w:ascii="Calibri" w:hAnsi="Calibri" w:cs="Calibri"/>
                <w:b/>
                <w:bCs/>
                <w:color w:val="000000"/>
                <w:szCs w:val="20"/>
                <w:lang w:val="en-CA" w:eastAsia="en-CA"/>
              </w:rPr>
              <w:t xml:space="preserve"> $ 10,373 </w:t>
            </w:r>
          </w:p>
        </w:tc>
        <w:tc>
          <w:tcPr>
            <w:tcW w:w="1560" w:type="dxa"/>
            <w:tcBorders>
              <w:top w:val="nil"/>
              <w:left w:val="nil"/>
              <w:bottom w:val="nil"/>
              <w:right w:val="nil"/>
            </w:tcBorders>
            <w:shd w:val="clear" w:color="auto" w:fill="auto"/>
            <w:noWrap/>
            <w:vAlign w:val="center"/>
            <w:hideMark/>
          </w:tcPr>
          <w:p w14:paraId="17B8B67E" w14:textId="14BD18A0" w:rsidR="00B42089" w:rsidRPr="00B42089" w:rsidRDefault="00B42089" w:rsidP="00B42089">
            <w:pPr>
              <w:jc w:val="right"/>
              <w:rPr>
                <w:rFonts w:ascii="Calibri" w:hAnsi="Calibri" w:cs="Calibri"/>
                <w:color w:val="000000"/>
                <w:szCs w:val="20"/>
                <w:lang w:val="en-CA" w:eastAsia="en-CA"/>
              </w:rPr>
            </w:pPr>
            <w:r w:rsidRPr="00B42089">
              <w:rPr>
                <w:rFonts w:ascii="Calibri" w:hAnsi="Calibri" w:cs="Calibri"/>
                <w:color w:val="000000"/>
                <w:szCs w:val="20"/>
                <w:lang w:val="en-CA" w:eastAsia="en-CA"/>
              </w:rPr>
              <w:t xml:space="preserve"> $ 31,861 </w:t>
            </w:r>
          </w:p>
        </w:tc>
      </w:tr>
      <w:tr w:rsidR="00B42089" w:rsidRPr="00B42089" w14:paraId="7E60AB3D" w14:textId="77777777" w:rsidTr="00BC7A24">
        <w:trPr>
          <w:trHeight w:val="276"/>
          <w:jc w:val="center"/>
        </w:trPr>
        <w:tc>
          <w:tcPr>
            <w:tcW w:w="2410" w:type="dxa"/>
            <w:tcBorders>
              <w:top w:val="nil"/>
              <w:left w:val="nil"/>
              <w:bottom w:val="nil"/>
              <w:right w:val="nil"/>
            </w:tcBorders>
            <w:shd w:val="clear" w:color="auto" w:fill="auto"/>
            <w:noWrap/>
            <w:vAlign w:val="center"/>
            <w:hideMark/>
          </w:tcPr>
          <w:p w14:paraId="6EB088CE" w14:textId="77777777" w:rsidR="00B42089" w:rsidRPr="00B42089" w:rsidRDefault="00B42089" w:rsidP="00B42089">
            <w:pPr>
              <w:rPr>
                <w:rFonts w:ascii="Calibri" w:hAnsi="Calibri" w:cs="Calibri"/>
                <w:color w:val="000000"/>
                <w:szCs w:val="20"/>
                <w:lang w:val="en-CA" w:eastAsia="en-CA"/>
              </w:rPr>
            </w:pPr>
            <w:r w:rsidRPr="00B42089">
              <w:rPr>
                <w:rFonts w:ascii="Calibri" w:hAnsi="Calibri" w:cs="Calibri"/>
                <w:color w:val="000000"/>
                <w:szCs w:val="20"/>
                <w:lang w:val="en-CA" w:eastAsia="en-CA"/>
              </w:rPr>
              <w:t>Security deposit</w:t>
            </w:r>
          </w:p>
        </w:tc>
        <w:tc>
          <w:tcPr>
            <w:tcW w:w="1607" w:type="dxa"/>
            <w:tcBorders>
              <w:top w:val="nil"/>
              <w:left w:val="nil"/>
              <w:bottom w:val="nil"/>
              <w:right w:val="nil"/>
            </w:tcBorders>
            <w:shd w:val="clear" w:color="auto" w:fill="auto"/>
            <w:noWrap/>
            <w:vAlign w:val="center"/>
            <w:hideMark/>
          </w:tcPr>
          <w:p w14:paraId="057D4A1D" w14:textId="34E73006" w:rsidR="00B42089" w:rsidRPr="00B42089" w:rsidRDefault="00B42089" w:rsidP="00B42089">
            <w:pPr>
              <w:jc w:val="right"/>
              <w:rPr>
                <w:rFonts w:ascii="Calibri" w:hAnsi="Calibri" w:cs="Calibri"/>
                <w:b/>
                <w:bCs/>
                <w:color w:val="000000"/>
                <w:szCs w:val="20"/>
                <w:lang w:val="en-CA" w:eastAsia="en-CA"/>
              </w:rPr>
            </w:pPr>
            <w:r w:rsidRPr="00B42089">
              <w:rPr>
                <w:rFonts w:ascii="Calibri" w:hAnsi="Calibri" w:cs="Calibri"/>
                <w:b/>
                <w:bCs/>
                <w:color w:val="000000"/>
                <w:szCs w:val="20"/>
                <w:lang w:val="en-CA" w:eastAsia="en-CA"/>
              </w:rPr>
              <w:t xml:space="preserve">       615 </w:t>
            </w:r>
          </w:p>
        </w:tc>
        <w:tc>
          <w:tcPr>
            <w:tcW w:w="1560" w:type="dxa"/>
            <w:tcBorders>
              <w:top w:val="nil"/>
              <w:left w:val="nil"/>
              <w:bottom w:val="nil"/>
              <w:right w:val="nil"/>
            </w:tcBorders>
            <w:shd w:val="clear" w:color="auto" w:fill="auto"/>
            <w:noWrap/>
            <w:vAlign w:val="center"/>
            <w:hideMark/>
          </w:tcPr>
          <w:p w14:paraId="3290F701" w14:textId="3566696C" w:rsidR="00B42089" w:rsidRPr="00B42089" w:rsidRDefault="00B42089" w:rsidP="00B42089">
            <w:pPr>
              <w:jc w:val="right"/>
              <w:rPr>
                <w:rFonts w:ascii="Calibri" w:hAnsi="Calibri" w:cs="Calibri"/>
                <w:color w:val="000000"/>
                <w:szCs w:val="20"/>
                <w:lang w:val="en-CA" w:eastAsia="en-CA"/>
              </w:rPr>
            </w:pPr>
            <w:r w:rsidRPr="00B42089">
              <w:rPr>
                <w:rFonts w:ascii="Calibri" w:hAnsi="Calibri" w:cs="Calibri"/>
                <w:color w:val="000000"/>
                <w:szCs w:val="20"/>
                <w:lang w:val="en-CA" w:eastAsia="en-CA"/>
              </w:rPr>
              <w:t xml:space="preserve">    615 </w:t>
            </w:r>
          </w:p>
        </w:tc>
      </w:tr>
      <w:tr w:rsidR="00B42089" w:rsidRPr="00B42089" w14:paraId="03924873" w14:textId="77777777" w:rsidTr="001F4643">
        <w:trPr>
          <w:trHeight w:val="276"/>
          <w:jc w:val="center"/>
        </w:trPr>
        <w:tc>
          <w:tcPr>
            <w:tcW w:w="2410" w:type="dxa"/>
            <w:tcBorders>
              <w:top w:val="nil"/>
              <w:left w:val="nil"/>
              <w:bottom w:val="single" w:sz="4" w:space="0" w:color="auto"/>
              <w:right w:val="nil"/>
            </w:tcBorders>
            <w:shd w:val="clear" w:color="auto" w:fill="auto"/>
            <w:noWrap/>
            <w:vAlign w:val="center"/>
            <w:hideMark/>
          </w:tcPr>
          <w:p w14:paraId="5D96471B" w14:textId="77777777" w:rsidR="00B42089" w:rsidRPr="00B42089" w:rsidRDefault="00B42089" w:rsidP="00B42089">
            <w:pPr>
              <w:rPr>
                <w:rFonts w:ascii="Calibri" w:hAnsi="Calibri" w:cs="Calibri"/>
                <w:color w:val="000000"/>
                <w:szCs w:val="20"/>
                <w:lang w:val="en-CA" w:eastAsia="en-CA"/>
              </w:rPr>
            </w:pPr>
            <w:r w:rsidRPr="00B42089">
              <w:rPr>
                <w:rFonts w:ascii="Calibri" w:hAnsi="Calibri" w:cs="Calibri"/>
                <w:color w:val="000000"/>
                <w:szCs w:val="20"/>
                <w:lang w:val="en-CA" w:eastAsia="en-CA"/>
              </w:rPr>
              <w:t>Other prepaids</w:t>
            </w:r>
          </w:p>
        </w:tc>
        <w:tc>
          <w:tcPr>
            <w:tcW w:w="1607" w:type="dxa"/>
            <w:tcBorders>
              <w:top w:val="nil"/>
              <w:left w:val="nil"/>
              <w:bottom w:val="single" w:sz="4" w:space="0" w:color="auto"/>
              <w:right w:val="nil"/>
            </w:tcBorders>
            <w:shd w:val="clear" w:color="auto" w:fill="auto"/>
            <w:noWrap/>
            <w:vAlign w:val="center"/>
            <w:hideMark/>
          </w:tcPr>
          <w:p w14:paraId="6932D210" w14:textId="77777777" w:rsidR="00B42089" w:rsidRPr="00B42089" w:rsidRDefault="00B42089" w:rsidP="00B42089">
            <w:pPr>
              <w:jc w:val="right"/>
              <w:rPr>
                <w:rFonts w:ascii="Calibri" w:hAnsi="Calibri" w:cs="Calibri"/>
                <w:b/>
                <w:bCs/>
                <w:color w:val="000000"/>
                <w:szCs w:val="20"/>
                <w:lang w:val="en-CA" w:eastAsia="en-CA"/>
              </w:rPr>
            </w:pPr>
            <w:r w:rsidRPr="00B42089">
              <w:rPr>
                <w:rFonts w:ascii="Calibri" w:hAnsi="Calibri" w:cs="Calibri"/>
                <w:b/>
                <w:bCs/>
                <w:color w:val="000000"/>
                <w:szCs w:val="20"/>
                <w:lang w:val="en-CA" w:eastAsia="en-CA"/>
              </w:rPr>
              <w:t xml:space="preserve">               51,158 </w:t>
            </w:r>
          </w:p>
        </w:tc>
        <w:tc>
          <w:tcPr>
            <w:tcW w:w="1560" w:type="dxa"/>
            <w:tcBorders>
              <w:top w:val="nil"/>
              <w:left w:val="nil"/>
              <w:bottom w:val="single" w:sz="4" w:space="0" w:color="auto"/>
              <w:right w:val="nil"/>
            </w:tcBorders>
            <w:shd w:val="clear" w:color="auto" w:fill="auto"/>
            <w:noWrap/>
            <w:vAlign w:val="center"/>
            <w:hideMark/>
          </w:tcPr>
          <w:p w14:paraId="5DB1A84C" w14:textId="242A1D37" w:rsidR="00B42089" w:rsidRPr="00B42089" w:rsidRDefault="00B42089" w:rsidP="00B42089">
            <w:pPr>
              <w:jc w:val="right"/>
              <w:rPr>
                <w:rFonts w:ascii="Calibri" w:hAnsi="Calibri" w:cs="Calibri"/>
                <w:color w:val="000000"/>
                <w:szCs w:val="20"/>
                <w:lang w:val="en-CA" w:eastAsia="en-CA"/>
              </w:rPr>
            </w:pPr>
            <w:r w:rsidRPr="00B42089">
              <w:rPr>
                <w:rFonts w:ascii="Calibri" w:hAnsi="Calibri" w:cs="Calibri"/>
                <w:color w:val="000000"/>
                <w:szCs w:val="20"/>
                <w:lang w:val="en-CA" w:eastAsia="en-CA"/>
              </w:rPr>
              <w:t xml:space="preserve">    63,904 </w:t>
            </w:r>
          </w:p>
        </w:tc>
      </w:tr>
      <w:tr w:rsidR="00B42089" w:rsidRPr="00B42089" w14:paraId="1DB1ED59" w14:textId="77777777" w:rsidTr="001F4643">
        <w:trPr>
          <w:trHeight w:val="288"/>
          <w:jc w:val="center"/>
        </w:trPr>
        <w:tc>
          <w:tcPr>
            <w:tcW w:w="2410" w:type="dxa"/>
            <w:tcBorders>
              <w:top w:val="single" w:sz="4" w:space="0" w:color="auto"/>
              <w:left w:val="nil"/>
              <w:bottom w:val="single" w:sz="12" w:space="0" w:color="auto"/>
              <w:right w:val="nil"/>
            </w:tcBorders>
            <w:shd w:val="clear" w:color="auto" w:fill="auto"/>
            <w:noWrap/>
            <w:vAlign w:val="center"/>
            <w:hideMark/>
          </w:tcPr>
          <w:p w14:paraId="1DF21947" w14:textId="77777777" w:rsidR="00B42089" w:rsidRPr="00B42089" w:rsidRDefault="00B42089" w:rsidP="00B42089">
            <w:pPr>
              <w:rPr>
                <w:rFonts w:ascii="Calibri" w:hAnsi="Calibri" w:cs="Calibri"/>
                <w:b/>
                <w:bCs/>
                <w:color w:val="000000"/>
                <w:szCs w:val="20"/>
                <w:lang w:val="en-CA" w:eastAsia="en-CA"/>
              </w:rPr>
            </w:pPr>
            <w:r w:rsidRPr="00B42089">
              <w:rPr>
                <w:rFonts w:ascii="Calibri" w:hAnsi="Calibri" w:cs="Calibri"/>
                <w:b/>
                <w:bCs/>
                <w:color w:val="000000"/>
                <w:szCs w:val="20"/>
                <w:lang w:val="en-CA" w:eastAsia="en-CA"/>
              </w:rPr>
              <w:t>TOTAL</w:t>
            </w:r>
          </w:p>
        </w:tc>
        <w:tc>
          <w:tcPr>
            <w:tcW w:w="1607" w:type="dxa"/>
            <w:tcBorders>
              <w:top w:val="single" w:sz="4" w:space="0" w:color="auto"/>
              <w:left w:val="nil"/>
              <w:bottom w:val="single" w:sz="12" w:space="0" w:color="auto"/>
              <w:right w:val="nil"/>
            </w:tcBorders>
            <w:shd w:val="clear" w:color="auto" w:fill="auto"/>
            <w:noWrap/>
            <w:vAlign w:val="center"/>
            <w:hideMark/>
          </w:tcPr>
          <w:p w14:paraId="6BC086CA" w14:textId="1BDD52C5" w:rsidR="00B42089" w:rsidRPr="00B42089" w:rsidRDefault="00B42089" w:rsidP="00B42089">
            <w:pPr>
              <w:jc w:val="right"/>
              <w:rPr>
                <w:rFonts w:ascii="Calibri" w:hAnsi="Calibri" w:cs="Calibri"/>
                <w:b/>
                <w:bCs/>
                <w:color w:val="000000"/>
                <w:szCs w:val="20"/>
                <w:lang w:val="en-CA" w:eastAsia="en-CA"/>
              </w:rPr>
            </w:pPr>
            <w:r w:rsidRPr="00B42089">
              <w:rPr>
                <w:rFonts w:ascii="Calibri" w:hAnsi="Calibri" w:cs="Calibri"/>
                <w:b/>
                <w:bCs/>
                <w:color w:val="000000"/>
                <w:szCs w:val="20"/>
                <w:lang w:val="en-CA" w:eastAsia="en-CA"/>
              </w:rPr>
              <w:t xml:space="preserve"> $ 62,146 </w:t>
            </w:r>
          </w:p>
        </w:tc>
        <w:tc>
          <w:tcPr>
            <w:tcW w:w="1560" w:type="dxa"/>
            <w:tcBorders>
              <w:top w:val="single" w:sz="4" w:space="0" w:color="auto"/>
              <w:left w:val="nil"/>
              <w:bottom w:val="single" w:sz="12" w:space="0" w:color="auto"/>
              <w:right w:val="nil"/>
            </w:tcBorders>
            <w:shd w:val="clear" w:color="auto" w:fill="auto"/>
            <w:noWrap/>
            <w:vAlign w:val="center"/>
            <w:hideMark/>
          </w:tcPr>
          <w:p w14:paraId="53FFF6F5" w14:textId="7EAF81F2" w:rsidR="00B42089" w:rsidRPr="00B42089" w:rsidRDefault="00B42089" w:rsidP="00B42089">
            <w:pPr>
              <w:jc w:val="right"/>
              <w:rPr>
                <w:rFonts w:ascii="Calibri" w:hAnsi="Calibri" w:cs="Calibri"/>
                <w:color w:val="000000"/>
                <w:szCs w:val="20"/>
                <w:lang w:val="en-CA" w:eastAsia="en-CA"/>
              </w:rPr>
            </w:pPr>
            <w:r w:rsidRPr="00B42089">
              <w:rPr>
                <w:rFonts w:ascii="Calibri" w:hAnsi="Calibri" w:cs="Calibri"/>
                <w:color w:val="000000"/>
                <w:szCs w:val="20"/>
                <w:lang w:val="en-CA" w:eastAsia="en-CA"/>
              </w:rPr>
              <w:t xml:space="preserve"> $ 96,380 </w:t>
            </w:r>
          </w:p>
        </w:tc>
      </w:tr>
    </w:tbl>
    <w:p w14:paraId="489D9849" w14:textId="4F5AC33F" w:rsidR="008D6468" w:rsidRPr="00FC2211" w:rsidRDefault="008D6468" w:rsidP="00FE4EBC">
      <w:pPr>
        <w:ind w:left="284" w:firstLine="1"/>
        <w:jc w:val="center"/>
        <w:rPr>
          <w:rFonts w:cstheme="minorHAnsi"/>
          <w:szCs w:val="20"/>
        </w:rPr>
      </w:pPr>
    </w:p>
    <w:p w14:paraId="78667D73" w14:textId="77777777" w:rsidR="00FE4EBC" w:rsidRDefault="00FE4EBC" w:rsidP="00181C29">
      <w:pPr>
        <w:ind w:left="284"/>
        <w:jc w:val="both"/>
        <w:rPr>
          <w:rFonts w:cstheme="minorHAnsi"/>
          <w:szCs w:val="20"/>
          <w:lang w:val="en-CA"/>
        </w:rPr>
      </w:pPr>
    </w:p>
    <w:p w14:paraId="60E80F3F" w14:textId="6BD01DE3" w:rsidR="008D6468" w:rsidRPr="00FC2211" w:rsidRDefault="008D6468" w:rsidP="00181C29">
      <w:pPr>
        <w:ind w:left="284"/>
        <w:jc w:val="both"/>
        <w:rPr>
          <w:rFonts w:cstheme="minorHAnsi"/>
          <w:szCs w:val="20"/>
          <w:lang w:val="en-CA"/>
        </w:rPr>
      </w:pPr>
      <w:r w:rsidRPr="00FC2211">
        <w:rPr>
          <w:rFonts w:cstheme="minorHAnsi"/>
          <w:szCs w:val="20"/>
          <w:lang w:val="en-CA"/>
        </w:rPr>
        <w:t xml:space="preserve">Other </w:t>
      </w:r>
      <w:r w:rsidR="000A0485" w:rsidRPr="00FC2211">
        <w:rPr>
          <w:rFonts w:cstheme="minorHAnsi"/>
          <w:szCs w:val="20"/>
          <w:lang w:val="en-CA"/>
        </w:rPr>
        <w:t>prepaid</w:t>
      </w:r>
      <w:r w:rsidRPr="00FC2211">
        <w:rPr>
          <w:rFonts w:cstheme="minorHAnsi"/>
          <w:szCs w:val="20"/>
          <w:lang w:val="en-CA"/>
        </w:rPr>
        <w:t xml:space="preserve"> consist of </w:t>
      </w:r>
      <w:r w:rsidR="00632D40">
        <w:rPr>
          <w:rFonts w:cstheme="minorHAnsi"/>
          <w:szCs w:val="20"/>
          <w:lang w:val="en-CA"/>
        </w:rPr>
        <w:t>advances to</w:t>
      </w:r>
      <w:r w:rsidR="00DC634A">
        <w:rPr>
          <w:rFonts w:cstheme="minorHAnsi"/>
          <w:szCs w:val="20"/>
          <w:lang w:val="en-CA"/>
        </w:rPr>
        <w:t xml:space="preserve"> contractors and</w:t>
      </w:r>
      <w:r w:rsidR="00632D40">
        <w:rPr>
          <w:rFonts w:cstheme="minorHAnsi"/>
          <w:szCs w:val="20"/>
          <w:lang w:val="en-CA"/>
        </w:rPr>
        <w:t xml:space="preserve"> suppliers</w:t>
      </w:r>
      <w:r w:rsidRPr="00FC2211">
        <w:rPr>
          <w:rFonts w:cstheme="minorHAnsi"/>
          <w:szCs w:val="20"/>
          <w:lang w:val="en-CA"/>
        </w:rPr>
        <w:t xml:space="preserve"> for goods and </w:t>
      </w:r>
      <w:r w:rsidR="006333D6" w:rsidRPr="00FC2211">
        <w:rPr>
          <w:rFonts w:cstheme="minorHAnsi"/>
          <w:szCs w:val="20"/>
          <w:lang w:val="en-CA"/>
        </w:rPr>
        <w:t>services</w:t>
      </w:r>
      <w:r w:rsidRPr="00FC2211">
        <w:rPr>
          <w:rFonts w:cstheme="minorHAnsi"/>
          <w:szCs w:val="20"/>
          <w:lang w:val="en-CA"/>
        </w:rPr>
        <w:t xml:space="preserve"> delivered subsequent</w:t>
      </w:r>
      <w:r w:rsidR="002E3623" w:rsidRPr="00FC2211">
        <w:rPr>
          <w:rFonts w:cstheme="minorHAnsi"/>
          <w:szCs w:val="20"/>
          <w:lang w:val="en-CA"/>
        </w:rPr>
        <w:t xml:space="preserve"> </w:t>
      </w:r>
      <w:r w:rsidRPr="00FC2211">
        <w:rPr>
          <w:rFonts w:cstheme="minorHAnsi"/>
          <w:szCs w:val="20"/>
          <w:lang w:val="en-CA"/>
        </w:rPr>
        <w:t xml:space="preserve">to the </w:t>
      </w:r>
      <w:r w:rsidR="00FC2211" w:rsidRPr="00FC2211">
        <w:rPr>
          <w:rFonts w:cstheme="minorHAnsi"/>
          <w:szCs w:val="20"/>
          <w:lang w:val="en-CA"/>
        </w:rPr>
        <w:t>period</w:t>
      </w:r>
      <w:r w:rsidR="003E30AA" w:rsidRPr="00FC2211">
        <w:rPr>
          <w:rFonts w:cstheme="minorHAnsi"/>
          <w:szCs w:val="20"/>
          <w:lang w:val="en-CA"/>
        </w:rPr>
        <w:t>-end</w:t>
      </w:r>
      <w:r w:rsidR="00B25EB2" w:rsidRPr="00FC2211">
        <w:rPr>
          <w:rFonts w:cstheme="minorHAnsi"/>
          <w:szCs w:val="20"/>
          <w:lang w:val="en-CA"/>
        </w:rPr>
        <w:t xml:space="preserve">ing </w:t>
      </w:r>
      <w:r w:rsidR="00632D40">
        <w:rPr>
          <w:rFonts w:cstheme="minorHAnsi"/>
          <w:szCs w:val="20"/>
          <w:lang w:val="en-CA"/>
        </w:rPr>
        <w:t>March 31, 2024</w:t>
      </w:r>
      <w:r w:rsidR="00FF6F4B" w:rsidRPr="00FC2211">
        <w:rPr>
          <w:rFonts w:cstheme="minorHAnsi"/>
          <w:szCs w:val="20"/>
          <w:lang w:val="en-CA"/>
        </w:rPr>
        <w:t>.</w:t>
      </w:r>
    </w:p>
    <w:p w14:paraId="2376AA01" w14:textId="77777777" w:rsidR="00574786" w:rsidRPr="00FC2211" w:rsidRDefault="00574786" w:rsidP="002E3623">
      <w:pPr>
        <w:ind w:left="284"/>
        <w:rPr>
          <w:rFonts w:cstheme="minorHAnsi"/>
          <w:szCs w:val="20"/>
          <w:lang w:val="en-CA"/>
        </w:rPr>
      </w:pPr>
    </w:p>
    <w:p w14:paraId="1582E124" w14:textId="77777777" w:rsidR="00574786" w:rsidRPr="00FC2211" w:rsidRDefault="00574786" w:rsidP="002E3623">
      <w:pPr>
        <w:ind w:left="284"/>
        <w:rPr>
          <w:rFonts w:cstheme="minorHAnsi"/>
          <w:szCs w:val="20"/>
          <w:lang w:val="en-CA"/>
        </w:rPr>
      </w:pPr>
    </w:p>
    <w:p w14:paraId="694773E5" w14:textId="17FE9E20" w:rsidR="00574786" w:rsidRPr="00FC2211" w:rsidRDefault="00574786" w:rsidP="00574786">
      <w:pPr>
        <w:pStyle w:val="Heading1"/>
        <w:spacing w:before="0"/>
        <w:rPr>
          <w:rFonts w:cstheme="minorHAnsi"/>
          <w:szCs w:val="20"/>
          <w:lang w:val="en-CA"/>
        </w:rPr>
      </w:pPr>
      <w:r w:rsidRPr="00FC2211">
        <w:rPr>
          <w:rFonts w:cstheme="minorHAnsi"/>
          <w:szCs w:val="20"/>
          <w:lang w:val="en-GB"/>
        </w:rPr>
        <w:t xml:space="preserve">8.   </w:t>
      </w:r>
      <w:r w:rsidR="002E47DC" w:rsidRPr="00FC2211">
        <w:rPr>
          <w:rFonts w:cstheme="minorHAnsi"/>
          <w:szCs w:val="20"/>
        </w:rPr>
        <w:t>NOTE</w:t>
      </w:r>
      <w:r w:rsidRPr="00FC2211">
        <w:rPr>
          <w:rFonts w:cstheme="minorHAnsi"/>
          <w:szCs w:val="20"/>
        </w:rPr>
        <w:t xml:space="preserve"> RECEIVABLE</w:t>
      </w:r>
    </w:p>
    <w:p w14:paraId="243390D1" w14:textId="77777777" w:rsidR="00574786" w:rsidRPr="00FC2211" w:rsidRDefault="00574786" w:rsidP="00927D4B">
      <w:pPr>
        <w:ind w:left="284"/>
        <w:jc w:val="both"/>
        <w:rPr>
          <w:rFonts w:cstheme="minorHAnsi"/>
          <w:szCs w:val="20"/>
          <w:lang w:val="en-CA"/>
        </w:rPr>
      </w:pPr>
    </w:p>
    <w:p w14:paraId="52B6454A" w14:textId="0CB1361C" w:rsidR="00986EEB" w:rsidRPr="00FC2211" w:rsidRDefault="00B1010B" w:rsidP="00986EEB">
      <w:pPr>
        <w:ind w:left="284"/>
        <w:jc w:val="both"/>
        <w:rPr>
          <w:rFonts w:cstheme="minorHAnsi"/>
          <w:bCs/>
          <w:szCs w:val="20"/>
          <w:lang w:val="en-CA"/>
        </w:rPr>
      </w:pPr>
      <w:r w:rsidRPr="00FC2211">
        <w:rPr>
          <w:rFonts w:cstheme="minorHAnsi"/>
          <w:bCs/>
          <w:szCs w:val="20"/>
          <w:lang w:val="en-CA"/>
        </w:rPr>
        <w:t>O</w:t>
      </w:r>
      <w:r w:rsidR="007E4021" w:rsidRPr="00FC2211">
        <w:rPr>
          <w:rFonts w:cstheme="minorHAnsi"/>
          <w:bCs/>
          <w:szCs w:val="20"/>
          <w:lang w:val="en-CA"/>
        </w:rPr>
        <w:t xml:space="preserve">n </w:t>
      </w:r>
      <w:r w:rsidR="007A1C8D" w:rsidRPr="00FC2211">
        <w:rPr>
          <w:rFonts w:cstheme="minorHAnsi"/>
          <w:bCs/>
          <w:szCs w:val="20"/>
          <w:lang w:val="en-CA"/>
        </w:rPr>
        <w:t>May</w:t>
      </w:r>
      <w:r w:rsidR="007E4021" w:rsidRPr="00FC2211">
        <w:rPr>
          <w:rFonts w:cstheme="minorHAnsi"/>
          <w:bCs/>
          <w:szCs w:val="20"/>
          <w:lang w:val="en-CA"/>
        </w:rPr>
        <w:t xml:space="preserve"> 3</w:t>
      </w:r>
      <w:r w:rsidR="007A1C8D" w:rsidRPr="00FC2211">
        <w:rPr>
          <w:rFonts w:cstheme="minorHAnsi"/>
          <w:bCs/>
          <w:szCs w:val="20"/>
          <w:lang w:val="en-CA"/>
        </w:rPr>
        <w:t>, 2023</w:t>
      </w:r>
      <w:r w:rsidRPr="00FC2211">
        <w:rPr>
          <w:rFonts w:cstheme="minorHAnsi"/>
          <w:bCs/>
          <w:szCs w:val="20"/>
          <w:lang w:val="en-CA"/>
        </w:rPr>
        <w:t xml:space="preserve">, </w:t>
      </w:r>
      <w:r w:rsidR="00E34EF2" w:rsidRPr="00FC2211">
        <w:rPr>
          <w:rFonts w:cstheme="minorHAnsi"/>
          <w:bCs/>
          <w:szCs w:val="20"/>
          <w:lang w:val="en-CA"/>
        </w:rPr>
        <w:t xml:space="preserve">a third party issued a promissory note in </w:t>
      </w:r>
      <w:r w:rsidR="00833A04" w:rsidRPr="00FC2211">
        <w:rPr>
          <w:rFonts w:cstheme="minorHAnsi"/>
          <w:bCs/>
          <w:szCs w:val="20"/>
          <w:lang w:val="en-CA"/>
        </w:rPr>
        <w:t>favour</w:t>
      </w:r>
      <w:r w:rsidR="00E34EF2" w:rsidRPr="00FC2211">
        <w:rPr>
          <w:rFonts w:cstheme="minorHAnsi"/>
          <w:bCs/>
          <w:szCs w:val="20"/>
          <w:lang w:val="en-CA"/>
        </w:rPr>
        <w:t xml:space="preserve"> of </w:t>
      </w:r>
      <w:r w:rsidRPr="00FC2211">
        <w:rPr>
          <w:rFonts w:cstheme="minorHAnsi"/>
          <w:bCs/>
          <w:szCs w:val="20"/>
          <w:lang w:val="en-CA"/>
        </w:rPr>
        <w:t xml:space="preserve">the Company </w:t>
      </w:r>
      <w:r w:rsidR="00E34EF2" w:rsidRPr="00FC2211">
        <w:rPr>
          <w:rFonts w:cstheme="minorHAnsi"/>
          <w:bCs/>
          <w:szCs w:val="20"/>
          <w:lang w:val="en-CA"/>
        </w:rPr>
        <w:t>amounting to $25,000</w:t>
      </w:r>
      <w:r w:rsidR="008C227A" w:rsidRPr="00FC2211">
        <w:rPr>
          <w:rFonts w:cstheme="minorHAnsi"/>
          <w:bCs/>
          <w:szCs w:val="20"/>
          <w:lang w:val="en-CA"/>
        </w:rPr>
        <w:t xml:space="preserve">, with </w:t>
      </w:r>
      <w:r w:rsidR="00833A04" w:rsidRPr="00FC2211">
        <w:rPr>
          <w:rFonts w:cstheme="minorHAnsi"/>
          <w:bCs/>
          <w:szCs w:val="20"/>
          <w:lang w:val="en-CA"/>
        </w:rPr>
        <w:t xml:space="preserve">a </w:t>
      </w:r>
      <w:r w:rsidR="008C227A" w:rsidRPr="00FC2211">
        <w:rPr>
          <w:rFonts w:cstheme="minorHAnsi"/>
          <w:bCs/>
          <w:szCs w:val="20"/>
          <w:lang w:val="en-CA"/>
        </w:rPr>
        <w:t xml:space="preserve">maturity date </w:t>
      </w:r>
      <w:r w:rsidR="00833A04" w:rsidRPr="00FC2211">
        <w:rPr>
          <w:rFonts w:cstheme="minorHAnsi"/>
          <w:bCs/>
          <w:szCs w:val="20"/>
          <w:lang w:val="en-CA"/>
        </w:rPr>
        <w:t>of</w:t>
      </w:r>
      <w:r w:rsidR="008C227A" w:rsidRPr="00FC2211">
        <w:rPr>
          <w:rFonts w:cstheme="minorHAnsi"/>
          <w:bCs/>
          <w:szCs w:val="20"/>
          <w:lang w:val="en-CA"/>
        </w:rPr>
        <w:t xml:space="preserve"> April 4, 2024</w:t>
      </w:r>
      <w:r w:rsidR="007E4021" w:rsidRPr="00FC2211">
        <w:rPr>
          <w:rFonts w:cstheme="minorHAnsi"/>
          <w:bCs/>
          <w:szCs w:val="20"/>
          <w:lang w:val="en-CA"/>
        </w:rPr>
        <w:t xml:space="preserve">. </w:t>
      </w:r>
      <w:r w:rsidR="00B850C4" w:rsidRPr="00FC2211">
        <w:rPr>
          <w:rFonts w:cstheme="minorHAnsi"/>
          <w:bCs/>
          <w:szCs w:val="20"/>
          <w:lang w:val="en-CA"/>
        </w:rPr>
        <w:t>The unsecured promissory note</w:t>
      </w:r>
      <w:r w:rsidR="005C28BB" w:rsidRPr="00FC2211">
        <w:rPr>
          <w:rFonts w:cstheme="minorHAnsi"/>
          <w:bCs/>
          <w:szCs w:val="20"/>
          <w:lang w:val="en-CA"/>
        </w:rPr>
        <w:t xml:space="preserve"> bears an annual interest rate of 12% in the first year of the commitment period and 15% </w:t>
      </w:r>
      <w:r w:rsidR="00B850C4" w:rsidRPr="00FC2211">
        <w:rPr>
          <w:rFonts w:cstheme="minorHAnsi"/>
          <w:bCs/>
          <w:szCs w:val="20"/>
          <w:lang w:val="en-CA"/>
        </w:rPr>
        <w:t>after that</w:t>
      </w:r>
      <w:r w:rsidR="005C28BB" w:rsidRPr="00FC2211">
        <w:rPr>
          <w:rFonts w:cstheme="minorHAnsi"/>
          <w:bCs/>
          <w:szCs w:val="20"/>
          <w:lang w:val="en-CA"/>
        </w:rPr>
        <w:t>.</w:t>
      </w:r>
      <w:r w:rsidR="00023D88" w:rsidRPr="00FC2211">
        <w:t xml:space="preserve"> </w:t>
      </w:r>
      <w:r w:rsidR="005C28BB" w:rsidRPr="00FC2211">
        <w:rPr>
          <w:rFonts w:cstheme="minorHAnsi"/>
          <w:bCs/>
          <w:szCs w:val="20"/>
          <w:lang w:val="en-CA"/>
        </w:rPr>
        <w:t xml:space="preserve">During the </w:t>
      </w:r>
      <w:r w:rsidR="007816D6">
        <w:rPr>
          <w:rFonts w:cstheme="minorHAnsi"/>
          <w:bCs/>
          <w:szCs w:val="20"/>
          <w:lang w:val="en-CA"/>
        </w:rPr>
        <w:t>nine</w:t>
      </w:r>
      <w:r w:rsidR="00051A59" w:rsidRPr="00FC2211">
        <w:rPr>
          <w:rFonts w:cstheme="minorHAnsi"/>
          <w:bCs/>
          <w:szCs w:val="20"/>
          <w:lang w:val="en-CA"/>
        </w:rPr>
        <w:t xml:space="preserve"> </w:t>
      </w:r>
      <w:r w:rsidR="00F244E4" w:rsidRPr="00FC2211">
        <w:rPr>
          <w:rFonts w:cstheme="minorHAnsi"/>
          <w:bCs/>
          <w:szCs w:val="20"/>
          <w:lang w:val="en-CA"/>
        </w:rPr>
        <w:t>month</w:t>
      </w:r>
      <w:r w:rsidR="00051A59" w:rsidRPr="00FC2211">
        <w:rPr>
          <w:rFonts w:cstheme="minorHAnsi"/>
          <w:bCs/>
          <w:szCs w:val="20"/>
          <w:lang w:val="en-CA"/>
        </w:rPr>
        <w:t>s</w:t>
      </w:r>
      <w:r w:rsidR="005C28BB" w:rsidRPr="00FC2211">
        <w:rPr>
          <w:rFonts w:cstheme="minorHAnsi"/>
          <w:bCs/>
          <w:szCs w:val="20"/>
          <w:lang w:val="en-CA"/>
        </w:rPr>
        <w:t xml:space="preserve"> ended </w:t>
      </w:r>
      <w:r w:rsidR="007816D6">
        <w:rPr>
          <w:rFonts w:cstheme="minorHAnsi"/>
          <w:bCs/>
          <w:szCs w:val="20"/>
          <w:lang w:val="en-CA"/>
        </w:rPr>
        <w:t>March 31, 2024</w:t>
      </w:r>
      <w:r w:rsidR="005C28BB" w:rsidRPr="00FC2211">
        <w:rPr>
          <w:rFonts w:cstheme="minorHAnsi"/>
          <w:bCs/>
          <w:szCs w:val="20"/>
          <w:lang w:val="en-CA"/>
        </w:rPr>
        <w:t>, the interest income accrued from the note receivable amounted to $</w:t>
      </w:r>
      <w:r w:rsidR="007816D6">
        <w:rPr>
          <w:rFonts w:cstheme="minorHAnsi"/>
          <w:bCs/>
          <w:szCs w:val="20"/>
          <w:lang w:val="en-CA"/>
        </w:rPr>
        <w:t>2,</w:t>
      </w:r>
      <w:r w:rsidR="00535252">
        <w:rPr>
          <w:rFonts w:cstheme="minorHAnsi"/>
          <w:bCs/>
          <w:szCs w:val="20"/>
          <w:lang w:val="en-CA"/>
        </w:rPr>
        <w:t>250</w:t>
      </w:r>
      <w:r w:rsidR="00556EC2" w:rsidRPr="00FC2211">
        <w:rPr>
          <w:rFonts w:cstheme="minorHAnsi"/>
          <w:bCs/>
          <w:szCs w:val="20"/>
          <w:lang w:val="en-CA"/>
        </w:rPr>
        <w:t xml:space="preserve"> </w:t>
      </w:r>
      <w:r w:rsidR="005C28BB" w:rsidRPr="00FC2211">
        <w:rPr>
          <w:rFonts w:cstheme="minorHAnsi"/>
          <w:bCs/>
          <w:szCs w:val="20"/>
          <w:lang w:val="en-CA"/>
        </w:rPr>
        <w:t>(</w:t>
      </w:r>
      <w:r w:rsidR="00535252">
        <w:rPr>
          <w:rFonts w:cstheme="minorHAnsi"/>
          <w:bCs/>
          <w:szCs w:val="20"/>
          <w:lang w:val="en-CA"/>
        </w:rPr>
        <w:t>March 31, 2023</w:t>
      </w:r>
      <w:r w:rsidR="005C28BB" w:rsidRPr="00FC2211">
        <w:rPr>
          <w:rFonts w:cstheme="minorHAnsi"/>
          <w:bCs/>
          <w:szCs w:val="20"/>
          <w:lang w:val="en-CA"/>
        </w:rPr>
        <w:t xml:space="preserve"> - </w:t>
      </w:r>
      <w:r w:rsidR="00EB3813" w:rsidRPr="00FC2211">
        <w:rPr>
          <w:rFonts w:cstheme="minorHAnsi"/>
          <w:bCs/>
          <w:szCs w:val="20"/>
          <w:lang w:val="en-CA"/>
        </w:rPr>
        <w:t>$N</w:t>
      </w:r>
      <w:r w:rsidR="005C28BB" w:rsidRPr="00FC2211">
        <w:rPr>
          <w:rFonts w:cstheme="minorHAnsi"/>
          <w:bCs/>
          <w:szCs w:val="20"/>
          <w:lang w:val="en-CA"/>
        </w:rPr>
        <w:t>il).</w:t>
      </w:r>
      <w:r w:rsidR="00927D4B" w:rsidRPr="00FC2211">
        <w:rPr>
          <w:rFonts w:cstheme="minorHAnsi"/>
          <w:bCs/>
          <w:szCs w:val="20"/>
          <w:lang w:val="en-CA"/>
        </w:rPr>
        <w:t xml:space="preserve"> </w:t>
      </w:r>
    </w:p>
    <w:p w14:paraId="7F4293F6" w14:textId="77777777" w:rsidR="00986EEB" w:rsidRPr="00FC2211" w:rsidRDefault="00986EEB" w:rsidP="00986EEB">
      <w:pPr>
        <w:ind w:left="284"/>
        <w:jc w:val="both"/>
        <w:rPr>
          <w:rFonts w:cstheme="minorHAnsi"/>
          <w:bCs/>
          <w:szCs w:val="20"/>
          <w:lang w:val="en-CA"/>
        </w:rPr>
      </w:pPr>
    </w:p>
    <w:p w14:paraId="6474D98B" w14:textId="358D0D43" w:rsidR="007A1C8D" w:rsidRPr="00FC2211" w:rsidRDefault="00D366D5" w:rsidP="00986EEB">
      <w:pPr>
        <w:ind w:left="284"/>
        <w:jc w:val="both"/>
        <w:rPr>
          <w:rFonts w:cstheme="minorHAnsi"/>
          <w:bCs/>
          <w:szCs w:val="20"/>
          <w:lang w:val="en-CA"/>
        </w:rPr>
      </w:pPr>
      <w:r w:rsidRPr="00FC2211">
        <w:rPr>
          <w:rFonts w:eastAsia="Calibri" w:cstheme="minorHAnsi"/>
          <w:szCs w:val="20"/>
        </w:rPr>
        <w:t>The reconciliation of opening and closing balances of notes receivable follows:</w:t>
      </w:r>
    </w:p>
    <w:p w14:paraId="0EE3F245" w14:textId="77777777" w:rsidR="005C28BB" w:rsidRPr="00FC2211" w:rsidRDefault="005C28BB" w:rsidP="00D366D5">
      <w:pPr>
        <w:pStyle w:val="NormalWeb"/>
        <w:ind w:left="357"/>
        <w:jc w:val="both"/>
        <w:rPr>
          <w:rFonts w:eastAsia="Calibri" w:cstheme="minorHAnsi"/>
          <w:szCs w:val="20"/>
        </w:rPr>
      </w:pPr>
    </w:p>
    <w:tbl>
      <w:tblPr>
        <w:tblW w:w="4972" w:type="dxa"/>
        <w:jc w:val="center"/>
        <w:tblLook w:val="04A0" w:firstRow="1" w:lastRow="0" w:firstColumn="1" w:lastColumn="0" w:noHBand="0" w:noVBand="1"/>
      </w:tblPr>
      <w:tblGrid>
        <w:gridCol w:w="3496"/>
        <w:gridCol w:w="1476"/>
      </w:tblGrid>
      <w:tr w:rsidR="001F4643" w:rsidRPr="001F4643" w14:paraId="1AD2AEE2" w14:textId="77777777" w:rsidTr="001260C3">
        <w:trPr>
          <w:trHeight w:val="288"/>
          <w:jc w:val="center"/>
        </w:trPr>
        <w:tc>
          <w:tcPr>
            <w:tcW w:w="3496" w:type="dxa"/>
            <w:tcBorders>
              <w:top w:val="nil"/>
              <w:left w:val="nil"/>
              <w:bottom w:val="nil"/>
              <w:right w:val="nil"/>
            </w:tcBorders>
            <w:shd w:val="clear" w:color="auto" w:fill="auto"/>
            <w:noWrap/>
            <w:vAlign w:val="bottom"/>
            <w:hideMark/>
          </w:tcPr>
          <w:p w14:paraId="5F4878DB" w14:textId="77777777" w:rsidR="001F4643" w:rsidRPr="001F4643" w:rsidRDefault="001F4643" w:rsidP="001F4643">
            <w:pPr>
              <w:rPr>
                <w:rFonts w:ascii="Times New Roman" w:hAnsi="Times New Roman"/>
                <w:sz w:val="24"/>
                <w:szCs w:val="20"/>
                <w:lang w:val="en-CA" w:eastAsia="en-CA"/>
              </w:rPr>
            </w:pPr>
          </w:p>
        </w:tc>
        <w:tc>
          <w:tcPr>
            <w:tcW w:w="1476" w:type="dxa"/>
            <w:tcBorders>
              <w:top w:val="nil"/>
              <w:left w:val="nil"/>
              <w:bottom w:val="single" w:sz="8" w:space="0" w:color="auto"/>
              <w:right w:val="nil"/>
            </w:tcBorders>
            <w:shd w:val="clear" w:color="auto" w:fill="auto"/>
            <w:noWrap/>
            <w:vAlign w:val="bottom"/>
            <w:hideMark/>
          </w:tcPr>
          <w:p w14:paraId="7A51450B" w14:textId="77777777" w:rsidR="001F4643" w:rsidRPr="001F4643" w:rsidRDefault="001F4643" w:rsidP="001F4643">
            <w:pPr>
              <w:jc w:val="center"/>
              <w:rPr>
                <w:rFonts w:ascii="Calibri" w:hAnsi="Calibri" w:cs="Calibri"/>
                <w:b/>
                <w:bCs/>
                <w:color w:val="000000"/>
                <w:szCs w:val="20"/>
                <w:lang w:val="en-CA" w:eastAsia="en-CA"/>
              </w:rPr>
            </w:pPr>
            <w:r w:rsidRPr="001F4643">
              <w:rPr>
                <w:rFonts w:ascii="Calibri" w:hAnsi="Calibri" w:cs="Calibri"/>
                <w:b/>
                <w:bCs/>
                <w:color w:val="000000"/>
                <w:szCs w:val="20"/>
                <w:lang w:val="en-CA" w:eastAsia="en-CA"/>
              </w:rPr>
              <w:t>Amount</w:t>
            </w:r>
          </w:p>
        </w:tc>
      </w:tr>
      <w:tr w:rsidR="001F4643" w:rsidRPr="001F4643" w14:paraId="705CE116" w14:textId="77777777" w:rsidTr="001260C3">
        <w:trPr>
          <w:trHeight w:val="276"/>
          <w:jc w:val="center"/>
        </w:trPr>
        <w:tc>
          <w:tcPr>
            <w:tcW w:w="3496" w:type="dxa"/>
            <w:tcBorders>
              <w:top w:val="nil"/>
              <w:left w:val="nil"/>
              <w:bottom w:val="nil"/>
              <w:right w:val="nil"/>
            </w:tcBorders>
            <w:shd w:val="clear" w:color="auto" w:fill="auto"/>
            <w:noWrap/>
            <w:vAlign w:val="bottom"/>
            <w:hideMark/>
          </w:tcPr>
          <w:p w14:paraId="1F8BDF8F" w14:textId="77777777" w:rsidR="001F4643" w:rsidRPr="001F4643" w:rsidRDefault="001F4643" w:rsidP="001F4643">
            <w:pPr>
              <w:rPr>
                <w:rFonts w:ascii="Calibri" w:hAnsi="Calibri" w:cs="Calibri"/>
                <w:color w:val="000000"/>
                <w:szCs w:val="20"/>
                <w:lang w:val="en-CA" w:eastAsia="en-CA"/>
              </w:rPr>
            </w:pPr>
            <w:r w:rsidRPr="001F4643">
              <w:rPr>
                <w:rFonts w:ascii="Calibri" w:hAnsi="Calibri" w:cs="Calibri"/>
                <w:color w:val="000000"/>
                <w:szCs w:val="20"/>
                <w:lang w:val="en-CA" w:eastAsia="en-CA"/>
              </w:rPr>
              <w:t>Balance, June 30, 2022</w:t>
            </w:r>
          </w:p>
        </w:tc>
        <w:tc>
          <w:tcPr>
            <w:tcW w:w="1476" w:type="dxa"/>
            <w:tcBorders>
              <w:top w:val="nil"/>
              <w:left w:val="nil"/>
              <w:bottom w:val="nil"/>
              <w:right w:val="nil"/>
            </w:tcBorders>
            <w:shd w:val="clear" w:color="auto" w:fill="auto"/>
            <w:noWrap/>
            <w:vAlign w:val="bottom"/>
            <w:hideMark/>
          </w:tcPr>
          <w:p w14:paraId="540C210D" w14:textId="573E6E76" w:rsidR="001F4643" w:rsidRPr="001F4643" w:rsidRDefault="001260C3" w:rsidP="001260C3">
            <w:pPr>
              <w:ind w:right="125"/>
              <w:jc w:val="right"/>
              <w:rPr>
                <w:rFonts w:ascii="Calibri" w:hAnsi="Calibri" w:cs="Calibri"/>
                <w:color w:val="000000"/>
                <w:szCs w:val="20"/>
                <w:lang w:val="en-CA" w:eastAsia="en-CA"/>
              </w:rPr>
            </w:pPr>
            <w:r>
              <w:rPr>
                <w:rFonts w:ascii="Calibri" w:hAnsi="Calibri" w:cs="Calibri"/>
                <w:color w:val="000000"/>
                <w:szCs w:val="20"/>
                <w:lang w:val="en-CA" w:eastAsia="en-CA"/>
              </w:rPr>
              <w:t>$</w:t>
            </w:r>
            <w:r w:rsidR="001F4643" w:rsidRPr="001F4643">
              <w:rPr>
                <w:rFonts w:ascii="Calibri" w:hAnsi="Calibri" w:cs="Calibri"/>
                <w:color w:val="000000"/>
                <w:szCs w:val="20"/>
                <w:lang w:val="en-CA" w:eastAsia="en-CA"/>
              </w:rPr>
              <w:t xml:space="preserve">          -   </w:t>
            </w:r>
          </w:p>
        </w:tc>
      </w:tr>
      <w:tr w:rsidR="001F4643" w:rsidRPr="001F4643" w14:paraId="72C00B14" w14:textId="77777777" w:rsidTr="001260C3">
        <w:trPr>
          <w:trHeight w:val="276"/>
          <w:jc w:val="center"/>
        </w:trPr>
        <w:tc>
          <w:tcPr>
            <w:tcW w:w="3496" w:type="dxa"/>
            <w:tcBorders>
              <w:top w:val="nil"/>
              <w:left w:val="nil"/>
              <w:bottom w:val="nil"/>
              <w:right w:val="nil"/>
            </w:tcBorders>
            <w:shd w:val="clear" w:color="auto" w:fill="auto"/>
            <w:noWrap/>
            <w:vAlign w:val="bottom"/>
            <w:hideMark/>
          </w:tcPr>
          <w:p w14:paraId="36340260" w14:textId="77777777" w:rsidR="001F4643" w:rsidRPr="001F4643" w:rsidRDefault="001F4643" w:rsidP="001F4643">
            <w:pPr>
              <w:rPr>
                <w:rFonts w:ascii="Calibri" w:hAnsi="Calibri" w:cs="Calibri"/>
                <w:color w:val="000000"/>
                <w:szCs w:val="20"/>
                <w:lang w:val="en-CA" w:eastAsia="en-CA"/>
              </w:rPr>
            </w:pPr>
            <w:r w:rsidRPr="001F4643">
              <w:rPr>
                <w:rFonts w:ascii="Calibri" w:hAnsi="Calibri" w:cs="Calibri"/>
                <w:color w:val="000000"/>
                <w:szCs w:val="20"/>
                <w:lang w:val="en-CA" w:eastAsia="en-CA"/>
              </w:rPr>
              <w:t>Notes Receivable during the year</w:t>
            </w:r>
          </w:p>
        </w:tc>
        <w:tc>
          <w:tcPr>
            <w:tcW w:w="1476" w:type="dxa"/>
            <w:tcBorders>
              <w:top w:val="nil"/>
              <w:left w:val="nil"/>
              <w:bottom w:val="nil"/>
              <w:right w:val="nil"/>
            </w:tcBorders>
            <w:shd w:val="clear" w:color="auto" w:fill="auto"/>
            <w:noWrap/>
            <w:vAlign w:val="bottom"/>
            <w:hideMark/>
          </w:tcPr>
          <w:p w14:paraId="044C009C" w14:textId="77777777" w:rsidR="001F4643" w:rsidRPr="001F4643" w:rsidRDefault="001F4643" w:rsidP="001260C3">
            <w:pPr>
              <w:jc w:val="right"/>
              <w:rPr>
                <w:rFonts w:ascii="Calibri" w:hAnsi="Calibri" w:cs="Calibri"/>
                <w:color w:val="000000"/>
                <w:szCs w:val="20"/>
                <w:lang w:val="en-CA" w:eastAsia="en-CA"/>
              </w:rPr>
            </w:pPr>
            <w:r w:rsidRPr="001F4643">
              <w:rPr>
                <w:rFonts w:ascii="Calibri" w:hAnsi="Calibri" w:cs="Calibri"/>
                <w:color w:val="000000"/>
                <w:szCs w:val="20"/>
                <w:lang w:val="en-CA" w:eastAsia="en-CA"/>
              </w:rPr>
              <w:t xml:space="preserve">               25,000 </w:t>
            </w:r>
          </w:p>
        </w:tc>
      </w:tr>
      <w:tr w:rsidR="001F4643" w:rsidRPr="001F4643" w14:paraId="77EE47AD" w14:textId="77777777" w:rsidTr="001260C3">
        <w:trPr>
          <w:trHeight w:val="276"/>
          <w:jc w:val="center"/>
        </w:trPr>
        <w:tc>
          <w:tcPr>
            <w:tcW w:w="3496" w:type="dxa"/>
            <w:tcBorders>
              <w:top w:val="nil"/>
              <w:left w:val="nil"/>
              <w:bottom w:val="nil"/>
              <w:right w:val="nil"/>
            </w:tcBorders>
            <w:shd w:val="clear" w:color="auto" w:fill="auto"/>
            <w:noWrap/>
            <w:vAlign w:val="bottom"/>
            <w:hideMark/>
          </w:tcPr>
          <w:p w14:paraId="4C75F720" w14:textId="77777777" w:rsidR="001F4643" w:rsidRPr="001F4643" w:rsidRDefault="001F4643" w:rsidP="001F4643">
            <w:pPr>
              <w:rPr>
                <w:rFonts w:ascii="Calibri" w:hAnsi="Calibri" w:cs="Calibri"/>
                <w:color w:val="000000"/>
                <w:szCs w:val="20"/>
                <w:lang w:val="en-CA" w:eastAsia="en-CA"/>
              </w:rPr>
            </w:pPr>
            <w:r w:rsidRPr="001F4643">
              <w:rPr>
                <w:rFonts w:ascii="Calibri" w:hAnsi="Calibri" w:cs="Calibri"/>
                <w:color w:val="000000"/>
                <w:szCs w:val="20"/>
                <w:lang w:val="en-CA" w:eastAsia="en-CA"/>
              </w:rPr>
              <w:t>Interest Accrued</w:t>
            </w:r>
          </w:p>
        </w:tc>
        <w:tc>
          <w:tcPr>
            <w:tcW w:w="1476" w:type="dxa"/>
            <w:tcBorders>
              <w:top w:val="nil"/>
              <w:left w:val="nil"/>
              <w:bottom w:val="nil"/>
              <w:right w:val="nil"/>
            </w:tcBorders>
            <w:shd w:val="clear" w:color="auto" w:fill="auto"/>
            <w:noWrap/>
            <w:vAlign w:val="bottom"/>
            <w:hideMark/>
          </w:tcPr>
          <w:p w14:paraId="64966003" w14:textId="77777777" w:rsidR="001F4643" w:rsidRPr="001F4643" w:rsidRDefault="001F4643" w:rsidP="001260C3">
            <w:pPr>
              <w:jc w:val="right"/>
              <w:rPr>
                <w:rFonts w:ascii="Calibri" w:hAnsi="Calibri" w:cs="Calibri"/>
                <w:color w:val="000000"/>
                <w:szCs w:val="20"/>
                <w:lang w:val="en-CA" w:eastAsia="en-CA"/>
              </w:rPr>
            </w:pPr>
            <w:r w:rsidRPr="001F4643">
              <w:rPr>
                <w:rFonts w:ascii="Calibri" w:hAnsi="Calibri" w:cs="Calibri"/>
                <w:color w:val="000000"/>
                <w:szCs w:val="20"/>
                <w:lang w:val="en-CA" w:eastAsia="en-CA"/>
              </w:rPr>
              <w:t xml:space="preserve">                    393 </w:t>
            </w:r>
          </w:p>
        </w:tc>
      </w:tr>
      <w:tr w:rsidR="001F4643" w:rsidRPr="001F4643" w14:paraId="0A86C483" w14:textId="77777777" w:rsidTr="001260C3">
        <w:trPr>
          <w:trHeight w:val="276"/>
          <w:jc w:val="center"/>
        </w:trPr>
        <w:tc>
          <w:tcPr>
            <w:tcW w:w="3496" w:type="dxa"/>
            <w:tcBorders>
              <w:top w:val="nil"/>
              <w:left w:val="nil"/>
              <w:bottom w:val="nil"/>
              <w:right w:val="nil"/>
            </w:tcBorders>
            <w:shd w:val="clear" w:color="auto" w:fill="auto"/>
            <w:noWrap/>
            <w:vAlign w:val="bottom"/>
            <w:hideMark/>
          </w:tcPr>
          <w:p w14:paraId="0B40A9F8" w14:textId="77777777" w:rsidR="001F4643" w:rsidRPr="001F4643" w:rsidRDefault="001F4643" w:rsidP="001F4643">
            <w:pPr>
              <w:rPr>
                <w:rFonts w:ascii="Calibri" w:hAnsi="Calibri" w:cs="Calibri"/>
                <w:color w:val="000000"/>
                <w:szCs w:val="20"/>
                <w:lang w:val="en-CA" w:eastAsia="en-CA"/>
              </w:rPr>
            </w:pPr>
            <w:r w:rsidRPr="001F4643">
              <w:rPr>
                <w:rFonts w:ascii="Calibri" w:hAnsi="Calibri" w:cs="Calibri"/>
                <w:color w:val="000000"/>
                <w:szCs w:val="20"/>
                <w:lang w:val="en-CA" w:eastAsia="en-CA"/>
              </w:rPr>
              <w:t>Balance, June 30, 2023</w:t>
            </w:r>
          </w:p>
        </w:tc>
        <w:tc>
          <w:tcPr>
            <w:tcW w:w="1476" w:type="dxa"/>
            <w:tcBorders>
              <w:top w:val="single" w:sz="4" w:space="0" w:color="auto"/>
              <w:left w:val="nil"/>
              <w:bottom w:val="single" w:sz="4" w:space="0" w:color="auto"/>
              <w:right w:val="nil"/>
            </w:tcBorders>
            <w:shd w:val="clear" w:color="auto" w:fill="auto"/>
            <w:noWrap/>
            <w:vAlign w:val="bottom"/>
            <w:hideMark/>
          </w:tcPr>
          <w:p w14:paraId="4AC534C8" w14:textId="77777777" w:rsidR="001F4643" w:rsidRPr="001F4643" w:rsidRDefault="001F4643" w:rsidP="001260C3">
            <w:pPr>
              <w:jc w:val="right"/>
              <w:rPr>
                <w:rFonts w:ascii="Calibri" w:hAnsi="Calibri" w:cs="Calibri"/>
                <w:color w:val="000000"/>
                <w:szCs w:val="20"/>
                <w:lang w:val="en-CA" w:eastAsia="en-CA"/>
              </w:rPr>
            </w:pPr>
            <w:r w:rsidRPr="001F4643">
              <w:rPr>
                <w:rFonts w:ascii="Calibri" w:hAnsi="Calibri" w:cs="Calibri"/>
                <w:color w:val="000000"/>
                <w:szCs w:val="20"/>
                <w:lang w:val="en-CA" w:eastAsia="en-CA"/>
              </w:rPr>
              <w:t xml:space="preserve">               25,393 </w:t>
            </w:r>
          </w:p>
        </w:tc>
      </w:tr>
      <w:tr w:rsidR="001F4643" w:rsidRPr="001F4643" w14:paraId="10CD9A00" w14:textId="77777777" w:rsidTr="001260C3">
        <w:trPr>
          <w:trHeight w:val="276"/>
          <w:jc w:val="center"/>
        </w:trPr>
        <w:tc>
          <w:tcPr>
            <w:tcW w:w="3496" w:type="dxa"/>
            <w:tcBorders>
              <w:top w:val="nil"/>
              <w:left w:val="nil"/>
              <w:bottom w:val="nil"/>
              <w:right w:val="nil"/>
            </w:tcBorders>
            <w:shd w:val="clear" w:color="auto" w:fill="auto"/>
            <w:noWrap/>
            <w:vAlign w:val="bottom"/>
            <w:hideMark/>
          </w:tcPr>
          <w:p w14:paraId="6F2D7F9F" w14:textId="77777777" w:rsidR="001F4643" w:rsidRPr="001F4643" w:rsidRDefault="001F4643" w:rsidP="001F4643">
            <w:pPr>
              <w:rPr>
                <w:rFonts w:ascii="Calibri" w:hAnsi="Calibri" w:cs="Calibri"/>
                <w:b/>
                <w:bCs/>
                <w:color w:val="000000"/>
                <w:szCs w:val="20"/>
                <w:lang w:val="en-CA" w:eastAsia="en-CA"/>
              </w:rPr>
            </w:pPr>
            <w:r w:rsidRPr="001F4643">
              <w:rPr>
                <w:rFonts w:ascii="Calibri" w:hAnsi="Calibri" w:cs="Calibri"/>
                <w:b/>
                <w:bCs/>
                <w:color w:val="000000"/>
                <w:szCs w:val="20"/>
                <w:lang w:val="en-CA" w:eastAsia="en-CA"/>
              </w:rPr>
              <w:t>Interest Accrued</w:t>
            </w:r>
          </w:p>
        </w:tc>
        <w:tc>
          <w:tcPr>
            <w:tcW w:w="1476" w:type="dxa"/>
            <w:tcBorders>
              <w:top w:val="nil"/>
              <w:left w:val="nil"/>
              <w:bottom w:val="single" w:sz="4" w:space="0" w:color="auto"/>
              <w:right w:val="nil"/>
            </w:tcBorders>
            <w:shd w:val="clear" w:color="auto" w:fill="auto"/>
            <w:noWrap/>
            <w:vAlign w:val="bottom"/>
            <w:hideMark/>
          </w:tcPr>
          <w:p w14:paraId="3F85F325" w14:textId="77777777" w:rsidR="001F4643" w:rsidRPr="001F4643" w:rsidRDefault="001F4643" w:rsidP="001260C3">
            <w:pPr>
              <w:jc w:val="right"/>
              <w:rPr>
                <w:rFonts w:ascii="Calibri" w:hAnsi="Calibri" w:cs="Calibri"/>
                <w:b/>
                <w:bCs/>
                <w:color w:val="000000"/>
                <w:szCs w:val="20"/>
                <w:lang w:val="en-CA" w:eastAsia="en-CA"/>
              </w:rPr>
            </w:pPr>
            <w:r w:rsidRPr="001F4643">
              <w:rPr>
                <w:rFonts w:ascii="Calibri" w:hAnsi="Calibri" w:cs="Calibri"/>
                <w:b/>
                <w:bCs/>
                <w:color w:val="000000"/>
                <w:szCs w:val="20"/>
                <w:lang w:val="en-CA" w:eastAsia="en-CA"/>
              </w:rPr>
              <w:t xml:space="preserve">                 2,250 </w:t>
            </w:r>
          </w:p>
        </w:tc>
      </w:tr>
      <w:tr w:rsidR="001F4643" w:rsidRPr="001F4643" w14:paraId="13656789" w14:textId="77777777" w:rsidTr="001260C3">
        <w:trPr>
          <w:trHeight w:val="288"/>
          <w:jc w:val="center"/>
        </w:trPr>
        <w:tc>
          <w:tcPr>
            <w:tcW w:w="3496" w:type="dxa"/>
            <w:tcBorders>
              <w:top w:val="nil"/>
              <w:left w:val="nil"/>
              <w:bottom w:val="nil"/>
              <w:right w:val="nil"/>
            </w:tcBorders>
            <w:shd w:val="clear" w:color="auto" w:fill="auto"/>
            <w:noWrap/>
            <w:vAlign w:val="bottom"/>
            <w:hideMark/>
          </w:tcPr>
          <w:p w14:paraId="3A99B762" w14:textId="77777777" w:rsidR="001F4643" w:rsidRPr="001F4643" w:rsidRDefault="001F4643" w:rsidP="001F4643">
            <w:pPr>
              <w:rPr>
                <w:rFonts w:ascii="Calibri" w:hAnsi="Calibri" w:cs="Calibri"/>
                <w:b/>
                <w:bCs/>
                <w:color w:val="000000"/>
                <w:szCs w:val="20"/>
                <w:lang w:val="en-CA" w:eastAsia="en-CA"/>
              </w:rPr>
            </w:pPr>
            <w:r w:rsidRPr="001F4643">
              <w:rPr>
                <w:rFonts w:ascii="Calibri" w:hAnsi="Calibri" w:cs="Calibri"/>
                <w:b/>
                <w:bCs/>
                <w:color w:val="000000"/>
                <w:szCs w:val="20"/>
                <w:lang w:val="en-CA" w:eastAsia="en-CA"/>
              </w:rPr>
              <w:t>Balance, March 31, 2024</w:t>
            </w:r>
          </w:p>
        </w:tc>
        <w:tc>
          <w:tcPr>
            <w:tcW w:w="1476" w:type="dxa"/>
            <w:tcBorders>
              <w:top w:val="single" w:sz="4" w:space="0" w:color="auto"/>
              <w:left w:val="nil"/>
              <w:bottom w:val="single" w:sz="12" w:space="0" w:color="auto"/>
              <w:right w:val="nil"/>
            </w:tcBorders>
            <w:shd w:val="clear" w:color="auto" w:fill="auto"/>
            <w:noWrap/>
            <w:vAlign w:val="bottom"/>
            <w:hideMark/>
          </w:tcPr>
          <w:p w14:paraId="361D0C16" w14:textId="353038CC" w:rsidR="001F4643" w:rsidRPr="001F4643" w:rsidRDefault="001F4643" w:rsidP="001260C3">
            <w:pPr>
              <w:jc w:val="right"/>
              <w:rPr>
                <w:rFonts w:ascii="Calibri" w:hAnsi="Calibri" w:cs="Calibri"/>
                <w:b/>
                <w:bCs/>
                <w:color w:val="000000"/>
                <w:szCs w:val="20"/>
                <w:lang w:val="en-CA" w:eastAsia="en-CA"/>
              </w:rPr>
            </w:pPr>
            <w:r w:rsidRPr="001F4643">
              <w:rPr>
                <w:rFonts w:ascii="Calibri" w:hAnsi="Calibri" w:cs="Calibri"/>
                <w:b/>
                <w:bCs/>
                <w:color w:val="000000"/>
                <w:szCs w:val="20"/>
                <w:lang w:val="en-CA" w:eastAsia="en-CA"/>
              </w:rPr>
              <w:t xml:space="preserve">   </w:t>
            </w:r>
            <w:r w:rsidR="001260C3">
              <w:rPr>
                <w:rFonts w:ascii="Calibri" w:hAnsi="Calibri" w:cs="Calibri"/>
                <w:b/>
                <w:bCs/>
                <w:color w:val="000000"/>
                <w:szCs w:val="20"/>
                <w:lang w:val="en-CA" w:eastAsia="en-CA"/>
              </w:rPr>
              <w:t xml:space="preserve">$ </w:t>
            </w:r>
            <w:r w:rsidRPr="001F4643">
              <w:rPr>
                <w:rFonts w:ascii="Calibri" w:hAnsi="Calibri" w:cs="Calibri"/>
                <w:b/>
                <w:bCs/>
                <w:color w:val="000000"/>
                <w:szCs w:val="20"/>
                <w:lang w:val="en-CA" w:eastAsia="en-CA"/>
              </w:rPr>
              <w:t xml:space="preserve">27,643 </w:t>
            </w:r>
          </w:p>
        </w:tc>
      </w:tr>
    </w:tbl>
    <w:p w14:paraId="066CEEBF" w14:textId="13A87E61" w:rsidR="007A1C8D" w:rsidRDefault="007A1C8D" w:rsidP="002C54C4">
      <w:pPr>
        <w:jc w:val="center"/>
        <w:rPr>
          <w:rFonts w:cstheme="minorHAnsi"/>
          <w:bCs/>
          <w:szCs w:val="20"/>
          <w:lang w:val="en-CA"/>
        </w:rPr>
      </w:pPr>
    </w:p>
    <w:p w14:paraId="24923EB8" w14:textId="77777777" w:rsidR="00A46C61" w:rsidRDefault="00A46C61" w:rsidP="00365A7E">
      <w:pPr>
        <w:rPr>
          <w:rFonts w:cstheme="minorHAnsi"/>
          <w:bCs/>
          <w:szCs w:val="20"/>
          <w:lang w:val="en-CA"/>
        </w:rPr>
      </w:pPr>
    </w:p>
    <w:p w14:paraId="25A20C10" w14:textId="77777777" w:rsidR="007A1C8D" w:rsidRPr="00FC2211" w:rsidRDefault="007A1C8D" w:rsidP="00365A7E">
      <w:pPr>
        <w:rPr>
          <w:rFonts w:cstheme="minorHAnsi"/>
          <w:bCs/>
          <w:szCs w:val="20"/>
          <w:lang w:val="en-CA"/>
        </w:rPr>
      </w:pPr>
    </w:p>
    <w:p w14:paraId="419DBEDA" w14:textId="3B06E6DF" w:rsidR="007A1C8D" w:rsidRPr="00FC2211" w:rsidRDefault="007A1C8D" w:rsidP="00365A7E">
      <w:pPr>
        <w:rPr>
          <w:rFonts w:cstheme="minorHAnsi"/>
          <w:bCs/>
          <w:szCs w:val="20"/>
          <w:lang w:val="en-CA"/>
        </w:rPr>
        <w:sectPr w:rsidR="007A1C8D" w:rsidRPr="00FC2211" w:rsidSect="00A71F06">
          <w:headerReference w:type="default" r:id="rId25"/>
          <w:footerReference w:type="default" r:id="rId26"/>
          <w:pgSz w:w="11906" w:h="16838" w:code="9"/>
          <w:pgMar w:top="1440" w:right="1440" w:bottom="1440" w:left="1440" w:header="272" w:footer="454" w:gutter="0"/>
          <w:cols w:space="720"/>
          <w:docGrid w:linePitch="360"/>
        </w:sectPr>
      </w:pPr>
    </w:p>
    <w:p w14:paraId="5BAF784D" w14:textId="311BDE7E" w:rsidR="000E7FC1" w:rsidRPr="00FC2211" w:rsidRDefault="00045340" w:rsidP="003433DA">
      <w:pPr>
        <w:pStyle w:val="Heading1"/>
        <w:rPr>
          <w:rFonts w:cstheme="minorHAnsi"/>
          <w:szCs w:val="20"/>
        </w:rPr>
      </w:pPr>
      <w:r w:rsidRPr="00FC2211">
        <w:rPr>
          <w:rFonts w:cstheme="minorHAnsi"/>
          <w:szCs w:val="20"/>
          <w:lang w:val="en-GB"/>
        </w:rPr>
        <w:lastRenderedPageBreak/>
        <w:t>9</w:t>
      </w:r>
      <w:r w:rsidR="003433DA" w:rsidRPr="00FC2211">
        <w:rPr>
          <w:rFonts w:cstheme="minorHAnsi"/>
          <w:szCs w:val="20"/>
          <w:lang w:val="en-GB"/>
        </w:rPr>
        <w:t xml:space="preserve">. </w:t>
      </w:r>
      <w:r w:rsidR="00BA7DAE" w:rsidRPr="00FC2211">
        <w:rPr>
          <w:rFonts w:cstheme="minorHAnsi"/>
          <w:szCs w:val="20"/>
          <w:lang w:val="en-GB"/>
        </w:rPr>
        <w:t xml:space="preserve"> </w:t>
      </w:r>
      <w:r w:rsidR="003433DA" w:rsidRPr="00FC2211">
        <w:rPr>
          <w:rFonts w:cstheme="minorHAnsi"/>
          <w:szCs w:val="20"/>
          <w:lang w:val="en-GB"/>
        </w:rPr>
        <w:t xml:space="preserve"> </w:t>
      </w:r>
      <w:r w:rsidR="00071F45" w:rsidRPr="00FC2211">
        <w:rPr>
          <w:rFonts w:cstheme="minorHAnsi"/>
          <w:szCs w:val="20"/>
          <w:lang w:val="en-GB"/>
        </w:rPr>
        <w:t>EQUIPMENT</w:t>
      </w:r>
    </w:p>
    <w:p w14:paraId="00DC21A0" w14:textId="77777777" w:rsidR="003E30AA" w:rsidRPr="00FC2211" w:rsidRDefault="003E30AA" w:rsidP="003E30AA"/>
    <w:p w14:paraId="2ED90149" w14:textId="7A8DF3B9" w:rsidR="00126FC7" w:rsidRPr="00FC2211" w:rsidRDefault="00126FC7" w:rsidP="00CE34F7">
      <w:pPr>
        <w:rPr>
          <w:rFonts w:cstheme="minorHAnsi"/>
          <w:szCs w:val="20"/>
        </w:rPr>
      </w:pPr>
      <w:r w:rsidRPr="00FC2211">
        <w:rPr>
          <w:rFonts w:cstheme="minorHAnsi"/>
          <w:szCs w:val="20"/>
        </w:rPr>
        <w:t xml:space="preserve">The movements in the balance of </w:t>
      </w:r>
      <w:r w:rsidR="00071F45" w:rsidRPr="00FC2211">
        <w:rPr>
          <w:rFonts w:cstheme="minorHAnsi"/>
          <w:szCs w:val="20"/>
        </w:rPr>
        <w:t>equipment</w:t>
      </w:r>
      <w:r w:rsidRPr="00FC2211">
        <w:rPr>
          <w:rFonts w:cstheme="minorHAnsi"/>
          <w:szCs w:val="20"/>
        </w:rPr>
        <w:t xml:space="preserve"> follows:</w:t>
      </w:r>
    </w:p>
    <w:tbl>
      <w:tblPr>
        <w:tblW w:w="11966" w:type="dxa"/>
        <w:jc w:val="center"/>
        <w:tblLook w:val="04A0" w:firstRow="1" w:lastRow="0" w:firstColumn="1" w:lastColumn="0" w:noHBand="0" w:noVBand="1"/>
      </w:tblPr>
      <w:tblGrid>
        <w:gridCol w:w="3497"/>
        <w:gridCol w:w="1454"/>
        <w:gridCol w:w="1393"/>
        <w:gridCol w:w="1393"/>
        <w:gridCol w:w="1393"/>
        <w:gridCol w:w="1360"/>
        <w:gridCol w:w="1476"/>
      </w:tblGrid>
      <w:tr w:rsidR="005B0A4B" w:rsidRPr="005B0A4B" w14:paraId="4B069B43" w14:textId="77777777" w:rsidTr="00A22073">
        <w:trPr>
          <w:trHeight w:val="840"/>
          <w:jc w:val="center"/>
        </w:trPr>
        <w:tc>
          <w:tcPr>
            <w:tcW w:w="3497" w:type="dxa"/>
            <w:tcBorders>
              <w:top w:val="nil"/>
              <w:left w:val="nil"/>
              <w:bottom w:val="single" w:sz="12" w:space="0" w:color="auto"/>
              <w:right w:val="nil"/>
            </w:tcBorders>
            <w:shd w:val="clear" w:color="auto" w:fill="auto"/>
            <w:noWrap/>
            <w:vAlign w:val="center"/>
            <w:hideMark/>
          </w:tcPr>
          <w:p w14:paraId="63DCA68C" w14:textId="77777777" w:rsidR="005B0A4B" w:rsidRPr="005B0A4B" w:rsidRDefault="005B0A4B" w:rsidP="005B0A4B">
            <w:pPr>
              <w:rPr>
                <w:rFonts w:ascii="Calibri" w:hAnsi="Calibri" w:cs="Calibri"/>
                <w:b/>
                <w:bCs/>
                <w:color w:val="000000"/>
                <w:szCs w:val="20"/>
                <w:lang w:val="en-CA" w:eastAsia="en-CA"/>
              </w:rPr>
            </w:pPr>
            <w:r w:rsidRPr="005B0A4B">
              <w:rPr>
                <w:rFonts w:ascii="Calibri" w:hAnsi="Calibri" w:cs="Calibri"/>
                <w:b/>
                <w:bCs/>
                <w:color w:val="000000"/>
                <w:szCs w:val="20"/>
                <w:lang w:val="en-CA" w:eastAsia="en-CA"/>
              </w:rPr>
              <w:t> </w:t>
            </w:r>
          </w:p>
        </w:tc>
        <w:tc>
          <w:tcPr>
            <w:tcW w:w="1454" w:type="dxa"/>
            <w:tcBorders>
              <w:top w:val="nil"/>
              <w:left w:val="nil"/>
              <w:bottom w:val="single" w:sz="12" w:space="0" w:color="auto"/>
              <w:right w:val="nil"/>
            </w:tcBorders>
            <w:shd w:val="clear" w:color="auto" w:fill="auto"/>
            <w:vAlign w:val="center"/>
            <w:hideMark/>
          </w:tcPr>
          <w:p w14:paraId="22EE227A" w14:textId="77777777" w:rsidR="005B0A4B" w:rsidRPr="005B0A4B" w:rsidRDefault="005B0A4B" w:rsidP="005B0A4B">
            <w:pPr>
              <w:jc w:val="center"/>
              <w:rPr>
                <w:rFonts w:ascii="Calibri" w:hAnsi="Calibri" w:cs="Calibri"/>
                <w:b/>
                <w:bCs/>
                <w:color w:val="000000"/>
                <w:szCs w:val="20"/>
                <w:lang w:val="en-CA" w:eastAsia="en-CA"/>
              </w:rPr>
            </w:pPr>
            <w:r w:rsidRPr="005B0A4B">
              <w:rPr>
                <w:rFonts w:ascii="Calibri" w:hAnsi="Calibri" w:cs="Calibri"/>
                <w:b/>
                <w:bCs/>
                <w:color w:val="000000"/>
                <w:szCs w:val="20"/>
                <w:lang w:val="en-CA" w:eastAsia="en-CA"/>
              </w:rPr>
              <w:t>Furniture and Equipment</w:t>
            </w:r>
          </w:p>
        </w:tc>
        <w:tc>
          <w:tcPr>
            <w:tcW w:w="1393" w:type="dxa"/>
            <w:tcBorders>
              <w:top w:val="nil"/>
              <w:left w:val="nil"/>
              <w:bottom w:val="single" w:sz="12" w:space="0" w:color="auto"/>
              <w:right w:val="nil"/>
            </w:tcBorders>
            <w:shd w:val="clear" w:color="auto" w:fill="auto"/>
            <w:vAlign w:val="center"/>
            <w:hideMark/>
          </w:tcPr>
          <w:p w14:paraId="24AD5F17" w14:textId="77777777" w:rsidR="005B0A4B" w:rsidRPr="005B0A4B" w:rsidRDefault="005B0A4B" w:rsidP="005B0A4B">
            <w:pPr>
              <w:jc w:val="center"/>
              <w:rPr>
                <w:rFonts w:ascii="Calibri" w:hAnsi="Calibri" w:cs="Calibri"/>
                <w:b/>
                <w:bCs/>
                <w:color w:val="000000"/>
                <w:szCs w:val="20"/>
                <w:lang w:val="en-CA" w:eastAsia="en-CA"/>
              </w:rPr>
            </w:pPr>
            <w:r w:rsidRPr="005B0A4B">
              <w:rPr>
                <w:rFonts w:ascii="Calibri" w:hAnsi="Calibri" w:cs="Calibri"/>
                <w:b/>
                <w:bCs/>
                <w:color w:val="000000"/>
                <w:szCs w:val="20"/>
                <w:lang w:val="en-CA" w:eastAsia="en-CA"/>
              </w:rPr>
              <w:t>Computer Hardware</w:t>
            </w:r>
          </w:p>
        </w:tc>
        <w:tc>
          <w:tcPr>
            <w:tcW w:w="1393" w:type="dxa"/>
            <w:tcBorders>
              <w:top w:val="nil"/>
              <w:left w:val="nil"/>
              <w:bottom w:val="single" w:sz="12" w:space="0" w:color="auto"/>
              <w:right w:val="nil"/>
            </w:tcBorders>
            <w:shd w:val="clear" w:color="auto" w:fill="auto"/>
            <w:vAlign w:val="center"/>
            <w:hideMark/>
          </w:tcPr>
          <w:p w14:paraId="2A25B4BF" w14:textId="77777777" w:rsidR="005B0A4B" w:rsidRPr="005B0A4B" w:rsidRDefault="005B0A4B" w:rsidP="005B0A4B">
            <w:pPr>
              <w:jc w:val="center"/>
              <w:rPr>
                <w:rFonts w:ascii="Calibri" w:hAnsi="Calibri" w:cs="Calibri"/>
                <w:b/>
                <w:bCs/>
                <w:color w:val="000000"/>
                <w:szCs w:val="20"/>
                <w:lang w:val="en-CA" w:eastAsia="en-CA"/>
              </w:rPr>
            </w:pPr>
            <w:r w:rsidRPr="005B0A4B">
              <w:rPr>
                <w:rFonts w:ascii="Calibri" w:hAnsi="Calibri" w:cs="Calibri"/>
                <w:b/>
                <w:bCs/>
                <w:color w:val="000000"/>
                <w:szCs w:val="20"/>
                <w:lang w:val="en-CA" w:eastAsia="en-CA"/>
              </w:rPr>
              <w:t>Motor Vehicle</w:t>
            </w:r>
          </w:p>
        </w:tc>
        <w:tc>
          <w:tcPr>
            <w:tcW w:w="1393" w:type="dxa"/>
            <w:tcBorders>
              <w:top w:val="nil"/>
              <w:left w:val="nil"/>
              <w:bottom w:val="single" w:sz="12" w:space="0" w:color="auto"/>
              <w:right w:val="nil"/>
            </w:tcBorders>
            <w:shd w:val="clear" w:color="auto" w:fill="auto"/>
            <w:vAlign w:val="center"/>
            <w:hideMark/>
          </w:tcPr>
          <w:p w14:paraId="0393D07E" w14:textId="77777777" w:rsidR="005B0A4B" w:rsidRPr="005B0A4B" w:rsidRDefault="005B0A4B" w:rsidP="005B0A4B">
            <w:pPr>
              <w:jc w:val="center"/>
              <w:rPr>
                <w:rFonts w:ascii="Calibri" w:hAnsi="Calibri" w:cs="Calibri"/>
                <w:b/>
                <w:bCs/>
                <w:color w:val="000000"/>
                <w:szCs w:val="20"/>
                <w:lang w:val="en-CA" w:eastAsia="en-CA"/>
              </w:rPr>
            </w:pPr>
            <w:r w:rsidRPr="005B0A4B">
              <w:rPr>
                <w:rFonts w:ascii="Calibri" w:hAnsi="Calibri" w:cs="Calibri"/>
                <w:b/>
                <w:bCs/>
                <w:color w:val="000000"/>
                <w:szCs w:val="20"/>
                <w:lang w:val="en-CA" w:eastAsia="en-CA"/>
              </w:rPr>
              <w:t>Welcoming Pedestals -Installed Units</w:t>
            </w:r>
          </w:p>
        </w:tc>
        <w:tc>
          <w:tcPr>
            <w:tcW w:w="1360" w:type="dxa"/>
            <w:tcBorders>
              <w:top w:val="nil"/>
              <w:left w:val="nil"/>
              <w:bottom w:val="single" w:sz="12" w:space="0" w:color="auto"/>
              <w:right w:val="nil"/>
            </w:tcBorders>
            <w:shd w:val="clear" w:color="auto" w:fill="auto"/>
            <w:vAlign w:val="center"/>
            <w:hideMark/>
          </w:tcPr>
          <w:p w14:paraId="58B221BA" w14:textId="77777777" w:rsidR="005B0A4B" w:rsidRPr="005B0A4B" w:rsidRDefault="005B0A4B" w:rsidP="005B0A4B">
            <w:pPr>
              <w:jc w:val="center"/>
              <w:rPr>
                <w:rFonts w:ascii="Calibri" w:hAnsi="Calibri" w:cs="Calibri"/>
                <w:b/>
                <w:bCs/>
                <w:color w:val="000000"/>
                <w:szCs w:val="20"/>
                <w:lang w:val="en-CA" w:eastAsia="en-CA"/>
              </w:rPr>
            </w:pPr>
            <w:r w:rsidRPr="005B0A4B">
              <w:rPr>
                <w:rFonts w:ascii="Calibri" w:hAnsi="Calibri" w:cs="Calibri"/>
                <w:b/>
                <w:bCs/>
                <w:color w:val="000000"/>
                <w:szCs w:val="20"/>
                <w:lang w:val="en-CA" w:eastAsia="en-CA"/>
              </w:rPr>
              <w:t>WIP Installed Units</w:t>
            </w:r>
          </w:p>
        </w:tc>
        <w:tc>
          <w:tcPr>
            <w:tcW w:w="1476" w:type="dxa"/>
            <w:tcBorders>
              <w:top w:val="nil"/>
              <w:left w:val="nil"/>
              <w:bottom w:val="single" w:sz="12" w:space="0" w:color="auto"/>
              <w:right w:val="nil"/>
            </w:tcBorders>
            <w:shd w:val="clear" w:color="auto" w:fill="auto"/>
            <w:noWrap/>
            <w:vAlign w:val="center"/>
            <w:hideMark/>
          </w:tcPr>
          <w:p w14:paraId="44C4C000" w14:textId="77777777" w:rsidR="005B0A4B" w:rsidRPr="005B0A4B" w:rsidRDefault="005B0A4B" w:rsidP="005B0A4B">
            <w:pPr>
              <w:jc w:val="center"/>
              <w:rPr>
                <w:rFonts w:ascii="Calibri" w:hAnsi="Calibri" w:cs="Calibri"/>
                <w:b/>
                <w:bCs/>
                <w:color w:val="000000"/>
                <w:szCs w:val="20"/>
                <w:lang w:val="en-CA" w:eastAsia="en-CA"/>
              </w:rPr>
            </w:pPr>
            <w:r w:rsidRPr="005B0A4B">
              <w:rPr>
                <w:rFonts w:ascii="Calibri" w:hAnsi="Calibri" w:cs="Calibri"/>
                <w:b/>
                <w:bCs/>
                <w:color w:val="000000"/>
                <w:szCs w:val="20"/>
                <w:lang w:val="en-CA" w:eastAsia="en-CA"/>
              </w:rPr>
              <w:t>Total</w:t>
            </w:r>
          </w:p>
        </w:tc>
      </w:tr>
      <w:tr w:rsidR="005B0A4B" w:rsidRPr="005B0A4B" w14:paraId="02A2FACD" w14:textId="77777777" w:rsidTr="00A22073">
        <w:trPr>
          <w:trHeight w:val="288"/>
          <w:jc w:val="center"/>
        </w:trPr>
        <w:tc>
          <w:tcPr>
            <w:tcW w:w="3497" w:type="dxa"/>
            <w:tcBorders>
              <w:top w:val="single" w:sz="12" w:space="0" w:color="auto"/>
              <w:left w:val="nil"/>
              <w:bottom w:val="single" w:sz="8" w:space="0" w:color="auto"/>
              <w:right w:val="nil"/>
            </w:tcBorders>
            <w:shd w:val="clear" w:color="auto" w:fill="auto"/>
            <w:noWrap/>
            <w:vAlign w:val="center"/>
            <w:hideMark/>
          </w:tcPr>
          <w:p w14:paraId="577F3C52" w14:textId="77777777" w:rsidR="005B0A4B" w:rsidRPr="005B0A4B" w:rsidRDefault="005B0A4B" w:rsidP="005B0A4B">
            <w:pPr>
              <w:rPr>
                <w:rFonts w:ascii="Calibri" w:hAnsi="Calibri" w:cs="Calibri"/>
                <w:b/>
                <w:bCs/>
                <w:color w:val="000000"/>
                <w:szCs w:val="20"/>
                <w:lang w:val="en-CA" w:eastAsia="en-CA"/>
              </w:rPr>
            </w:pPr>
            <w:r w:rsidRPr="005B0A4B">
              <w:rPr>
                <w:rFonts w:ascii="Calibri" w:hAnsi="Calibri" w:cs="Calibri"/>
                <w:b/>
                <w:bCs/>
                <w:color w:val="000000"/>
                <w:szCs w:val="20"/>
                <w:lang w:val="en-CA" w:eastAsia="en-CA"/>
              </w:rPr>
              <w:t>Costs:</w:t>
            </w:r>
          </w:p>
        </w:tc>
        <w:tc>
          <w:tcPr>
            <w:tcW w:w="1454" w:type="dxa"/>
            <w:tcBorders>
              <w:top w:val="single" w:sz="12" w:space="0" w:color="auto"/>
              <w:left w:val="nil"/>
              <w:bottom w:val="single" w:sz="8" w:space="0" w:color="auto"/>
              <w:right w:val="nil"/>
            </w:tcBorders>
            <w:shd w:val="clear" w:color="auto" w:fill="auto"/>
            <w:noWrap/>
            <w:vAlign w:val="center"/>
            <w:hideMark/>
          </w:tcPr>
          <w:p w14:paraId="4739ED9B"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393" w:type="dxa"/>
            <w:tcBorders>
              <w:top w:val="single" w:sz="12" w:space="0" w:color="auto"/>
              <w:left w:val="nil"/>
              <w:bottom w:val="single" w:sz="8" w:space="0" w:color="auto"/>
              <w:right w:val="nil"/>
            </w:tcBorders>
            <w:shd w:val="clear" w:color="auto" w:fill="auto"/>
            <w:noWrap/>
            <w:vAlign w:val="center"/>
            <w:hideMark/>
          </w:tcPr>
          <w:p w14:paraId="145D28A8"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393" w:type="dxa"/>
            <w:tcBorders>
              <w:top w:val="single" w:sz="12" w:space="0" w:color="auto"/>
              <w:left w:val="nil"/>
              <w:bottom w:val="single" w:sz="8" w:space="0" w:color="auto"/>
              <w:right w:val="nil"/>
            </w:tcBorders>
            <w:shd w:val="clear" w:color="auto" w:fill="auto"/>
            <w:noWrap/>
            <w:vAlign w:val="center"/>
            <w:hideMark/>
          </w:tcPr>
          <w:p w14:paraId="54ED643C"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393" w:type="dxa"/>
            <w:tcBorders>
              <w:top w:val="single" w:sz="12" w:space="0" w:color="auto"/>
              <w:left w:val="nil"/>
              <w:bottom w:val="single" w:sz="8" w:space="0" w:color="auto"/>
              <w:right w:val="nil"/>
            </w:tcBorders>
            <w:shd w:val="clear" w:color="auto" w:fill="auto"/>
            <w:noWrap/>
            <w:vAlign w:val="center"/>
            <w:hideMark/>
          </w:tcPr>
          <w:p w14:paraId="322B3C45"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360" w:type="dxa"/>
            <w:tcBorders>
              <w:top w:val="single" w:sz="12" w:space="0" w:color="auto"/>
              <w:left w:val="nil"/>
              <w:bottom w:val="single" w:sz="8" w:space="0" w:color="auto"/>
              <w:right w:val="nil"/>
            </w:tcBorders>
            <w:shd w:val="clear" w:color="auto" w:fill="auto"/>
            <w:noWrap/>
            <w:vAlign w:val="center"/>
            <w:hideMark/>
          </w:tcPr>
          <w:p w14:paraId="3FB4012D"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476" w:type="dxa"/>
            <w:tcBorders>
              <w:top w:val="single" w:sz="12" w:space="0" w:color="auto"/>
              <w:left w:val="nil"/>
              <w:bottom w:val="single" w:sz="8" w:space="0" w:color="auto"/>
              <w:right w:val="nil"/>
            </w:tcBorders>
            <w:shd w:val="clear" w:color="auto" w:fill="auto"/>
            <w:noWrap/>
            <w:vAlign w:val="center"/>
            <w:hideMark/>
          </w:tcPr>
          <w:p w14:paraId="779DFA94"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 </w:t>
            </w:r>
          </w:p>
        </w:tc>
      </w:tr>
      <w:tr w:rsidR="005B0A4B" w:rsidRPr="005B0A4B" w14:paraId="7B76A577" w14:textId="77777777" w:rsidTr="009E4683">
        <w:trPr>
          <w:trHeight w:val="276"/>
          <w:jc w:val="center"/>
        </w:trPr>
        <w:tc>
          <w:tcPr>
            <w:tcW w:w="3497" w:type="dxa"/>
            <w:tcBorders>
              <w:top w:val="nil"/>
              <w:left w:val="nil"/>
              <w:bottom w:val="nil"/>
              <w:right w:val="nil"/>
            </w:tcBorders>
            <w:shd w:val="clear" w:color="auto" w:fill="auto"/>
            <w:noWrap/>
            <w:vAlign w:val="center"/>
            <w:hideMark/>
          </w:tcPr>
          <w:p w14:paraId="417C47D7"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Balance, June 30, 2022</w:t>
            </w:r>
          </w:p>
        </w:tc>
        <w:tc>
          <w:tcPr>
            <w:tcW w:w="1454" w:type="dxa"/>
            <w:tcBorders>
              <w:top w:val="nil"/>
              <w:left w:val="nil"/>
              <w:bottom w:val="nil"/>
              <w:right w:val="nil"/>
            </w:tcBorders>
            <w:shd w:val="clear" w:color="auto" w:fill="auto"/>
            <w:noWrap/>
            <w:vAlign w:val="center"/>
            <w:hideMark/>
          </w:tcPr>
          <w:p w14:paraId="57DCD3E1" w14:textId="565CAB60"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$ 108,134 </w:t>
            </w:r>
          </w:p>
        </w:tc>
        <w:tc>
          <w:tcPr>
            <w:tcW w:w="1393" w:type="dxa"/>
            <w:tcBorders>
              <w:top w:val="nil"/>
              <w:left w:val="nil"/>
              <w:bottom w:val="nil"/>
              <w:right w:val="nil"/>
            </w:tcBorders>
            <w:shd w:val="clear" w:color="auto" w:fill="auto"/>
            <w:noWrap/>
            <w:vAlign w:val="center"/>
            <w:hideMark/>
          </w:tcPr>
          <w:p w14:paraId="4DB9483D" w14:textId="3C276874"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79,256 </w:t>
            </w:r>
          </w:p>
        </w:tc>
        <w:tc>
          <w:tcPr>
            <w:tcW w:w="1393" w:type="dxa"/>
            <w:tcBorders>
              <w:top w:val="nil"/>
              <w:left w:val="nil"/>
              <w:bottom w:val="nil"/>
              <w:right w:val="nil"/>
            </w:tcBorders>
            <w:shd w:val="clear" w:color="auto" w:fill="auto"/>
            <w:noWrap/>
            <w:vAlign w:val="center"/>
            <w:hideMark/>
          </w:tcPr>
          <w:p w14:paraId="58151C68" w14:textId="329A98D0"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$ 13,800 </w:t>
            </w:r>
          </w:p>
        </w:tc>
        <w:tc>
          <w:tcPr>
            <w:tcW w:w="1393" w:type="dxa"/>
            <w:tcBorders>
              <w:top w:val="nil"/>
              <w:left w:val="nil"/>
              <w:bottom w:val="nil"/>
              <w:right w:val="nil"/>
            </w:tcBorders>
            <w:shd w:val="clear" w:color="auto" w:fill="auto"/>
            <w:noWrap/>
            <w:vAlign w:val="center"/>
            <w:hideMark/>
          </w:tcPr>
          <w:p w14:paraId="3CEFB03A" w14:textId="6FE523A0"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621,667 </w:t>
            </w:r>
          </w:p>
        </w:tc>
        <w:tc>
          <w:tcPr>
            <w:tcW w:w="1360" w:type="dxa"/>
            <w:tcBorders>
              <w:top w:val="nil"/>
              <w:left w:val="nil"/>
              <w:bottom w:val="nil"/>
              <w:right w:val="nil"/>
            </w:tcBorders>
            <w:shd w:val="clear" w:color="auto" w:fill="auto"/>
            <w:noWrap/>
            <w:vAlign w:val="center"/>
            <w:hideMark/>
          </w:tcPr>
          <w:p w14:paraId="524870DE" w14:textId="44949694"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314,429 </w:t>
            </w:r>
          </w:p>
        </w:tc>
        <w:tc>
          <w:tcPr>
            <w:tcW w:w="1476" w:type="dxa"/>
            <w:tcBorders>
              <w:top w:val="nil"/>
              <w:left w:val="nil"/>
              <w:bottom w:val="nil"/>
              <w:right w:val="nil"/>
            </w:tcBorders>
            <w:shd w:val="clear" w:color="auto" w:fill="auto"/>
            <w:noWrap/>
            <w:vAlign w:val="center"/>
            <w:hideMark/>
          </w:tcPr>
          <w:p w14:paraId="401EDFA5" w14:textId="13618382"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$ 1,137,286 </w:t>
            </w:r>
          </w:p>
        </w:tc>
      </w:tr>
      <w:tr w:rsidR="005B0A4B" w:rsidRPr="005B0A4B" w14:paraId="63ACA8C2" w14:textId="77777777" w:rsidTr="009E4683">
        <w:trPr>
          <w:trHeight w:val="276"/>
          <w:jc w:val="center"/>
        </w:trPr>
        <w:tc>
          <w:tcPr>
            <w:tcW w:w="3497" w:type="dxa"/>
            <w:tcBorders>
              <w:top w:val="nil"/>
              <w:left w:val="nil"/>
              <w:bottom w:val="nil"/>
              <w:right w:val="nil"/>
            </w:tcBorders>
            <w:shd w:val="clear" w:color="auto" w:fill="auto"/>
            <w:noWrap/>
            <w:vAlign w:val="center"/>
            <w:hideMark/>
          </w:tcPr>
          <w:p w14:paraId="11B6AEFC"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Additions</w:t>
            </w:r>
          </w:p>
        </w:tc>
        <w:tc>
          <w:tcPr>
            <w:tcW w:w="1454" w:type="dxa"/>
            <w:tcBorders>
              <w:top w:val="nil"/>
              <w:left w:val="nil"/>
              <w:bottom w:val="nil"/>
              <w:right w:val="nil"/>
            </w:tcBorders>
            <w:shd w:val="clear" w:color="auto" w:fill="auto"/>
            <w:noWrap/>
            <w:vAlign w:val="center"/>
            <w:hideMark/>
          </w:tcPr>
          <w:p w14:paraId="2863AAA0" w14:textId="12656191"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43,796 </w:t>
            </w:r>
          </w:p>
        </w:tc>
        <w:tc>
          <w:tcPr>
            <w:tcW w:w="1393" w:type="dxa"/>
            <w:tcBorders>
              <w:top w:val="nil"/>
              <w:left w:val="nil"/>
              <w:bottom w:val="nil"/>
              <w:right w:val="nil"/>
            </w:tcBorders>
            <w:shd w:val="clear" w:color="auto" w:fill="auto"/>
            <w:noWrap/>
            <w:vAlign w:val="center"/>
            <w:hideMark/>
          </w:tcPr>
          <w:p w14:paraId="129594FE" w14:textId="4EDEF72B"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1,071 </w:t>
            </w:r>
          </w:p>
        </w:tc>
        <w:tc>
          <w:tcPr>
            <w:tcW w:w="1393" w:type="dxa"/>
            <w:tcBorders>
              <w:top w:val="nil"/>
              <w:left w:val="nil"/>
              <w:bottom w:val="nil"/>
              <w:right w:val="nil"/>
            </w:tcBorders>
            <w:shd w:val="clear" w:color="auto" w:fill="auto"/>
            <w:noWrap/>
            <w:vAlign w:val="center"/>
            <w:hideMark/>
          </w:tcPr>
          <w:p w14:paraId="0F819816" w14:textId="34DD8DED"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nil"/>
              <w:right w:val="nil"/>
            </w:tcBorders>
            <w:shd w:val="clear" w:color="auto" w:fill="auto"/>
            <w:noWrap/>
            <w:vAlign w:val="center"/>
            <w:hideMark/>
          </w:tcPr>
          <w:p w14:paraId="79B4463A" w14:textId="6DDE29F3"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447,972 </w:t>
            </w:r>
          </w:p>
        </w:tc>
        <w:tc>
          <w:tcPr>
            <w:tcW w:w="1360" w:type="dxa"/>
            <w:tcBorders>
              <w:top w:val="nil"/>
              <w:left w:val="nil"/>
              <w:bottom w:val="nil"/>
              <w:right w:val="nil"/>
            </w:tcBorders>
            <w:shd w:val="clear" w:color="auto" w:fill="auto"/>
            <w:noWrap/>
            <w:vAlign w:val="center"/>
            <w:hideMark/>
          </w:tcPr>
          <w:p w14:paraId="13F70ECB" w14:textId="32FB4DA3"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425,138 </w:t>
            </w:r>
          </w:p>
        </w:tc>
        <w:tc>
          <w:tcPr>
            <w:tcW w:w="1476" w:type="dxa"/>
            <w:tcBorders>
              <w:top w:val="nil"/>
              <w:left w:val="nil"/>
              <w:bottom w:val="nil"/>
              <w:right w:val="nil"/>
            </w:tcBorders>
            <w:shd w:val="clear" w:color="auto" w:fill="auto"/>
            <w:noWrap/>
            <w:vAlign w:val="center"/>
            <w:hideMark/>
          </w:tcPr>
          <w:p w14:paraId="07FF2EA2" w14:textId="1EFEE09B"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917,977 </w:t>
            </w:r>
          </w:p>
        </w:tc>
      </w:tr>
      <w:tr w:rsidR="005B0A4B" w:rsidRPr="005B0A4B" w14:paraId="1D404991" w14:textId="77777777" w:rsidTr="009E4683">
        <w:trPr>
          <w:trHeight w:val="276"/>
          <w:jc w:val="center"/>
        </w:trPr>
        <w:tc>
          <w:tcPr>
            <w:tcW w:w="3497" w:type="dxa"/>
            <w:tcBorders>
              <w:top w:val="nil"/>
              <w:left w:val="nil"/>
              <w:bottom w:val="single" w:sz="4" w:space="0" w:color="auto"/>
              <w:right w:val="nil"/>
            </w:tcBorders>
            <w:shd w:val="clear" w:color="auto" w:fill="auto"/>
            <w:noWrap/>
            <w:vAlign w:val="center"/>
            <w:hideMark/>
          </w:tcPr>
          <w:p w14:paraId="71D3053F"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Transfer of WIP to Installed units</w:t>
            </w:r>
          </w:p>
        </w:tc>
        <w:tc>
          <w:tcPr>
            <w:tcW w:w="1454" w:type="dxa"/>
            <w:tcBorders>
              <w:top w:val="nil"/>
              <w:left w:val="nil"/>
              <w:bottom w:val="single" w:sz="4" w:space="0" w:color="auto"/>
              <w:right w:val="nil"/>
            </w:tcBorders>
            <w:shd w:val="clear" w:color="auto" w:fill="auto"/>
            <w:noWrap/>
            <w:vAlign w:val="center"/>
            <w:hideMark/>
          </w:tcPr>
          <w:p w14:paraId="477D3BDF" w14:textId="1F1B40A6"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single" w:sz="4" w:space="0" w:color="auto"/>
              <w:right w:val="nil"/>
            </w:tcBorders>
            <w:shd w:val="clear" w:color="auto" w:fill="auto"/>
            <w:noWrap/>
            <w:vAlign w:val="center"/>
            <w:hideMark/>
          </w:tcPr>
          <w:p w14:paraId="2A6EA8C3" w14:textId="5ABCFBF8"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single" w:sz="4" w:space="0" w:color="auto"/>
              <w:right w:val="nil"/>
            </w:tcBorders>
            <w:shd w:val="clear" w:color="auto" w:fill="auto"/>
            <w:noWrap/>
            <w:vAlign w:val="center"/>
            <w:hideMark/>
          </w:tcPr>
          <w:p w14:paraId="724D1701" w14:textId="317D7425"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single" w:sz="4" w:space="0" w:color="auto"/>
              <w:right w:val="nil"/>
            </w:tcBorders>
            <w:shd w:val="clear" w:color="auto" w:fill="auto"/>
            <w:noWrap/>
            <w:vAlign w:val="center"/>
            <w:hideMark/>
          </w:tcPr>
          <w:p w14:paraId="12787D39" w14:textId="7EFC30E8"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455,695 </w:t>
            </w:r>
          </w:p>
        </w:tc>
        <w:tc>
          <w:tcPr>
            <w:tcW w:w="1360" w:type="dxa"/>
            <w:tcBorders>
              <w:top w:val="nil"/>
              <w:left w:val="nil"/>
              <w:bottom w:val="single" w:sz="4" w:space="0" w:color="auto"/>
              <w:right w:val="nil"/>
            </w:tcBorders>
            <w:shd w:val="clear" w:color="auto" w:fill="auto"/>
            <w:noWrap/>
            <w:vAlign w:val="center"/>
            <w:hideMark/>
          </w:tcPr>
          <w:p w14:paraId="3368B0ED" w14:textId="2BED2832" w:rsidR="005B0A4B" w:rsidRPr="005B0A4B" w:rsidRDefault="005B0A4B" w:rsidP="008072B6">
            <w:pPr>
              <w:ind w:right="-62"/>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(455,695)</w:t>
            </w:r>
          </w:p>
        </w:tc>
        <w:tc>
          <w:tcPr>
            <w:tcW w:w="1476" w:type="dxa"/>
            <w:tcBorders>
              <w:top w:val="nil"/>
              <w:left w:val="nil"/>
              <w:bottom w:val="single" w:sz="4" w:space="0" w:color="auto"/>
              <w:right w:val="nil"/>
            </w:tcBorders>
            <w:shd w:val="clear" w:color="auto" w:fill="auto"/>
            <w:noWrap/>
            <w:vAlign w:val="center"/>
            <w:hideMark/>
          </w:tcPr>
          <w:p w14:paraId="525836EF" w14:textId="442BE001"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r>
      <w:tr w:rsidR="005B0A4B" w:rsidRPr="005B0A4B" w14:paraId="0E3CACEA" w14:textId="77777777" w:rsidTr="009E4683">
        <w:trPr>
          <w:trHeight w:val="276"/>
          <w:jc w:val="center"/>
        </w:trPr>
        <w:tc>
          <w:tcPr>
            <w:tcW w:w="3497" w:type="dxa"/>
            <w:tcBorders>
              <w:top w:val="nil"/>
              <w:left w:val="nil"/>
              <w:bottom w:val="single" w:sz="4" w:space="0" w:color="auto"/>
              <w:right w:val="nil"/>
            </w:tcBorders>
            <w:shd w:val="clear" w:color="auto" w:fill="auto"/>
            <w:noWrap/>
            <w:vAlign w:val="center"/>
            <w:hideMark/>
          </w:tcPr>
          <w:p w14:paraId="4652F1E1"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Balance, June 30, 2023</w:t>
            </w:r>
          </w:p>
        </w:tc>
        <w:tc>
          <w:tcPr>
            <w:tcW w:w="1454" w:type="dxa"/>
            <w:tcBorders>
              <w:top w:val="nil"/>
              <w:left w:val="nil"/>
              <w:bottom w:val="single" w:sz="4" w:space="0" w:color="auto"/>
              <w:right w:val="nil"/>
            </w:tcBorders>
            <w:shd w:val="clear" w:color="auto" w:fill="auto"/>
            <w:noWrap/>
            <w:vAlign w:val="center"/>
            <w:hideMark/>
          </w:tcPr>
          <w:p w14:paraId="77161309" w14:textId="738BD4D4"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151,930 </w:t>
            </w:r>
          </w:p>
        </w:tc>
        <w:tc>
          <w:tcPr>
            <w:tcW w:w="1393" w:type="dxa"/>
            <w:tcBorders>
              <w:top w:val="nil"/>
              <w:left w:val="nil"/>
              <w:bottom w:val="single" w:sz="4" w:space="0" w:color="auto"/>
              <w:right w:val="nil"/>
            </w:tcBorders>
            <w:shd w:val="clear" w:color="auto" w:fill="auto"/>
            <w:noWrap/>
            <w:vAlign w:val="center"/>
            <w:hideMark/>
          </w:tcPr>
          <w:p w14:paraId="24E5395B" w14:textId="5670AF84"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80,327 </w:t>
            </w:r>
          </w:p>
        </w:tc>
        <w:tc>
          <w:tcPr>
            <w:tcW w:w="1393" w:type="dxa"/>
            <w:tcBorders>
              <w:top w:val="nil"/>
              <w:left w:val="nil"/>
              <w:bottom w:val="single" w:sz="4" w:space="0" w:color="auto"/>
              <w:right w:val="nil"/>
            </w:tcBorders>
            <w:shd w:val="clear" w:color="auto" w:fill="auto"/>
            <w:noWrap/>
            <w:vAlign w:val="center"/>
            <w:hideMark/>
          </w:tcPr>
          <w:p w14:paraId="08D61FEB" w14:textId="3C0A4760"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13,800 </w:t>
            </w:r>
          </w:p>
        </w:tc>
        <w:tc>
          <w:tcPr>
            <w:tcW w:w="1393" w:type="dxa"/>
            <w:tcBorders>
              <w:top w:val="nil"/>
              <w:left w:val="nil"/>
              <w:bottom w:val="single" w:sz="4" w:space="0" w:color="auto"/>
              <w:right w:val="nil"/>
            </w:tcBorders>
            <w:shd w:val="clear" w:color="auto" w:fill="auto"/>
            <w:noWrap/>
            <w:vAlign w:val="center"/>
            <w:hideMark/>
          </w:tcPr>
          <w:p w14:paraId="19933544" w14:textId="71610158"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1,525,334 </w:t>
            </w:r>
          </w:p>
        </w:tc>
        <w:tc>
          <w:tcPr>
            <w:tcW w:w="1360" w:type="dxa"/>
            <w:tcBorders>
              <w:top w:val="nil"/>
              <w:left w:val="nil"/>
              <w:bottom w:val="single" w:sz="4" w:space="0" w:color="auto"/>
              <w:right w:val="nil"/>
            </w:tcBorders>
            <w:shd w:val="clear" w:color="auto" w:fill="auto"/>
            <w:noWrap/>
            <w:vAlign w:val="center"/>
            <w:hideMark/>
          </w:tcPr>
          <w:p w14:paraId="3F6F42B3" w14:textId="623D5809"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283,872 </w:t>
            </w:r>
          </w:p>
        </w:tc>
        <w:tc>
          <w:tcPr>
            <w:tcW w:w="1476" w:type="dxa"/>
            <w:tcBorders>
              <w:top w:val="nil"/>
              <w:left w:val="nil"/>
              <w:bottom w:val="single" w:sz="4" w:space="0" w:color="auto"/>
              <w:right w:val="nil"/>
            </w:tcBorders>
            <w:shd w:val="clear" w:color="auto" w:fill="auto"/>
            <w:noWrap/>
            <w:vAlign w:val="center"/>
            <w:hideMark/>
          </w:tcPr>
          <w:p w14:paraId="2A5EB46E" w14:textId="66672AA8"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2,055,263 </w:t>
            </w:r>
          </w:p>
        </w:tc>
      </w:tr>
      <w:tr w:rsidR="005B0A4B" w:rsidRPr="005B0A4B" w14:paraId="2BDB3120" w14:textId="77777777" w:rsidTr="009E4683">
        <w:trPr>
          <w:trHeight w:val="276"/>
          <w:jc w:val="center"/>
        </w:trPr>
        <w:tc>
          <w:tcPr>
            <w:tcW w:w="3497" w:type="dxa"/>
            <w:tcBorders>
              <w:top w:val="nil"/>
              <w:left w:val="nil"/>
              <w:bottom w:val="nil"/>
              <w:right w:val="nil"/>
            </w:tcBorders>
            <w:shd w:val="clear" w:color="auto" w:fill="auto"/>
            <w:noWrap/>
            <w:vAlign w:val="center"/>
            <w:hideMark/>
          </w:tcPr>
          <w:p w14:paraId="48C25563"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Additions</w:t>
            </w:r>
          </w:p>
        </w:tc>
        <w:tc>
          <w:tcPr>
            <w:tcW w:w="1454" w:type="dxa"/>
            <w:tcBorders>
              <w:top w:val="nil"/>
              <w:left w:val="nil"/>
              <w:bottom w:val="nil"/>
              <w:right w:val="nil"/>
            </w:tcBorders>
            <w:shd w:val="clear" w:color="auto" w:fill="auto"/>
            <w:noWrap/>
            <w:vAlign w:val="center"/>
            <w:hideMark/>
          </w:tcPr>
          <w:p w14:paraId="6252A2A3" w14:textId="1EDC639F"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nil"/>
              <w:right w:val="nil"/>
            </w:tcBorders>
            <w:shd w:val="clear" w:color="auto" w:fill="auto"/>
            <w:noWrap/>
            <w:vAlign w:val="center"/>
            <w:hideMark/>
          </w:tcPr>
          <w:p w14:paraId="173621BB" w14:textId="342911EE"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nil"/>
              <w:right w:val="nil"/>
            </w:tcBorders>
            <w:shd w:val="clear" w:color="auto" w:fill="auto"/>
            <w:noWrap/>
            <w:vAlign w:val="center"/>
            <w:hideMark/>
          </w:tcPr>
          <w:p w14:paraId="12B8C699" w14:textId="2529DC7D"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nil"/>
              <w:right w:val="nil"/>
            </w:tcBorders>
            <w:shd w:val="clear" w:color="auto" w:fill="auto"/>
            <w:noWrap/>
            <w:vAlign w:val="center"/>
            <w:hideMark/>
          </w:tcPr>
          <w:p w14:paraId="55A78FE2" w14:textId="5E564D2A"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194,665 </w:t>
            </w:r>
          </w:p>
        </w:tc>
        <w:tc>
          <w:tcPr>
            <w:tcW w:w="1360" w:type="dxa"/>
            <w:tcBorders>
              <w:top w:val="nil"/>
              <w:left w:val="nil"/>
              <w:bottom w:val="nil"/>
              <w:right w:val="nil"/>
            </w:tcBorders>
            <w:shd w:val="clear" w:color="auto" w:fill="auto"/>
            <w:noWrap/>
            <w:vAlign w:val="center"/>
            <w:hideMark/>
          </w:tcPr>
          <w:p w14:paraId="1847A2B4" w14:textId="04243680"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157,256 </w:t>
            </w:r>
          </w:p>
        </w:tc>
        <w:tc>
          <w:tcPr>
            <w:tcW w:w="1476" w:type="dxa"/>
            <w:tcBorders>
              <w:top w:val="nil"/>
              <w:left w:val="nil"/>
              <w:bottom w:val="nil"/>
              <w:right w:val="nil"/>
            </w:tcBorders>
            <w:shd w:val="clear" w:color="auto" w:fill="auto"/>
            <w:noWrap/>
            <w:vAlign w:val="center"/>
            <w:hideMark/>
          </w:tcPr>
          <w:p w14:paraId="0F397F74" w14:textId="10359F00"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351,921 </w:t>
            </w:r>
          </w:p>
        </w:tc>
      </w:tr>
      <w:tr w:rsidR="005B0A4B" w:rsidRPr="005B0A4B" w14:paraId="4752EC02" w14:textId="77777777" w:rsidTr="009E4683">
        <w:trPr>
          <w:trHeight w:val="276"/>
          <w:jc w:val="center"/>
        </w:trPr>
        <w:tc>
          <w:tcPr>
            <w:tcW w:w="3497" w:type="dxa"/>
            <w:tcBorders>
              <w:top w:val="nil"/>
              <w:left w:val="nil"/>
              <w:bottom w:val="nil"/>
              <w:right w:val="nil"/>
            </w:tcBorders>
            <w:shd w:val="clear" w:color="auto" w:fill="auto"/>
            <w:noWrap/>
            <w:vAlign w:val="center"/>
            <w:hideMark/>
          </w:tcPr>
          <w:p w14:paraId="12F86402"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Transfer of WIP to Installed units</w:t>
            </w:r>
          </w:p>
        </w:tc>
        <w:tc>
          <w:tcPr>
            <w:tcW w:w="1454" w:type="dxa"/>
            <w:tcBorders>
              <w:top w:val="nil"/>
              <w:left w:val="nil"/>
              <w:bottom w:val="nil"/>
              <w:right w:val="nil"/>
            </w:tcBorders>
            <w:shd w:val="clear" w:color="auto" w:fill="auto"/>
            <w:noWrap/>
            <w:vAlign w:val="center"/>
            <w:hideMark/>
          </w:tcPr>
          <w:p w14:paraId="5E2149DC" w14:textId="07E69685"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nil"/>
              <w:right w:val="nil"/>
            </w:tcBorders>
            <w:shd w:val="clear" w:color="auto" w:fill="auto"/>
            <w:noWrap/>
            <w:vAlign w:val="center"/>
            <w:hideMark/>
          </w:tcPr>
          <w:p w14:paraId="3E1B7269" w14:textId="26A1B858"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nil"/>
              <w:right w:val="nil"/>
            </w:tcBorders>
            <w:shd w:val="clear" w:color="auto" w:fill="auto"/>
            <w:noWrap/>
            <w:vAlign w:val="center"/>
            <w:hideMark/>
          </w:tcPr>
          <w:p w14:paraId="3E00F8CA" w14:textId="51FC7D0D"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393" w:type="dxa"/>
            <w:tcBorders>
              <w:top w:val="nil"/>
              <w:left w:val="nil"/>
              <w:bottom w:val="nil"/>
              <w:right w:val="nil"/>
            </w:tcBorders>
            <w:shd w:val="clear" w:color="auto" w:fill="auto"/>
            <w:noWrap/>
            <w:vAlign w:val="center"/>
            <w:hideMark/>
          </w:tcPr>
          <w:p w14:paraId="465544A2" w14:textId="2FDB1E3F"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152,049 </w:t>
            </w:r>
          </w:p>
        </w:tc>
        <w:tc>
          <w:tcPr>
            <w:tcW w:w="1360" w:type="dxa"/>
            <w:tcBorders>
              <w:top w:val="nil"/>
              <w:left w:val="nil"/>
              <w:bottom w:val="nil"/>
              <w:right w:val="nil"/>
            </w:tcBorders>
            <w:shd w:val="clear" w:color="auto" w:fill="auto"/>
            <w:noWrap/>
            <w:vAlign w:val="center"/>
            <w:hideMark/>
          </w:tcPr>
          <w:p w14:paraId="5036E03B" w14:textId="7C4B7748" w:rsidR="005B0A4B" w:rsidRPr="005B0A4B" w:rsidRDefault="005B0A4B" w:rsidP="008072B6">
            <w:pPr>
              <w:ind w:right="-62"/>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(152,049)</w:t>
            </w:r>
          </w:p>
        </w:tc>
        <w:tc>
          <w:tcPr>
            <w:tcW w:w="1476" w:type="dxa"/>
            <w:tcBorders>
              <w:top w:val="nil"/>
              <w:left w:val="nil"/>
              <w:bottom w:val="nil"/>
              <w:right w:val="nil"/>
            </w:tcBorders>
            <w:shd w:val="clear" w:color="auto" w:fill="auto"/>
            <w:noWrap/>
            <w:vAlign w:val="center"/>
            <w:hideMark/>
          </w:tcPr>
          <w:p w14:paraId="6445080E" w14:textId="762BFA7E"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r>
      <w:tr w:rsidR="005B0A4B" w:rsidRPr="005B0A4B" w14:paraId="374C6595" w14:textId="77777777" w:rsidTr="009E4683">
        <w:trPr>
          <w:trHeight w:val="288"/>
          <w:jc w:val="center"/>
        </w:trPr>
        <w:tc>
          <w:tcPr>
            <w:tcW w:w="3497" w:type="dxa"/>
            <w:tcBorders>
              <w:top w:val="single" w:sz="4" w:space="0" w:color="auto"/>
              <w:left w:val="nil"/>
              <w:bottom w:val="single" w:sz="8" w:space="0" w:color="auto"/>
              <w:right w:val="nil"/>
            </w:tcBorders>
            <w:shd w:val="clear" w:color="auto" w:fill="auto"/>
            <w:noWrap/>
            <w:vAlign w:val="center"/>
            <w:hideMark/>
          </w:tcPr>
          <w:p w14:paraId="5334EA48" w14:textId="77777777" w:rsidR="005B0A4B" w:rsidRPr="005B0A4B" w:rsidRDefault="005B0A4B" w:rsidP="005B0A4B">
            <w:pPr>
              <w:rPr>
                <w:rFonts w:ascii="Calibri" w:hAnsi="Calibri" w:cs="Calibri"/>
                <w:b/>
                <w:bCs/>
                <w:color w:val="000000"/>
                <w:szCs w:val="20"/>
                <w:lang w:val="en-CA" w:eastAsia="en-CA"/>
              </w:rPr>
            </w:pPr>
            <w:r w:rsidRPr="005B0A4B">
              <w:rPr>
                <w:rFonts w:ascii="Calibri" w:hAnsi="Calibri" w:cs="Calibri"/>
                <w:b/>
                <w:bCs/>
                <w:color w:val="000000"/>
                <w:szCs w:val="20"/>
                <w:lang w:val="en-CA" w:eastAsia="en-CA"/>
              </w:rPr>
              <w:t>Balance, March 31, 2024</w:t>
            </w:r>
          </w:p>
        </w:tc>
        <w:tc>
          <w:tcPr>
            <w:tcW w:w="1454" w:type="dxa"/>
            <w:tcBorders>
              <w:top w:val="single" w:sz="4" w:space="0" w:color="auto"/>
              <w:left w:val="nil"/>
              <w:bottom w:val="single" w:sz="8" w:space="0" w:color="auto"/>
              <w:right w:val="nil"/>
            </w:tcBorders>
            <w:shd w:val="clear" w:color="auto" w:fill="auto"/>
            <w:noWrap/>
            <w:vAlign w:val="center"/>
            <w:hideMark/>
          </w:tcPr>
          <w:p w14:paraId="300CB907" w14:textId="7DB1C0BF"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151,930 </w:t>
            </w:r>
          </w:p>
        </w:tc>
        <w:tc>
          <w:tcPr>
            <w:tcW w:w="1393" w:type="dxa"/>
            <w:tcBorders>
              <w:top w:val="single" w:sz="4" w:space="0" w:color="auto"/>
              <w:left w:val="nil"/>
              <w:bottom w:val="single" w:sz="8" w:space="0" w:color="auto"/>
              <w:right w:val="nil"/>
            </w:tcBorders>
            <w:shd w:val="clear" w:color="auto" w:fill="auto"/>
            <w:noWrap/>
            <w:vAlign w:val="center"/>
            <w:hideMark/>
          </w:tcPr>
          <w:p w14:paraId="73231875" w14:textId="42637CA6"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80,327 </w:t>
            </w:r>
          </w:p>
        </w:tc>
        <w:tc>
          <w:tcPr>
            <w:tcW w:w="1393" w:type="dxa"/>
            <w:tcBorders>
              <w:top w:val="single" w:sz="4" w:space="0" w:color="auto"/>
              <w:left w:val="nil"/>
              <w:bottom w:val="single" w:sz="8" w:space="0" w:color="auto"/>
              <w:right w:val="nil"/>
            </w:tcBorders>
            <w:shd w:val="clear" w:color="auto" w:fill="auto"/>
            <w:noWrap/>
            <w:vAlign w:val="center"/>
            <w:hideMark/>
          </w:tcPr>
          <w:p w14:paraId="246E3552" w14:textId="742173C7"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13,800 </w:t>
            </w:r>
          </w:p>
        </w:tc>
        <w:tc>
          <w:tcPr>
            <w:tcW w:w="1393" w:type="dxa"/>
            <w:tcBorders>
              <w:top w:val="single" w:sz="4" w:space="0" w:color="auto"/>
              <w:left w:val="nil"/>
              <w:bottom w:val="single" w:sz="8" w:space="0" w:color="auto"/>
              <w:right w:val="nil"/>
            </w:tcBorders>
            <w:shd w:val="clear" w:color="auto" w:fill="auto"/>
            <w:noWrap/>
            <w:vAlign w:val="center"/>
            <w:hideMark/>
          </w:tcPr>
          <w:p w14:paraId="33004529" w14:textId="273C546D"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1,872,048 </w:t>
            </w:r>
          </w:p>
        </w:tc>
        <w:tc>
          <w:tcPr>
            <w:tcW w:w="1360" w:type="dxa"/>
            <w:tcBorders>
              <w:top w:val="single" w:sz="4" w:space="0" w:color="auto"/>
              <w:left w:val="nil"/>
              <w:bottom w:val="single" w:sz="8" w:space="0" w:color="auto"/>
              <w:right w:val="nil"/>
            </w:tcBorders>
            <w:shd w:val="clear" w:color="auto" w:fill="auto"/>
            <w:noWrap/>
            <w:vAlign w:val="center"/>
            <w:hideMark/>
          </w:tcPr>
          <w:p w14:paraId="2C69FC7A" w14:textId="507FA8F2"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289,079 </w:t>
            </w:r>
          </w:p>
        </w:tc>
        <w:tc>
          <w:tcPr>
            <w:tcW w:w="1476" w:type="dxa"/>
            <w:tcBorders>
              <w:top w:val="single" w:sz="4" w:space="0" w:color="auto"/>
              <w:left w:val="nil"/>
              <w:bottom w:val="single" w:sz="8" w:space="0" w:color="auto"/>
              <w:right w:val="nil"/>
            </w:tcBorders>
            <w:shd w:val="clear" w:color="auto" w:fill="auto"/>
            <w:noWrap/>
            <w:vAlign w:val="center"/>
            <w:hideMark/>
          </w:tcPr>
          <w:p w14:paraId="7907B234" w14:textId="4C813377"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2,407,184 </w:t>
            </w:r>
          </w:p>
        </w:tc>
      </w:tr>
      <w:tr w:rsidR="005B0A4B" w:rsidRPr="005B0A4B" w14:paraId="2226D85F" w14:textId="77777777" w:rsidTr="009E4683">
        <w:trPr>
          <w:trHeight w:val="288"/>
          <w:jc w:val="center"/>
        </w:trPr>
        <w:tc>
          <w:tcPr>
            <w:tcW w:w="3497" w:type="dxa"/>
            <w:tcBorders>
              <w:top w:val="nil"/>
              <w:left w:val="nil"/>
              <w:bottom w:val="single" w:sz="8" w:space="0" w:color="auto"/>
              <w:right w:val="nil"/>
            </w:tcBorders>
            <w:shd w:val="clear" w:color="auto" w:fill="auto"/>
            <w:noWrap/>
            <w:vAlign w:val="center"/>
            <w:hideMark/>
          </w:tcPr>
          <w:p w14:paraId="08E1E62A" w14:textId="77777777" w:rsidR="005B0A4B" w:rsidRPr="005B0A4B" w:rsidRDefault="005B0A4B" w:rsidP="005B0A4B">
            <w:pPr>
              <w:rPr>
                <w:rFonts w:ascii="Calibri" w:hAnsi="Calibri" w:cs="Calibri"/>
                <w:b/>
                <w:bCs/>
                <w:color w:val="000000"/>
                <w:szCs w:val="20"/>
                <w:lang w:val="en-CA" w:eastAsia="en-CA"/>
              </w:rPr>
            </w:pPr>
            <w:r w:rsidRPr="005B0A4B">
              <w:rPr>
                <w:rFonts w:ascii="Calibri" w:hAnsi="Calibri" w:cs="Calibri"/>
                <w:b/>
                <w:bCs/>
                <w:color w:val="000000"/>
                <w:szCs w:val="20"/>
                <w:lang w:val="en-CA" w:eastAsia="en-CA"/>
              </w:rPr>
              <w:t>Accumulated Depreciation:</w:t>
            </w:r>
          </w:p>
        </w:tc>
        <w:tc>
          <w:tcPr>
            <w:tcW w:w="1454" w:type="dxa"/>
            <w:tcBorders>
              <w:top w:val="nil"/>
              <w:left w:val="nil"/>
              <w:bottom w:val="single" w:sz="8" w:space="0" w:color="auto"/>
              <w:right w:val="nil"/>
            </w:tcBorders>
            <w:shd w:val="clear" w:color="auto" w:fill="auto"/>
            <w:noWrap/>
            <w:vAlign w:val="center"/>
            <w:hideMark/>
          </w:tcPr>
          <w:p w14:paraId="5D479559" w14:textId="77777777"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393" w:type="dxa"/>
            <w:tcBorders>
              <w:top w:val="nil"/>
              <w:left w:val="nil"/>
              <w:bottom w:val="single" w:sz="8" w:space="0" w:color="auto"/>
              <w:right w:val="nil"/>
            </w:tcBorders>
            <w:shd w:val="clear" w:color="auto" w:fill="auto"/>
            <w:noWrap/>
            <w:vAlign w:val="center"/>
            <w:hideMark/>
          </w:tcPr>
          <w:p w14:paraId="1E396B19" w14:textId="77777777"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393" w:type="dxa"/>
            <w:tcBorders>
              <w:top w:val="nil"/>
              <w:left w:val="nil"/>
              <w:bottom w:val="single" w:sz="8" w:space="0" w:color="auto"/>
              <w:right w:val="nil"/>
            </w:tcBorders>
            <w:shd w:val="clear" w:color="auto" w:fill="auto"/>
            <w:noWrap/>
            <w:vAlign w:val="center"/>
            <w:hideMark/>
          </w:tcPr>
          <w:p w14:paraId="1BCE69E9" w14:textId="77777777"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393" w:type="dxa"/>
            <w:tcBorders>
              <w:top w:val="nil"/>
              <w:left w:val="nil"/>
              <w:bottom w:val="single" w:sz="8" w:space="0" w:color="auto"/>
              <w:right w:val="nil"/>
            </w:tcBorders>
            <w:shd w:val="clear" w:color="auto" w:fill="auto"/>
            <w:noWrap/>
            <w:vAlign w:val="center"/>
            <w:hideMark/>
          </w:tcPr>
          <w:p w14:paraId="58C1E297" w14:textId="77777777"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360" w:type="dxa"/>
            <w:tcBorders>
              <w:top w:val="nil"/>
              <w:left w:val="nil"/>
              <w:bottom w:val="single" w:sz="8" w:space="0" w:color="auto"/>
              <w:right w:val="nil"/>
            </w:tcBorders>
            <w:shd w:val="clear" w:color="auto" w:fill="auto"/>
            <w:noWrap/>
            <w:vAlign w:val="center"/>
            <w:hideMark/>
          </w:tcPr>
          <w:p w14:paraId="211E979E" w14:textId="77777777"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w:t>
            </w:r>
          </w:p>
        </w:tc>
        <w:tc>
          <w:tcPr>
            <w:tcW w:w="1476" w:type="dxa"/>
            <w:tcBorders>
              <w:top w:val="nil"/>
              <w:left w:val="nil"/>
              <w:bottom w:val="single" w:sz="8" w:space="0" w:color="auto"/>
              <w:right w:val="nil"/>
            </w:tcBorders>
            <w:shd w:val="clear" w:color="auto" w:fill="auto"/>
            <w:noWrap/>
            <w:vAlign w:val="center"/>
            <w:hideMark/>
          </w:tcPr>
          <w:p w14:paraId="2DAB5D4B" w14:textId="77777777"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w:t>
            </w:r>
          </w:p>
        </w:tc>
      </w:tr>
      <w:tr w:rsidR="005B0A4B" w:rsidRPr="005B0A4B" w14:paraId="79D5CD15" w14:textId="77777777" w:rsidTr="009E4683">
        <w:trPr>
          <w:trHeight w:val="276"/>
          <w:jc w:val="center"/>
        </w:trPr>
        <w:tc>
          <w:tcPr>
            <w:tcW w:w="3497" w:type="dxa"/>
            <w:tcBorders>
              <w:top w:val="nil"/>
              <w:left w:val="nil"/>
              <w:bottom w:val="nil"/>
              <w:right w:val="nil"/>
            </w:tcBorders>
            <w:shd w:val="clear" w:color="auto" w:fill="auto"/>
            <w:noWrap/>
            <w:vAlign w:val="center"/>
            <w:hideMark/>
          </w:tcPr>
          <w:p w14:paraId="47476AFC"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Balance, June 30, 2022</w:t>
            </w:r>
          </w:p>
        </w:tc>
        <w:tc>
          <w:tcPr>
            <w:tcW w:w="1454" w:type="dxa"/>
            <w:tcBorders>
              <w:top w:val="nil"/>
              <w:left w:val="nil"/>
              <w:bottom w:val="nil"/>
              <w:right w:val="nil"/>
            </w:tcBorders>
            <w:shd w:val="clear" w:color="auto" w:fill="auto"/>
            <w:noWrap/>
            <w:vAlign w:val="center"/>
            <w:hideMark/>
          </w:tcPr>
          <w:p w14:paraId="19E02169" w14:textId="3B34A1C3"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95,136 </w:t>
            </w:r>
          </w:p>
        </w:tc>
        <w:tc>
          <w:tcPr>
            <w:tcW w:w="1393" w:type="dxa"/>
            <w:tcBorders>
              <w:top w:val="nil"/>
              <w:left w:val="nil"/>
              <w:bottom w:val="nil"/>
              <w:right w:val="nil"/>
            </w:tcBorders>
            <w:shd w:val="clear" w:color="auto" w:fill="auto"/>
            <w:noWrap/>
            <w:vAlign w:val="center"/>
            <w:hideMark/>
          </w:tcPr>
          <w:p w14:paraId="466E8725" w14:textId="2F112EF6"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59,872 </w:t>
            </w:r>
          </w:p>
        </w:tc>
        <w:tc>
          <w:tcPr>
            <w:tcW w:w="1393" w:type="dxa"/>
            <w:tcBorders>
              <w:top w:val="nil"/>
              <w:left w:val="nil"/>
              <w:bottom w:val="nil"/>
              <w:right w:val="nil"/>
            </w:tcBorders>
            <w:shd w:val="clear" w:color="auto" w:fill="auto"/>
            <w:noWrap/>
            <w:vAlign w:val="center"/>
            <w:hideMark/>
          </w:tcPr>
          <w:p w14:paraId="194373A8" w14:textId="5387141A"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4,205 </w:t>
            </w:r>
          </w:p>
        </w:tc>
        <w:tc>
          <w:tcPr>
            <w:tcW w:w="1393" w:type="dxa"/>
            <w:tcBorders>
              <w:top w:val="nil"/>
              <w:left w:val="nil"/>
              <w:bottom w:val="nil"/>
              <w:right w:val="nil"/>
            </w:tcBorders>
            <w:shd w:val="clear" w:color="auto" w:fill="auto"/>
            <w:noWrap/>
            <w:vAlign w:val="center"/>
            <w:hideMark/>
          </w:tcPr>
          <w:p w14:paraId="4BB8A602" w14:textId="65B88748"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197,364 </w:t>
            </w:r>
          </w:p>
        </w:tc>
        <w:tc>
          <w:tcPr>
            <w:tcW w:w="1360" w:type="dxa"/>
            <w:tcBorders>
              <w:top w:val="nil"/>
              <w:left w:val="nil"/>
              <w:bottom w:val="nil"/>
              <w:right w:val="nil"/>
            </w:tcBorders>
            <w:shd w:val="clear" w:color="auto" w:fill="auto"/>
            <w:noWrap/>
            <w:vAlign w:val="center"/>
            <w:hideMark/>
          </w:tcPr>
          <w:p w14:paraId="05C57A7D" w14:textId="012DA455"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476" w:type="dxa"/>
            <w:tcBorders>
              <w:top w:val="nil"/>
              <w:left w:val="nil"/>
              <w:bottom w:val="nil"/>
              <w:right w:val="nil"/>
            </w:tcBorders>
            <w:shd w:val="clear" w:color="auto" w:fill="auto"/>
            <w:noWrap/>
            <w:vAlign w:val="center"/>
            <w:hideMark/>
          </w:tcPr>
          <w:p w14:paraId="03F8C623" w14:textId="4F05F212"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356,577 </w:t>
            </w:r>
          </w:p>
        </w:tc>
      </w:tr>
      <w:tr w:rsidR="005B0A4B" w:rsidRPr="005B0A4B" w14:paraId="194DD4D2" w14:textId="77777777" w:rsidTr="009E4683">
        <w:trPr>
          <w:trHeight w:val="276"/>
          <w:jc w:val="center"/>
        </w:trPr>
        <w:tc>
          <w:tcPr>
            <w:tcW w:w="3497" w:type="dxa"/>
            <w:tcBorders>
              <w:top w:val="nil"/>
              <w:left w:val="nil"/>
              <w:bottom w:val="single" w:sz="4" w:space="0" w:color="auto"/>
              <w:right w:val="nil"/>
            </w:tcBorders>
            <w:shd w:val="clear" w:color="auto" w:fill="auto"/>
            <w:noWrap/>
            <w:vAlign w:val="center"/>
            <w:hideMark/>
          </w:tcPr>
          <w:p w14:paraId="1A298A74"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Amortization</w:t>
            </w:r>
          </w:p>
        </w:tc>
        <w:tc>
          <w:tcPr>
            <w:tcW w:w="1454" w:type="dxa"/>
            <w:tcBorders>
              <w:top w:val="nil"/>
              <w:left w:val="nil"/>
              <w:bottom w:val="single" w:sz="4" w:space="0" w:color="auto"/>
              <w:right w:val="nil"/>
            </w:tcBorders>
            <w:shd w:val="clear" w:color="auto" w:fill="auto"/>
            <w:noWrap/>
            <w:vAlign w:val="center"/>
            <w:hideMark/>
          </w:tcPr>
          <w:p w14:paraId="46B1464D" w14:textId="6D2E94D9"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5,381 </w:t>
            </w:r>
          </w:p>
        </w:tc>
        <w:tc>
          <w:tcPr>
            <w:tcW w:w="1393" w:type="dxa"/>
            <w:tcBorders>
              <w:top w:val="nil"/>
              <w:left w:val="nil"/>
              <w:bottom w:val="single" w:sz="4" w:space="0" w:color="auto"/>
              <w:right w:val="nil"/>
            </w:tcBorders>
            <w:shd w:val="clear" w:color="auto" w:fill="auto"/>
            <w:noWrap/>
            <w:vAlign w:val="center"/>
            <w:hideMark/>
          </w:tcPr>
          <w:p w14:paraId="19E2E0BA" w14:textId="41435D06"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3,943 </w:t>
            </w:r>
          </w:p>
        </w:tc>
        <w:tc>
          <w:tcPr>
            <w:tcW w:w="1393" w:type="dxa"/>
            <w:tcBorders>
              <w:top w:val="nil"/>
              <w:left w:val="nil"/>
              <w:bottom w:val="single" w:sz="4" w:space="0" w:color="auto"/>
              <w:right w:val="nil"/>
            </w:tcBorders>
            <w:shd w:val="clear" w:color="auto" w:fill="auto"/>
            <w:noWrap/>
            <w:vAlign w:val="center"/>
            <w:hideMark/>
          </w:tcPr>
          <w:p w14:paraId="2FD3F080" w14:textId="505477DC"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1,773 </w:t>
            </w:r>
          </w:p>
        </w:tc>
        <w:tc>
          <w:tcPr>
            <w:tcW w:w="1393" w:type="dxa"/>
            <w:tcBorders>
              <w:top w:val="nil"/>
              <w:left w:val="nil"/>
              <w:bottom w:val="single" w:sz="4" w:space="0" w:color="auto"/>
              <w:right w:val="nil"/>
            </w:tcBorders>
            <w:shd w:val="clear" w:color="auto" w:fill="auto"/>
            <w:noWrap/>
            <w:vAlign w:val="center"/>
            <w:hideMark/>
          </w:tcPr>
          <w:p w14:paraId="70BE296D" w14:textId="732AAF71"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178,201 </w:t>
            </w:r>
          </w:p>
        </w:tc>
        <w:tc>
          <w:tcPr>
            <w:tcW w:w="1360" w:type="dxa"/>
            <w:tcBorders>
              <w:top w:val="nil"/>
              <w:left w:val="nil"/>
              <w:bottom w:val="single" w:sz="4" w:space="0" w:color="auto"/>
              <w:right w:val="nil"/>
            </w:tcBorders>
            <w:shd w:val="clear" w:color="auto" w:fill="auto"/>
            <w:noWrap/>
            <w:vAlign w:val="center"/>
            <w:hideMark/>
          </w:tcPr>
          <w:p w14:paraId="4A482D03" w14:textId="7FEEA49A"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476" w:type="dxa"/>
            <w:tcBorders>
              <w:top w:val="nil"/>
              <w:left w:val="nil"/>
              <w:bottom w:val="single" w:sz="4" w:space="0" w:color="auto"/>
              <w:right w:val="nil"/>
            </w:tcBorders>
            <w:shd w:val="clear" w:color="auto" w:fill="auto"/>
            <w:noWrap/>
            <w:vAlign w:val="center"/>
            <w:hideMark/>
          </w:tcPr>
          <w:p w14:paraId="4DF3B404" w14:textId="3224884A"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189,298 </w:t>
            </w:r>
          </w:p>
        </w:tc>
      </w:tr>
      <w:tr w:rsidR="005B0A4B" w:rsidRPr="005B0A4B" w14:paraId="4FBFD343" w14:textId="77777777" w:rsidTr="009E4683">
        <w:trPr>
          <w:trHeight w:val="276"/>
          <w:jc w:val="center"/>
        </w:trPr>
        <w:tc>
          <w:tcPr>
            <w:tcW w:w="3497" w:type="dxa"/>
            <w:tcBorders>
              <w:top w:val="nil"/>
              <w:left w:val="nil"/>
              <w:bottom w:val="single" w:sz="4" w:space="0" w:color="auto"/>
              <w:right w:val="nil"/>
            </w:tcBorders>
            <w:shd w:val="clear" w:color="auto" w:fill="auto"/>
            <w:noWrap/>
            <w:vAlign w:val="center"/>
            <w:hideMark/>
          </w:tcPr>
          <w:p w14:paraId="59EA4E2F"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Balance, June 30, 2023</w:t>
            </w:r>
          </w:p>
        </w:tc>
        <w:tc>
          <w:tcPr>
            <w:tcW w:w="1454" w:type="dxa"/>
            <w:tcBorders>
              <w:top w:val="nil"/>
              <w:left w:val="nil"/>
              <w:bottom w:val="single" w:sz="4" w:space="0" w:color="auto"/>
              <w:right w:val="nil"/>
            </w:tcBorders>
            <w:shd w:val="clear" w:color="auto" w:fill="auto"/>
            <w:noWrap/>
            <w:vAlign w:val="center"/>
            <w:hideMark/>
          </w:tcPr>
          <w:p w14:paraId="0CC64F5F" w14:textId="41BAD218"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100,517 </w:t>
            </w:r>
          </w:p>
        </w:tc>
        <w:tc>
          <w:tcPr>
            <w:tcW w:w="1393" w:type="dxa"/>
            <w:tcBorders>
              <w:top w:val="nil"/>
              <w:left w:val="nil"/>
              <w:bottom w:val="single" w:sz="4" w:space="0" w:color="auto"/>
              <w:right w:val="nil"/>
            </w:tcBorders>
            <w:shd w:val="clear" w:color="auto" w:fill="auto"/>
            <w:noWrap/>
            <w:vAlign w:val="center"/>
            <w:hideMark/>
          </w:tcPr>
          <w:p w14:paraId="2EDFB160" w14:textId="32B0BFCC"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63,815 </w:t>
            </w:r>
          </w:p>
        </w:tc>
        <w:tc>
          <w:tcPr>
            <w:tcW w:w="1393" w:type="dxa"/>
            <w:tcBorders>
              <w:top w:val="nil"/>
              <w:left w:val="nil"/>
              <w:bottom w:val="single" w:sz="4" w:space="0" w:color="auto"/>
              <w:right w:val="nil"/>
            </w:tcBorders>
            <w:shd w:val="clear" w:color="auto" w:fill="auto"/>
            <w:noWrap/>
            <w:vAlign w:val="center"/>
            <w:hideMark/>
          </w:tcPr>
          <w:p w14:paraId="56A47CC0" w14:textId="6671B16E"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5,978 </w:t>
            </w:r>
          </w:p>
        </w:tc>
        <w:tc>
          <w:tcPr>
            <w:tcW w:w="1393" w:type="dxa"/>
            <w:tcBorders>
              <w:top w:val="nil"/>
              <w:left w:val="nil"/>
              <w:bottom w:val="single" w:sz="4" w:space="0" w:color="auto"/>
              <w:right w:val="nil"/>
            </w:tcBorders>
            <w:shd w:val="clear" w:color="auto" w:fill="auto"/>
            <w:noWrap/>
            <w:vAlign w:val="center"/>
            <w:hideMark/>
          </w:tcPr>
          <w:p w14:paraId="7F52B986" w14:textId="47997D88"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375,565 </w:t>
            </w:r>
          </w:p>
        </w:tc>
        <w:tc>
          <w:tcPr>
            <w:tcW w:w="1360" w:type="dxa"/>
            <w:tcBorders>
              <w:top w:val="nil"/>
              <w:left w:val="nil"/>
              <w:bottom w:val="single" w:sz="4" w:space="0" w:color="auto"/>
              <w:right w:val="nil"/>
            </w:tcBorders>
            <w:shd w:val="clear" w:color="auto" w:fill="auto"/>
            <w:noWrap/>
            <w:vAlign w:val="center"/>
            <w:hideMark/>
          </w:tcPr>
          <w:p w14:paraId="23A4397A" w14:textId="31E6D7B9"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476" w:type="dxa"/>
            <w:tcBorders>
              <w:top w:val="nil"/>
              <w:left w:val="nil"/>
              <w:bottom w:val="single" w:sz="4" w:space="0" w:color="auto"/>
              <w:right w:val="nil"/>
            </w:tcBorders>
            <w:shd w:val="clear" w:color="auto" w:fill="auto"/>
            <w:noWrap/>
            <w:vAlign w:val="center"/>
            <w:hideMark/>
          </w:tcPr>
          <w:p w14:paraId="6E3DB118" w14:textId="3E8D4577"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545,875 </w:t>
            </w:r>
          </w:p>
        </w:tc>
      </w:tr>
      <w:tr w:rsidR="005B0A4B" w:rsidRPr="005B0A4B" w14:paraId="668F13C6" w14:textId="77777777" w:rsidTr="009E4683">
        <w:trPr>
          <w:trHeight w:val="276"/>
          <w:jc w:val="center"/>
        </w:trPr>
        <w:tc>
          <w:tcPr>
            <w:tcW w:w="3497" w:type="dxa"/>
            <w:tcBorders>
              <w:top w:val="nil"/>
              <w:left w:val="nil"/>
              <w:bottom w:val="nil"/>
              <w:right w:val="nil"/>
            </w:tcBorders>
            <w:shd w:val="clear" w:color="auto" w:fill="auto"/>
            <w:noWrap/>
            <w:vAlign w:val="center"/>
            <w:hideMark/>
          </w:tcPr>
          <w:p w14:paraId="0D18A0C3"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Amortization</w:t>
            </w:r>
          </w:p>
        </w:tc>
        <w:tc>
          <w:tcPr>
            <w:tcW w:w="1454" w:type="dxa"/>
            <w:tcBorders>
              <w:top w:val="nil"/>
              <w:left w:val="nil"/>
              <w:bottom w:val="nil"/>
              <w:right w:val="nil"/>
            </w:tcBorders>
            <w:shd w:val="clear" w:color="auto" w:fill="auto"/>
            <w:noWrap/>
            <w:vAlign w:val="center"/>
            <w:hideMark/>
          </w:tcPr>
          <w:p w14:paraId="04DC1024" w14:textId="371ACC85"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14,489 </w:t>
            </w:r>
          </w:p>
        </w:tc>
        <w:tc>
          <w:tcPr>
            <w:tcW w:w="1393" w:type="dxa"/>
            <w:tcBorders>
              <w:top w:val="nil"/>
              <w:left w:val="nil"/>
              <w:bottom w:val="nil"/>
              <w:right w:val="nil"/>
            </w:tcBorders>
            <w:shd w:val="clear" w:color="auto" w:fill="auto"/>
            <w:noWrap/>
            <w:vAlign w:val="center"/>
            <w:hideMark/>
          </w:tcPr>
          <w:p w14:paraId="0963EA81" w14:textId="1A24D014"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2,500 </w:t>
            </w:r>
          </w:p>
        </w:tc>
        <w:tc>
          <w:tcPr>
            <w:tcW w:w="1393" w:type="dxa"/>
            <w:tcBorders>
              <w:top w:val="nil"/>
              <w:left w:val="nil"/>
              <w:bottom w:val="nil"/>
              <w:right w:val="nil"/>
            </w:tcBorders>
            <w:shd w:val="clear" w:color="auto" w:fill="auto"/>
            <w:noWrap/>
            <w:vAlign w:val="center"/>
            <w:hideMark/>
          </w:tcPr>
          <w:p w14:paraId="59281DE5" w14:textId="114F46DE"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1,098 </w:t>
            </w:r>
          </w:p>
        </w:tc>
        <w:tc>
          <w:tcPr>
            <w:tcW w:w="1393" w:type="dxa"/>
            <w:tcBorders>
              <w:top w:val="nil"/>
              <w:left w:val="nil"/>
              <w:bottom w:val="nil"/>
              <w:right w:val="nil"/>
            </w:tcBorders>
            <w:shd w:val="clear" w:color="auto" w:fill="auto"/>
            <w:noWrap/>
            <w:vAlign w:val="center"/>
            <w:hideMark/>
          </w:tcPr>
          <w:p w14:paraId="730FBB85" w14:textId="295E5D96"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264,955 </w:t>
            </w:r>
          </w:p>
        </w:tc>
        <w:tc>
          <w:tcPr>
            <w:tcW w:w="1360" w:type="dxa"/>
            <w:tcBorders>
              <w:top w:val="nil"/>
              <w:left w:val="nil"/>
              <w:bottom w:val="nil"/>
              <w:right w:val="nil"/>
            </w:tcBorders>
            <w:shd w:val="clear" w:color="auto" w:fill="auto"/>
            <w:noWrap/>
            <w:vAlign w:val="center"/>
            <w:hideMark/>
          </w:tcPr>
          <w:p w14:paraId="3D99DBA5" w14:textId="7F7B227B" w:rsidR="005B0A4B" w:rsidRPr="005B0A4B" w:rsidRDefault="005B0A4B" w:rsidP="00A22073">
            <w:pPr>
              <w:ind w:right="125"/>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w:t>
            </w:r>
          </w:p>
        </w:tc>
        <w:tc>
          <w:tcPr>
            <w:tcW w:w="1476" w:type="dxa"/>
            <w:tcBorders>
              <w:top w:val="nil"/>
              <w:left w:val="nil"/>
              <w:bottom w:val="nil"/>
              <w:right w:val="nil"/>
            </w:tcBorders>
            <w:shd w:val="clear" w:color="auto" w:fill="auto"/>
            <w:noWrap/>
            <w:vAlign w:val="center"/>
            <w:hideMark/>
          </w:tcPr>
          <w:p w14:paraId="528C2C5F" w14:textId="4CAEC41D"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283,042 </w:t>
            </w:r>
          </w:p>
        </w:tc>
      </w:tr>
      <w:tr w:rsidR="005B0A4B" w:rsidRPr="005B0A4B" w14:paraId="3BB04D2F" w14:textId="77777777" w:rsidTr="009E4683">
        <w:trPr>
          <w:trHeight w:val="288"/>
          <w:jc w:val="center"/>
        </w:trPr>
        <w:tc>
          <w:tcPr>
            <w:tcW w:w="3497" w:type="dxa"/>
            <w:tcBorders>
              <w:top w:val="single" w:sz="4" w:space="0" w:color="auto"/>
              <w:left w:val="nil"/>
              <w:bottom w:val="single" w:sz="8" w:space="0" w:color="auto"/>
              <w:right w:val="nil"/>
            </w:tcBorders>
            <w:shd w:val="clear" w:color="auto" w:fill="auto"/>
            <w:noWrap/>
            <w:vAlign w:val="center"/>
            <w:hideMark/>
          </w:tcPr>
          <w:p w14:paraId="19F675EA" w14:textId="77777777" w:rsidR="005B0A4B" w:rsidRPr="005B0A4B" w:rsidRDefault="005B0A4B" w:rsidP="005B0A4B">
            <w:pPr>
              <w:rPr>
                <w:rFonts w:ascii="Calibri" w:hAnsi="Calibri" w:cs="Calibri"/>
                <w:b/>
                <w:bCs/>
                <w:color w:val="000000"/>
                <w:szCs w:val="20"/>
                <w:lang w:val="en-CA" w:eastAsia="en-CA"/>
              </w:rPr>
            </w:pPr>
            <w:r w:rsidRPr="005B0A4B">
              <w:rPr>
                <w:rFonts w:ascii="Calibri" w:hAnsi="Calibri" w:cs="Calibri"/>
                <w:b/>
                <w:bCs/>
                <w:color w:val="000000"/>
                <w:szCs w:val="20"/>
                <w:lang w:val="en-CA" w:eastAsia="en-CA"/>
              </w:rPr>
              <w:t>Balance, March 31, 2024</w:t>
            </w:r>
          </w:p>
        </w:tc>
        <w:tc>
          <w:tcPr>
            <w:tcW w:w="1454" w:type="dxa"/>
            <w:tcBorders>
              <w:top w:val="single" w:sz="4" w:space="0" w:color="auto"/>
              <w:left w:val="nil"/>
              <w:bottom w:val="single" w:sz="8" w:space="0" w:color="auto"/>
              <w:right w:val="nil"/>
            </w:tcBorders>
            <w:shd w:val="clear" w:color="auto" w:fill="auto"/>
            <w:noWrap/>
            <w:vAlign w:val="center"/>
            <w:hideMark/>
          </w:tcPr>
          <w:p w14:paraId="1F164376" w14:textId="2438FA0B"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115,006 </w:t>
            </w:r>
          </w:p>
        </w:tc>
        <w:tc>
          <w:tcPr>
            <w:tcW w:w="1393" w:type="dxa"/>
            <w:tcBorders>
              <w:top w:val="single" w:sz="4" w:space="0" w:color="auto"/>
              <w:left w:val="nil"/>
              <w:bottom w:val="single" w:sz="8" w:space="0" w:color="auto"/>
              <w:right w:val="nil"/>
            </w:tcBorders>
            <w:shd w:val="clear" w:color="auto" w:fill="auto"/>
            <w:noWrap/>
            <w:vAlign w:val="center"/>
            <w:hideMark/>
          </w:tcPr>
          <w:p w14:paraId="3426DB36" w14:textId="38DD3477"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66,315 </w:t>
            </w:r>
          </w:p>
        </w:tc>
        <w:tc>
          <w:tcPr>
            <w:tcW w:w="1393" w:type="dxa"/>
            <w:tcBorders>
              <w:top w:val="single" w:sz="4" w:space="0" w:color="auto"/>
              <w:left w:val="nil"/>
              <w:bottom w:val="single" w:sz="8" w:space="0" w:color="auto"/>
              <w:right w:val="nil"/>
            </w:tcBorders>
            <w:shd w:val="clear" w:color="auto" w:fill="auto"/>
            <w:noWrap/>
            <w:vAlign w:val="center"/>
            <w:hideMark/>
          </w:tcPr>
          <w:p w14:paraId="51B47C2F" w14:textId="1932831D"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7,076 </w:t>
            </w:r>
          </w:p>
        </w:tc>
        <w:tc>
          <w:tcPr>
            <w:tcW w:w="1393" w:type="dxa"/>
            <w:tcBorders>
              <w:top w:val="single" w:sz="4" w:space="0" w:color="auto"/>
              <w:left w:val="nil"/>
              <w:bottom w:val="single" w:sz="8" w:space="0" w:color="auto"/>
              <w:right w:val="nil"/>
            </w:tcBorders>
            <w:shd w:val="clear" w:color="auto" w:fill="auto"/>
            <w:noWrap/>
            <w:vAlign w:val="center"/>
            <w:hideMark/>
          </w:tcPr>
          <w:p w14:paraId="140D018D" w14:textId="41DCA6C2"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640,520 </w:t>
            </w:r>
          </w:p>
        </w:tc>
        <w:tc>
          <w:tcPr>
            <w:tcW w:w="1360" w:type="dxa"/>
            <w:tcBorders>
              <w:top w:val="single" w:sz="4" w:space="0" w:color="auto"/>
              <w:left w:val="nil"/>
              <w:bottom w:val="single" w:sz="8" w:space="0" w:color="auto"/>
              <w:right w:val="nil"/>
            </w:tcBorders>
            <w:shd w:val="clear" w:color="auto" w:fill="auto"/>
            <w:noWrap/>
            <w:vAlign w:val="center"/>
            <w:hideMark/>
          </w:tcPr>
          <w:p w14:paraId="520135F8" w14:textId="70968058" w:rsidR="005B0A4B" w:rsidRPr="005B0A4B" w:rsidRDefault="005B0A4B" w:rsidP="00A22073">
            <w:pPr>
              <w:ind w:right="125"/>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   </w:t>
            </w:r>
          </w:p>
        </w:tc>
        <w:tc>
          <w:tcPr>
            <w:tcW w:w="1476" w:type="dxa"/>
            <w:tcBorders>
              <w:top w:val="single" w:sz="4" w:space="0" w:color="auto"/>
              <w:left w:val="nil"/>
              <w:bottom w:val="single" w:sz="8" w:space="0" w:color="auto"/>
              <w:right w:val="nil"/>
            </w:tcBorders>
            <w:shd w:val="clear" w:color="auto" w:fill="auto"/>
            <w:noWrap/>
            <w:vAlign w:val="center"/>
            <w:hideMark/>
          </w:tcPr>
          <w:p w14:paraId="13804A55" w14:textId="67A67D3A"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828,917 </w:t>
            </w:r>
          </w:p>
        </w:tc>
      </w:tr>
      <w:tr w:rsidR="005B0A4B" w:rsidRPr="005B0A4B" w14:paraId="03ACF2D4" w14:textId="77777777" w:rsidTr="009E4683">
        <w:trPr>
          <w:trHeight w:val="276"/>
          <w:jc w:val="center"/>
        </w:trPr>
        <w:tc>
          <w:tcPr>
            <w:tcW w:w="3497" w:type="dxa"/>
            <w:tcBorders>
              <w:top w:val="nil"/>
              <w:left w:val="nil"/>
              <w:bottom w:val="nil"/>
              <w:right w:val="nil"/>
            </w:tcBorders>
            <w:shd w:val="clear" w:color="auto" w:fill="auto"/>
            <w:noWrap/>
            <w:vAlign w:val="center"/>
            <w:hideMark/>
          </w:tcPr>
          <w:p w14:paraId="758DE7A7" w14:textId="77777777" w:rsidR="005B0A4B" w:rsidRPr="005B0A4B" w:rsidRDefault="005B0A4B" w:rsidP="005B0A4B">
            <w:pPr>
              <w:rPr>
                <w:rFonts w:ascii="Calibri" w:hAnsi="Calibri" w:cs="Calibri"/>
                <w:b/>
                <w:bCs/>
                <w:color w:val="000000"/>
                <w:szCs w:val="20"/>
                <w:lang w:val="en-CA" w:eastAsia="en-CA"/>
              </w:rPr>
            </w:pPr>
            <w:r w:rsidRPr="005B0A4B">
              <w:rPr>
                <w:rFonts w:ascii="Calibri" w:hAnsi="Calibri" w:cs="Calibri"/>
                <w:b/>
                <w:bCs/>
                <w:color w:val="000000"/>
                <w:szCs w:val="20"/>
                <w:lang w:val="en-CA" w:eastAsia="en-CA"/>
              </w:rPr>
              <w:t>Net Book Value:</w:t>
            </w:r>
          </w:p>
        </w:tc>
        <w:tc>
          <w:tcPr>
            <w:tcW w:w="1454" w:type="dxa"/>
            <w:tcBorders>
              <w:top w:val="nil"/>
              <w:left w:val="nil"/>
              <w:bottom w:val="nil"/>
              <w:right w:val="nil"/>
            </w:tcBorders>
            <w:shd w:val="clear" w:color="auto" w:fill="auto"/>
            <w:noWrap/>
            <w:vAlign w:val="center"/>
            <w:hideMark/>
          </w:tcPr>
          <w:p w14:paraId="5FFCDADE" w14:textId="77777777" w:rsidR="005B0A4B" w:rsidRPr="005B0A4B" w:rsidRDefault="005B0A4B" w:rsidP="005B0A4B">
            <w:pPr>
              <w:jc w:val="right"/>
              <w:rPr>
                <w:rFonts w:ascii="Calibri" w:hAnsi="Calibri" w:cs="Calibri"/>
                <w:b/>
                <w:bCs/>
                <w:color w:val="000000"/>
                <w:szCs w:val="20"/>
                <w:lang w:val="en-CA" w:eastAsia="en-CA"/>
              </w:rPr>
            </w:pPr>
          </w:p>
        </w:tc>
        <w:tc>
          <w:tcPr>
            <w:tcW w:w="1393" w:type="dxa"/>
            <w:tcBorders>
              <w:top w:val="nil"/>
              <w:left w:val="nil"/>
              <w:bottom w:val="nil"/>
              <w:right w:val="nil"/>
            </w:tcBorders>
            <w:shd w:val="clear" w:color="auto" w:fill="auto"/>
            <w:noWrap/>
            <w:vAlign w:val="center"/>
            <w:hideMark/>
          </w:tcPr>
          <w:p w14:paraId="02655164" w14:textId="77777777" w:rsidR="005B0A4B" w:rsidRPr="005B0A4B" w:rsidRDefault="005B0A4B" w:rsidP="005B0A4B">
            <w:pPr>
              <w:jc w:val="right"/>
              <w:rPr>
                <w:rFonts w:ascii="Times New Roman" w:hAnsi="Times New Roman"/>
                <w:szCs w:val="20"/>
                <w:lang w:val="en-CA" w:eastAsia="en-CA"/>
              </w:rPr>
            </w:pPr>
          </w:p>
        </w:tc>
        <w:tc>
          <w:tcPr>
            <w:tcW w:w="1393" w:type="dxa"/>
            <w:tcBorders>
              <w:top w:val="nil"/>
              <w:left w:val="nil"/>
              <w:bottom w:val="nil"/>
              <w:right w:val="nil"/>
            </w:tcBorders>
            <w:shd w:val="clear" w:color="auto" w:fill="auto"/>
            <w:noWrap/>
            <w:vAlign w:val="center"/>
            <w:hideMark/>
          </w:tcPr>
          <w:p w14:paraId="03F01B89" w14:textId="77777777" w:rsidR="005B0A4B" w:rsidRPr="005B0A4B" w:rsidRDefault="005B0A4B" w:rsidP="005B0A4B">
            <w:pPr>
              <w:jc w:val="right"/>
              <w:rPr>
                <w:rFonts w:ascii="Times New Roman" w:hAnsi="Times New Roman"/>
                <w:szCs w:val="20"/>
                <w:lang w:val="en-CA" w:eastAsia="en-CA"/>
              </w:rPr>
            </w:pPr>
          </w:p>
        </w:tc>
        <w:tc>
          <w:tcPr>
            <w:tcW w:w="1393" w:type="dxa"/>
            <w:tcBorders>
              <w:top w:val="nil"/>
              <w:left w:val="nil"/>
              <w:bottom w:val="nil"/>
              <w:right w:val="nil"/>
            </w:tcBorders>
            <w:shd w:val="clear" w:color="auto" w:fill="auto"/>
            <w:noWrap/>
            <w:vAlign w:val="center"/>
            <w:hideMark/>
          </w:tcPr>
          <w:p w14:paraId="2D5CFEB6" w14:textId="77777777" w:rsidR="005B0A4B" w:rsidRPr="005B0A4B" w:rsidRDefault="005B0A4B" w:rsidP="005B0A4B">
            <w:pPr>
              <w:jc w:val="right"/>
              <w:rPr>
                <w:rFonts w:ascii="Times New Roman" w:hAnsi="Times New Roman"/>
                <w:szCs w:val="20"/>
                <w:lang w:val="en-CA" w:eastAsia="en-CA"/>
              </w:rPr>
            </w:pPr>
          </w:p>
        </w:tc>
        <w:tc>
          <w:tcPr>
            <w:tcW w:w="1360" w:type="dxa"/>
            <w:tcBorders>
              <w:top w:val="nil"/>
              <w:left w:val="nil"/>
              <w:bottom w:val="nil"/>
              <w:right w:val="nil"/>
            </w:tcBorders>
            <w:shd w:val="clear" w:color="auto" w:fill="auto"/>
            <w:noWrap/>
            <w:vAlign w:val="center"/>
            <w:hideMark/>
          </w:tcPr>
          <w:p w14:paraId="63A44F77" w14:textId="77777777" w:rsidR="005B0A4B" w:rsidRPr="005B0A4B" w:rsidRDefault="005B0A4B" w:rsidP="005B0A4B">
            <w:pPr>
              <w:jc w:val="right"/>
              <w:rPr>
                <w:rFonts w:ascii="Times New Roman" w:hAnsi="Times New Roman"/>
                <w:szCs w:val="20"/>
                <w:lang w:val="en-CA" w:eastAsia="en-CA"/>
              </w:rPr>
            </w:pPr>
          </w:p>
        </w:tc>
        <w:tc>
          <w:tcPr>
            <w:tcW w:w="1476" w:type="dxa"/>
            <w:tcBorders>
              <w:top w:val="nil"/>
              <w:left w:val="nil"/>
              <w:bottom w:val="nil"/>
              <w:right w:val="nil"/>
            </w:tcBorders>
            <w:shd w:val="clear" w:color="auto" w:fill="auto"/>
            <w:noWrap/>
            <w:vAlign w:val="center"/>
            <w:hideMark/>
          </w:tcPr>
          <w:p w14:paraId="31898480" w14:textId="77777777" w:rsidR="005B0A4B" w:rsidRPr="005B0A4B" w:rsidRDefault="005B0A4B" w:rsidP="005B0A4B">
            <w:pPr>
              <w:jc w:val="right"/>
              <w:rPr>
                <w:rFonts w:ascii="Times New Roman" w:hAnsi="Times New Roman"/>
                <w:szCs w:val="20"/>
                <w:lang w:val="en-CA" w:eastAsia="en-CA"/>
              </w:rPr>
            </w:pPr>
          </w:p>
        </w:tc>
      </w:tr>
      <w:tr w:rsidR="005B0A4B" w:rsidRPr="005B0A4B" w14:paraId="5FED9EA1" w14:textId="77777777" w:rsidTr="00A22073">
        <w:trPr>
          <w:trHeight w:val="276"/>
          <w:jc w:val="center"/>
        </w:trPr>
        <w:tc>
          <w:tcPr>
            <w:tcW w:w="3497" w:type="dxa"/>
            <w:tcBorders>
              <w:top w:val="single" w:sz="4" w:space="0" w:color="auto"/>
              <w:left w:val="nil"/>
              <w:bottom w:val="single" w:sz="4" w:space="0" w:color="auto"/>
              <w:right w:val="nil"/>
            </w:tcBorders>
            <w:shd w:val="clear" w:color="auto" w:fill="auto"/>
            <w:noWrap/>
            <w:vAlign w:val="center"/>
            <w:hideMark/>
          </w:tcPr>
          <w:p w14:paraId="1CEC57B4" w14:textId="77777777" w:rsidR="005B0A4B" w:rsidRPr="005B0A4B" w:rsidRDefault="005B0A4B" w:rsidP="005B0A4B">
            <w:pPr>
              <w:rPr>
                <w:rFonts w:ascii="Calibri" w:hAnsi="Calibri" w:cs="Calibri"/>
                <w:color w:val="000000"/>
                <w:szCs w:val="20"/>
                <w:lang w:val="en-CA" w:eastAsia="en-CA"/>
              </w:rPr>
            </w:pPr>
            <w:r w:rsidRPr="005B0A4B">
              <w:rPr>
                <w:rFonts w:ascii="Calibri" w:hAnsi="Calibri" w:cs="Calibri"/>
                <w:color w:val="000000"/>
                <w:szCs w:val="20"/>
                <w:lang w:val="en-CA" w:eastAsia="en-CA"/>
              </w:rPr>
              <w:t>June 30, 2023</w:t>
            </w:r>
          </w:p>
        </w:tc>
        <w:tc>
          <w:tcPr>
            <w:tcW w:w="1454" w:type="dxa"/>
            <w:tcBorders>
              <w:top w:val="single" w:sz="4" w:space="0" w:color="auto"/>
              <w:left w:val="nil"/>
              <w:bottom w:val="single" w:sz="4" w:space="0" w:color="auto"/>
              <w:right w:val="nil"/>
            </w:tcBorders>
            <w:shd w:val="clear" w:color="auto" w:fill="auto"/>
            <w:noWrap/>
            <w:vAlign w:val="center"/>
            <w:hideMark/>
          </w:tcPr>
          <w:p w14:paraId="31ED6012" w14:textId="791EFB19"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$ 51,413 </w:t>
            </w:r>
          </w:p>
        </w:tc>
        <w:tc>
          <w:tcPr>
            <w:tcW w:w="1393" w:type="dxa"/>
            <w:tcBorders>
              <w:top w:val="single" w:sz="4" w:space="0" w:color="auto"/>
              <w:left w:val="nil"/>
              <w:bottom w:val="single" w:sz="4" w:space="0" w:color="auto"/>
              <w:right w:val="nil"/>
            </w:tcBorders>
            <w:shd w:val="clear" w:color="auto" w:fill="auto"/>
            <w:noWrap/>
            <w:vAlign w:val="center"/>
            <w:hideMark/>
          </w:tcPr>
          <w:p w14:paraId="7A8B578B" w14:textId="095CB008"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16,512 </w:t>
            </w:r>
          </w:p>
        </w:tc>
        <w:tc>
          <w:tcPr>
            <w:tcW w:w="1393" w:type="dxa"/>
            <w:tcBorders>
              <w:top w:val="single" w:sz="4" w:space="0" w:color="auto"/>
              <w:left w:val="nil"/>
              <w:bottom w:val="single" w:sz="4" w:space="0" w:color="auto"/>
              <w:right w:val="nil"/>
            </w:tcBorders>
            <w:shd w:val="clear" w:color="auto" w:fill="auto"/>
            <w:noWrap/>
            <w:vAlign w:val="center"/>
            <w:hideMark/>
          </w:tcPr>
          <w:p w14:paraId="4EAA7ADD" w14:textId="17ABD7A5"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w:t>
            </w:r>
            <w:r w:rsidR="009221EE">
              <w:rPr>
                <w:rFonts w:ascii="Calibri" w:hAnsi="Calibri" w:cs="Calibri"/>
                <w:color w:val="000000"/>
                <w:szCs w:val="20"/>
                <w:lang w:val="en-CA" w:eastAsia="en-CA"/>
              </w:rPr>
              <w:t xml:space="preserve"> </w:t>
            </w:r>
            <w:r w:rsidRPr="005B0A4B">
              <w:rPr>
                <w:rFonts w:ascii="Calibri" w:hAnsi="Calibri" w:cs="Calibri"/>
                <w:color w:val="000000"/>
                <w:szCs w:val="20"/>
                <w:lang w:val="en-CA" w:eastAsia="en-CA"/>
              </w:rPr>
              <w:t xml:space="preserve">7,822 </w:t>
            </w:r>
          </w:p>
        </w:tc>
        <w:tc>
          <w:tcPr>
            <w:tcW w:w="1393" w:type="dxa"/>
            <w:tcBorders>
              <w:top w:val="single" w:sz="4" w:space="0" w:color="auto"/>
              <w:left w:val="nil"/>
              <w:bottom w:val="single" w:sz="4" w:space="0" w:color="auto"/>
              <w:right w:val="nil"/>
            </w:tcBorders>
            <w:shd w:val="clear" w:color="auto" w:fill="auto"/>
            <w:noWrap/>
            <w:vAlign w:val="center"/>
            <w:hideMark/>
          </w:tcPr>
          <w:p w14:paraId="7D38446D" w14:textId="20FAE0EE"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w:t>
            </w:r>
            <w:r w:rsidR="009221EE">
              <w:rPr>
                <w:rFonts w:ascii="Calibri" w:hAnsi="Calibri" w:cs="Calibri"/>
                <w:color w:val="000000"/>
                <w:szCs w:val="20"/>
                <w:lang w:val="en-CA" w:eastAsia="en-CA"/>
              </w:rPr>
              <w:t xml:space="preserve"> </w:t>
            </w:r>
            <w:r w:rsidRPr="005B0A4B">
              <w:rPr>
                <w:rFonts w:ascii="Calibri" w:hAnsi="Calibri" w:cs="Calibri"/>
                <w:color w:val="000000"/>
                <w:szCs w:val="20"/>
                <w:lang w:val="en-CA" w:eastAsia="en-CA"/>
              </w:rPr>
              <w:t xml:space="preserve">1,149,769 </w:t>
            </w:r>
          </w:p>
        </w:tc>
        <w:tc>
          <w:tcPr>
            <w:tcW w:w="1360" w:type="dxa"/>
            <w:tcBorders>
              <w:top w:val="single" w:sz="4" w:space="0" w:color="auto"/>
              <w:left w:val="nil"/>
              <w:bottom w:val="single" w:sz="4" w:space="0" w:color="auto"/>
              <w:right w:val="nil"/>
            </w:tcBorders>
            <w:shd w:val="clear" w:color="auto" w:fill="auto"/>
            <w:noWrap/>
            <w:vAlign w:val="center"/>
            <w:hideMark/>
          </w:tcPr>
          <w:p w14:paraId="72A6091F" w14:textId="586768D5"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283,872 </w:t>
            </w:r>
          </w:p>
        </w:tc>
        <w:tc>
          <w:tcPr>
            <w:tcW w:w="1476" w:type="dxa"/>
            <w:tcBorders>
              <w:top w:val="single" w:sz="4" w:space="0" w:color="auto"/>
              <w:left w:val="nil"/>
              <w:bottom w:val="single" w:sz="4" w:space="0" w:color="auto"/>
              <w:right w:val="nil"/>
            </w:tcBorders>
            <w:shd w:val="clear" w:color="auto" w:fill="auto"/>
            <w:noWrap/>
            <w:vAlign w:val="center"/>
            <w:hideMark/>
          </w:tcPr>
          <w:p w14:paraId="66B8F075" w14:textId="122D8A99" w:rsidR="005B0A4B" w:rsidRPr="005B0A4B" w:rsidRDefault="005B0A4B" w:rsidP="005B0A4B">
            <w:pPr>
              <w:jc w:val="right"/>
              <w:rPr>
                <w:rFonts w:ascii="Calibri" w:hAnsi="Calibri" w:cs="Calibri"/>
                <w:color w:val="000000"/>
                <w:szCs w:val="20"/>
                <w:lang w:val="en-CA" w:eastAsia="en-CA"/>
              </w:rPr>
            </w:pPr>
            <w:r w:rsidRPr="005B0A4B">
              <w:rPr>
                <w:rFonts w:ascii="Calibri" w:hAnsi="Calibri" w:cs="Calibri"/>
                <w:color w:val="000000"/>
                <w:szCs w:val="20"/>
                <w:lang w:val="en-CA" w:eastAsia="en-CA"/>
              </w:rPr>
              <w:t xml:space="preserve"> $  1,509,388 </w:t>
            </w:r>
          </w:p>
        </w:tc>
      </w:tr>
      <w:tr w:rsidR="005B0A4B" w:rsidRPr="005B0A4B" w14:paraId="36961865" w14:textId="77777777" w:rsidTr="00A22073">
        <w:trPr>
          <w:trHeight w:val="288"/>
          <w:jc w:val="center"/>
        </w:trPr>
        <w:tc>
          <w:tcPr>
            <w:tcW w:w="3497" w:type="dxa"/>
            <w:tcBorders>
              <w:top w:val="single" w:sz="4" w:space="0" w:color="auto"/>
              <w:left w:val="nil"/>
              <w:bottom w:val="single" w:sz="12" w:space="0" w:color="auto"/>
              <w:right w:val="nil"/>
            </w:tcBorders>
            <w:shd w:val="clear" w:color="auto" w:fill="auto"/>
            <w:noWrap/>
            <w:vAlign w:val="center"/>
            <w:hideMark/>
          </w:tcPr>
          <w:p w14:paraId="39EB766F" w14:textId="77777777" w:rsidR="005B0A4B" w:rsidRPr="005B0A4B" w:rsidRDefault="005B0A4B" w:rsidP="005B0A4B">
            <w:pPr>
              <w:rPr>
                <w:rFonts w:ascii="Calibri" w:hAnsi="Calibri" w:cs="Calibri"/>
                <w:b/>
                <w:bCs/>
                <w:color w:val="000000"/>
                <w:szCs w:val="20"/>
                <w:lang w:val="en-CA" w:eastAsia="en-CA"/>
              </w:rPr>
            </w:pPr>
            <w:r w:rsidRPr="005B0A4B">
              <w:rPr>
                <w:rFonts w:ascii="Calibri" w:hAnsi="Calibri" w:cs="Calibri"/>
                <w:b/>
                <w:bCs/>
                <w:color w:val="000000"/>
                <w:szCs w:val="20"/>
                <w:lang w:val="en-CA" w:eastAsia="en-CA"/>
              </w:rPr>
              <w:t>March 31, 2024</w:t>
            </w:r>
          </w:p>
        </w:tc>
        <w:tc>
          <w:tcPr>
            <w:tcW w:w="1454" w:type="dxa"/>
            <w:tcBorders>
              <w:top w:val="single" w:sz="4" w:space="0" w:color="auto"/>
              <w:left w:val="nil"/>
              <w:bottom w:val="single" w:sz="12" w:space="0" w:color="auto"/>
              <w:right w:val="nil"/>
            </w:tcBorders>
            <w:shd w:val="clear" w:color="auto" w:fill="auto"/>
            <w:noWrap/>
            <w:vAlign w:val="center"/>
            <w:hideMark/>
          </w:tcPr>
          <w:p w14:paraId="192B420A" w14:textId="2B73C978"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w:t>
            </w:r>
            <w:r w:rsidR="00C55592">
              <w:rPr>
                <w:rFonts w:ascii="Calibri" w:hAnsi="Calibri" w:cs="Calibri"/>
                <w:b/>
                <w:bCs/>
                <w:color w:val="000000"/>
                <w:szCs w:val="20"/>
                <w:lang w:val="en-CA" w:eastAsia="en-CA"/>
              </w:rPr>
              <w:t xml:space="preserve"> </w:t>
            </w:r>
            <w:r w:rsidRPr="005B0A4B">
              <w:rPr>
                <w:rFonts w:ascii="Calibri" w:hAnsi="Calibri" w:cs="Calibri"/>
                <w:b/>
                <w:bCs/>
                <w:color w:val="000000"/>
                <w:szCs w:val="20"/>
                <w:lang w:val="en-CA" w:eastAsia="en-CA"/>
              </w:rPr>
              <w:t xml:space="preserve">36,924 </w:t>
            </w:r>
          </w:p>
        </w:tc>
        <w:tc>
          <w:tcPr>
            <w:tcW w:w="1393" w:type="dxa"/>
            <w:tcBorders>
              <w:top w:val="single" w:sz="4" w:space="0" w:color="auto"/>
              <w:left w:val="nil"/>
              <w:bottom w:val="single" w:sz="12" w:space="0" w:color="auto"/>
              <w:right w:val="nil"/>
            </w:tcBorders>
            <w:shd w:val="clear" w:color="auto" w:fill="auto"/>
            <w:noWrap/>
            <w:vAlign w:val="center"/>
            <w:hideMark/>
          </w:tcPr>
          <w:p w14:paraId="2B913893" w14:textId="620588C4"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  14,012 </w:t>
            </w:r>
          </w:p>
        </w:tc>
        <w:tc>
          <w:tcPr>
            <w:tcW w:w="1393" w:type="dxa"/>
            <w:tcBorders>
              <w:top w:val="single" w:sz="4" w:space="0" w:color="auto"/>
              <w:left w:val="nil"/>
              <w:bottom w:val="single" w:sz="12" w:space="0" w:color="auto"/>
              <w:right w:val="nil"/>
            </w:tcBorders>
            <w:shd w:val="clear" w:color="auto" w:fill="auto"/>
            <w:noWrap/>
            <w:vAlign w:val="center"/>
            <w:hideMark/>
          </w:tcPr>
          <w:p w14:paraId="7D34290E" w14:textId="367CA15F"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$ 6,724 </w:t>
            </w:r>
          </w:p>
        </w:tc>
        <w:tc>
          <w:tcPr>
            <w:tcW w:w="1393" w:type="dxa"/>
            <w:tcBorders>
              <w:top w:val="single" w:sz="4" w:space="0" w:color="auto"/>
              <w:left w:val="nil"/>
              <w:bottom w:val="single" w:sz="12" w:space="0" w:color="auto"/>
              <w:right w:val="nil"/>
            </w:tcBorders>
            <w:shd w:val="clear" w:color="auto" w:fill="auto"/>
            <w:noWrap/>
            <w:vAlign w:val="center"/>
            <w:hideMark/>
          </w:tcPr>
          <w:p w14:paraId="5517ED21" w14:textId="5EBF657A"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w:t>
            </w:r>
            <w:r w:rsidR="009221EE">
              <w:rPr>
                <w:rFonts w:ascii="Calibri" w:hAnsi="Calibri" w:cs="Calibri"/>
                <w:b/>
                <w:bCs/>
                <w:color w:val="000000"/>
                <w:szCs w:val="20"/>
                <w:lang w:val="en-CA" w:eastAsia="en-CA"/>
              </w:rPr>
              <w:t xml:space="preserve"> </w:t>
            </w:r>
            <w:r w:rsidRPr="005B0A4B">
              <w:rPr>
                <w:rFonts w:ascii="Calibri" w:hAnsi="Calibri" w:cs="Calibri"/>
                <w:b/>
                <w:bCs/>
                <w:color w:val="000000"/>
                <w:szCs w:val="20"/>
                <w:lang w:val="en-CA" w:eastAsia="en-CA"/>
              </w:rPr>
              <w:t xml:space="preserve">1,231,528 </w:t>
            </w:r>
          </w:p>
        </w:tc>
        <w:tc>
          <w:tcPr>
            <w:tcW w:w="1360" w:type="dxa"/>
            <w:tcBorders>
              <w:top w:val="single" w:sz="4" w:space="0" w:color="auto"/>
              <w:left w:val="nil"/>
              <w:bottom w:val="single" w:sz="12" w:space="0" w:color="auto"/>
              <w:right w:val="nil"/>
            </w:tcBorders>
            <w:shd w:val="clear" w:color="auto" w:fill="auto"/>
            <w:noWrap/>
            <w:vAlign w:val="center"/>
            <w:hideMark/>
          </w:tcPr>
          <w:p w14:paraId="11F0EC53" w14:textId="1679C42B"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  289,079 </w:t>
            </w:r>
          </w:p>
        </w:tc>
        <w:tc>
          <w:tcPr>
            <w:tcW w:w="1476" w:type="dxa"/>
            <w:tcBorders>
              <w:top w:val="single" w:sz="4" w:space="0" w:color="auto"/>
              <w:left w:val="nil"/>
              <w:bottom w:val="single" w:sz="12" w:space="0" w:color="auto"/>
              <w:right w:val="nil"/>
            </w:tcBorders>
            <w:shd w:val="clear" w:color="auto" w:fill="auto"/>
            <w:noWrap/>
            <w:vAlign w:val="center"/>
            <w:hideMark/>
          </w:tcPr>
          <w:p w14:paraId="62A6DDC1" w14:textId="1E024BAC" w:rsidR="005B0A4B" w:rsidRPr="005B0A4B" w:rsidRDefault="005B0A4B" w:rsidP="005B0A4B">
            <w:pPr>
              <w:jc w:val="right"/>
              <w:rPr>
                <w:rFonts w:ascii="Calibri" w:hAnsi="Calibri" w:cs="Calibri"/>
                <w:b/>
                <w:bCs/>
                <w:color w:val="000000"/>
                <w:szCs w:val="20"/>
                <w:lang w:val="en-CA" w:eastAsia="en-CA"/>
              </w:rPr>
            </w:pPr>
            <w:r w:rsidRPr="005B0A4B">
              <w:rPr>
                <w:rFonts w:ascii="Calibri" w:hAnsi="Calibri" w:cs="Calibri"/>
                <w:b/>
                <w:bCs/>
                <w:color w:val="000000"/>
                <w:szCs w:val="20"/>
                <w:lang w:val="en-CA" w:eastAsia="en-CA"/>
              </w:rPr>
              <w:t xml:space="preserve"> $  1,578,267 </w:t>
            </w:r>
          </w:p>
        </w:tc>
      </w:tr>
    </w:tbl>
    <w:p w14:paraId="0B8419E2" w14:textId="0E675387" w:rsidR="00D23DCC" w:rsidRPr="00FC2211" w:rsidRDefault="00D23DCC" w:rsidP="00196EDE">
      <w:pPr>
        <w:jc w:val="center"/>
      </w:pPr>
    </w:p>
    <w:p w14:paraId="27487D45" w14:textId="77777777" w:rsidR="00C67240" w:rsidRPr="00FC2211" w:rsidRDefault="00C67240" w:rsidP="00CE34F7">
      <w:pPr>
        <w:sectPr w:rsidR="00C67240" w:rsidRPr="00FC2211" w:rsidSect="00A71F06">
          <w:pgSz w:w="16838" w:h="11906" w:orient="landscape" w:code="9"/>
          <w:pgMar w:top="1440" w:right="1440" w:bottom="1440" w:left="1440" w:header="272" w:footer="454" w:gutter="0"/>
          <w:cols w:space="720"/>
          <w:docGrid w:linePitch="360"/>
        </w:sectPr>
      </w:pPr>
    </w:p>
    <w:p w14:paraId="22FA8381" w14:textId="6A5EF232" w:rsidR="00734642" w:rsidRPr="00FC2211" w:rsidRDefault="0032033A" w:rsidP="008D6468">
      <w:pPr>
        <w:pStyle w:val="Heading1"/>
        <w:rPr>
          <w:rFonts w:cstheme="minorHAnsi"/>
          <w:szCs w:val="20"/>
        </w:rPr>
      </w:pPr>
      <w:r w:rsidRPr="00FC2211">
        <w:rPr>
          <w:rFonts w:cstheme="minorHAnsi"/>
          <w:szCs w:val="20"/>
        </w:rPr>
        <w:lastRenderedPageBreak/>
        <w:t>10</w:t>
      </w:r>
      <w:r w:rsidR="003433DA" w:rsidRPr="00FC2211">
        <w:rPr>
          <w:rFonts w:cstheme="minorHAnsi"/>
          <w:szCs w:val="20"/>
        </w:rPr>
        <w:t>.</w:t>
      </w:r>
      <w:r w:rsidR="009438D0" w:rsidRPr="00FC2211">
        <w:rPr>
          <w:rFonts w:cstheme="minorHAnsi"/>
          <w:szCs w:val="20"/>
        </w:rPr>
        <w:t xml:space="preserve"> </w:t>
      </w:r>
      <w:r w:rsidR="00BA7DAE" w:rsidRPr="00FC2211">
        <w:rPr>
          <w:rFonts w:cstheme="minorHAnsi"/>
          <w:szCs w:val="20"/>
        </w:rPr>
        <w:t xml:space="preserve"> </w:t>
      </w:r>
      <w:r w:rsidR="00487AAD" w:rsidRPr="00FC2211">
        <w:rPr>
          <w:rFonts w:cstheme="minorHAnsi"/>
          <w:szCs w:val="20"/>
        </w:rPr>
        <w:t xml:space="preserve"> </w:t>
      </w:r>
      <w:r w:rsidR="0083186B" w:rsidRPr="00FC2211">
        <w:rPr>
          <w:rFonts w:cstheme="minorHAnsi"/>
          <w:szCs w:val="20"/>
        </w:rPr>
        <w:t>ACCOUNTS PAYABLE AND ACCRUED LIABILITIES</w:t>
      </w:r>
    </w:p>
    <w:p w14:paraId="7F93B19E" w14:textId="77777777" w:rsidR="000C412E" w:rsidRPr="00FC2211" w:rsidRDefault="000C412E" w:rsidP="000C412E">
      <w:pPr>
        <w:rPr>
          <w:rFonts w:cstheme="minorHAnsi"/>
          <w:color w:val="000000"/>
          <w:szCs w:val="20"/>
        </w:rPr>
      </w:pPr>
      <w:r w:rsidRPr="00FC2211">
        <w:rPr>
          <w:rFonts w:cstheme="minorHAnsi"/>
          <w:color w:val="000000"/>
          <w:szCs w:val="20"/>
        </w:rPr>
        <w:t>  </w:t>
      </w:r>
    </w:p>
    <w:p w14:paraId="02762CA0" w14:textId="481A1495" w:rsidR="00F319D1" w:rsidRPr="00FC2211" w:rsidRDefault="00F319D1" w:rsidP="00F319D1">
      <w:pPr>
        <w:ind w:left="284" w:firstLine="1"/>
        <w:rPr>
          <w:rFonts w:cstheme="minorHAnsi"/>
          <w:bCs/>
          <w:szCs w:val="20"/>
          <w:lang w:val="en-CA"/>
        </w:rPr>
      </w:pPr>
      <w:r w:rsidRPr="00FC2211">
        <w:rPr>
          <w:rFonts w:cstheme="minorHAnsi"/>
          <w:bCs/>
          <w:szCs w:val="20"/>
          <w:lang w:val="en-CA"/>
        </w:rPr>
        <w:t>The components of accounts payable and accrued liabilities are as follows:</w:t>
      </w:r>
    </w:p>
    <w:p w14:paraId="782A1BB7" w14:textId="77777777" w:rsidR="00F319D1" w:rsidRPr="00FC2211" w:rsidRDefault="00F319D1" w:rsidP="000C412E">
      <w:pPr>
        <w:rPr>
          <w:rFonts w:cstheme="minorHAnsi"/>
          <w:color w:val="000000"/>
          <w:szCs w:val="20"/>
        </w:rPr>
      </w:pPr>
    </w:p>
    <w:tbl>
      <w:tblPr>
        <w:tblW w:w="5504" w:type="dxa"/>
        <w:jc w:val="center"/>
        <w:tblLook w:val="04A0" w:firstRow="1" w:lastRow="0" w:firstColumn="1" w:lastColumn="0" w:noHBand="0" w:noVBand="1"/>
      </w:tblPr>
      <w:tblGrid>
        <w:gridCol w:w="2552"/>
        <w:gridCol w:w="1560"/>
        <w:gridCol w:w="1392"/>
      </w:tblGrid>
      <w:tr w:rsidR="007B2879" w:rsidRPr="007B2879" w14:paraId="7222A4BB" w14:textId="77777777" w:rsidTr="00DB2EE6">
        <w:trPr>
          <w:trHeight w:val="288"/>
          <w:jc w:val="center"/>
        </w:trPr>
        <w:tc>
          <w:tcPr>
            <w:tcW w:w="2552" w:type="dxa"/>
            <w:tcBorders>
              <w:top w:val="nil"/>
              <w:left w:val="nil"/>
              <w:bottom w:val="single" w:sz="12" w:space="0" w:color="auto"/>
              <w:right w:val="nil"/>
            </w:tcBorders>
            <w:shd w:val="clear" w:color="auto" w:fill="auto"/>
            <w:noWrap/>
            <w:vAlign w:val="center"/>
            <w:hideMark/>
          </w:tcPr>
          <w:p w14:paraId="2B1B91B6" w14:textId="77777777" w:rsidR="007B2879" w:rsidRPr="007B2879" w:rsidRDefault="007B2879" w:rsidP="007B2879">
            <w:pPr>
              <w:rPr>
                <w:rFonts w:ascii="Calibri" w:hAnsi="Calibri" w:cs="Calibri"/>
                <w:b/>
                <w:bCs/>
                <w:color w:val="000000"/>
                <w:szCs w:val="20"/>
                <w:lang w:val="en-CA" w:eastAsia="en-CA"/>
              </w:rPr>
            </w:pPr>
            <w:r w:rsidRPr="007B2879">
              <w:rPr>
                <w:rFonts w:ascii="Calibri" w:hAnsi="Calibri" w:cs="Calibri"/>
                <w:b/>
                <w:bCs/>
                <w:color w:val="000000"/>
                <w:szCs w:val="20"/>
                <w:lang w:val="en-CA" w:eastAsia="en-CA"/>
              </w:rPr>
              <w:t> </w:t>
            </w:r>
          </w:p>
        </w:tc>
        <w:tc>
          <w:tcPr>
            <w:tcW w:w="1560" w:type="dxa"/>
            <w:tcBorders>
              <w:top w:val="nil"/>
              <w:left w:val="nil"/>
              <w:bottom w:val="single" w:sz="12" w:space="0" w:color="auto"/>
              <w:right w:val="nil"/>
            </w:tcBorders>
            <w:shd w:val="clear" w:color="auto" w:fill="auto"/>
            <w:vAlign w:val="center"/>
            <w:hideMark/>
          </w:tcPr>
          <w:p w14:paraId="5BB1C5C3" w14:textId="77777777" w:rsidR="007B2879" w:rsidRPr="007B2879" w:rsidRDefault="007B2879" w:rsidP="007B2879">
            <w:pPr>
              <w:jc w:val="right"/>
              <w:rPr>
                <w:rFonts w:ascii="Calibri" w:hAnsi="Calibri" w:cs="Calibri"/>
                <w:b/>
                <w:bCs/>
                <w:color w:val="000000"/>
                <w:szCs w:val="20"/>
                <w:lang w:val="en-CA" w:eastAsia="en-CA"/>
              </w:rPr>
            </w:pPr>
            <w:r w:rsidRPr="007B2879">
              <w:rPr>
                <w:rFonts w:ascii="Calibri" w:hAnsi="Calibri" w:cs="Calibri"/>
                <w:b/>
                <w:bCs/>
                <w:color w:val="000000"/>
                <w:szCs w:val="20"/>
                <w:lang w:val="en-CA" w:eastAsia="en-CA"/>
              </w:rPr>
              <w:t>March 31, 2024</w:t>
            </w:r>
          </w:p>
        </w:tc>
        <w:tc>
          <w:tcPr>
            <w:tcW w:w="1392" w:type="dxa"/>
            <w:tcBorders>
              <w:top w:val="nil"/>
              <w:left w:val="nil"/>
              <w:bottom w:val="single" w:sz="12" w:space="0" w:color="auto"/>
              <w:right w:val="nil"/>
            </w:tcBorders>
            <w:shd w:val="clear" w:color="auto" w:fill="auto"/>
            <w:vAlign w:val="center"/>
            <w:hideMark/>
          </w:tcPr>
          <w:p w14:paraId="4DFCB117" w14:textId="77777777" w:rsidR="007B2879" w:rsidRPr="007B2879" w:rsidRDefault="007B2879" w:rsidP="007B2879">
            <w:pPr>
              <w:jc w:val="right"/>
              <w:rPr>
                <w:rFonts w:ascii="Calibri" w:hAnsi="Calibri" w:cs="Calibri"/>
                <w:color w:val="000000"/>
                <w:szCs w:val="20"/>
                <w:lang w:val="en-CA" w:eastAsia="en-CA"/>
              </w:rPr>
            </w:pPr>
            <w:r w:rsidRPr="007B2879">
              <w:rPr>
                <w:rFonts w:ascii="Calibri" w:hAnsi="Calibri" w:cs="Calibri"/>
                <w:color w:val="000000"/>
                <w:szCs w:val="20"/>
                <w:lang w:val="en-CA" w:eastAsia="en-CA"/>
              </w:rPr>
              <w:t>June 30, 2023</w:t>
            </w:r>
          </w:p>
        </w:tc>
      </w:tr>
      <w:tr w:rsidR="007B2879" w:rsidRPr="007B2879" w14:paraId="26380D58" w14:textId="77777777" w:rsidTr="00DB2EE6">
        <w:trPr>
          <w:trHeight w:val="276"/>
          <w:jc w:val="center"/>
        </w:trPr>
        <w:tc>
          <w:tcPr>
            <w:tcW w:w="2552" w:type="dxa"/>
            <w:tcBorders>
              <w:top w:val="single" w:sz="12" w:space="0" w:color="auto"/>
              <w:left w:val="nil"/>
              <w:bottom w:val="nil"/>
              <w:right w:val="nil"/>
            </w:tcBorders>
            <w:shd w:val="clear" w:color="auto" w:fill="auto"/>
            <w:noWrap/>
            <w:vAlign w:val="center"/>
            <w:hideMark/>
          </w:tcPr>
          <w:p w14:paraId="361690EC" w14:textId="77777777" w:rsidR="007B2879" w:rsidRPr="007B2879" w:rsidRDefault="007B2879" w:rsidP="007B2879">
            <w:pPr>
              <w:rPr>
                <w:rFonts w:ascii="Calibri" w:hAnsi="Calibri" w:cs="Calibri"/>
                <w:color w:val="000000"/>
                <w:szCs w:val="20"/>
                <w:lang w:val="en-CA" w:eastAsia="en-CA"/>
              </w:rPr>
            </w:pPr>
            <w:r w:rsidRPr="007B2879">
              <w:rPr>
                <w:rFonts w:ascii="Calibri" w:hAnsi="Calibri" w:cs="Calibri"/>
                <w:color w:val="000000"/>
                <w:szCs w:val="20"/>
                <w:lang w:val="en-CA" w:eastAsia="en-CA"/>
              </w:rPr>
              <w:t>Accounts payable</w:t>
            </w:r>
          </w:p>
        </w:tc>
        <w:tc>
          <w:tcPr>
            <w:tcW w:w="1560" w:type="dxa"/>
            <w:tcBorders>
              <w:top w:val="single" w:sz="12" w:space="0" w:color="auto"/>
              <w:left w:val="nil"/>
              <w:bottom w:val="nil"/>
              <w:right w:val="nil"/>
            </w:tcBorders>
            <w:shd w:val="clear" w:color="auto" w:fill="auto"/>
            <w:noWrap/>
            <w:vAlign w:val="center"/>
            <w:hideMark/>
          </w:tcPr>
          <w:p w14:paraId="1AC2724C" w14:textId="7A6FEFE4" w:rsidR="007B2879" w:rsidRPr="007B2879" w:rsidRDefault="007B2879" w:rsidP="007B2879">
            <w:pPr>
              <w:jc w:val="right"/>
              <w:rPr>
                <w:rFonts w:ascii="Calibri" w:hAnsi="Calibri" w:cs="Calibri"/>
                <w:b/>
                <w:bCs/>
                <w:color w:val="000000"/>
                <w:szCs w:val="20"/>
                <w:lang w:val="en-CA" w:eastAsia="en-CA"/>
              </w:rPr>
            </w:pPr>
            <w:r w:rsidRPr="007B2879">
              <w:rPr>
                <w:rFonts w:ascii="Calibri" w:hAnsi="Calibri" w:cs="Calibri"/>
                <w:b/>
                <w:bCs/>
                <w:color w:val="000000"/>
                <w:szCs w:val="20"/>
                <w:lang w:val="en-CA" w:eastAsia="en-CA"/>
              </w:rPr>
              <w:t xml:space="preserve"> $</w:t>
            </w:r>
            <w:r>
              <w:rPr>
                <w:rFonts w:ascii="Calibri" w:hAnsi="Calibri" w:cs="Calibri"/>
                <w:b/>
                <w:bCs/>
                <w:color w:val="000000"/>
                <w:szCs w:val="20"/>
                <w:lang w:val="en-CA" w:eastAsia="en-CA"/>
              </w:rPr>
              <w:t xml:space="preserve"> </w:t>
            </w:r>
            <w:r w:rsidRPr="007B2879">
              <w:rPr>
                <w:rFonts w:ascii="Calibri" w:hAnsi="Calibri" w:cs="Calibri"/>
                <w:b/>
                <w:bCs/>
                <w:color w:val="000000"/>
                <w:szCs w:val="20"/>
                <w:lang w:val="en-CA" w:eastAsia="en-CA"/>
              </w:rPr>
              <w:t xml:space="preserve">739,884 </w:t>
            </w:r>
          </w:p>
        </w:tc>
        <w:tc>
          <w:tcPr>
            <w:tcW w:w="1392" w:type="dxa"/>
            <w:tcBorders>
              <w:top w:val="single" w:sz="12" w:space="0" w:color="auto"/>
              <w:left w:val="nil"/>
              <w:bottom w:val="nil"/>
              <w:right w:val="nil"/>
            </w:tcBorders>
            <w:shd w:val="clear" w:color="auto" w:fill="auto"/>
            <w:noWrap/>
            <w:vAlign w:val="center"/>
            <w:hideMark/>
          </w:tcPr>
          <w:p w14:paraId="30A788CE" w14:textId="244B29B8" w:rsidR="007B2879" w:rsidRPr="007B2879" w:rsidRDefault="007B2879" w:rsidP="007B2879">
            <w:pPr>
              <w:jc w:val="right"/>
              <w:rPr>
                <w:rFonts w:ascii="Calibri" w:hAnsi="Calibri" w:cs="Calibri"/>
                <w:color w:val="000000"/>
                <w:szCs w:val="20"/>
                <w:lang w:val="en-CA" w:eastAsia="en-CA"/>
              </w:rPr>
            </w:pPr>
            <w:r w:rsidRPr="007B2879">
              <w:rPr>
                <w:rFonts w:ascii="Calibri" w:hAnsi="Calibri" w:cs="Calibri"/>
                <w:color w:val="000000"/>
                <w:szCs w:val="20"/>
                <w:lang w:val="en-CA" w:eastAsia="en-CA"/>
              </w:rPr>
              <w:t xml:space="preserve"> $ 394,529 </w:t>
            </w:r>
          </w:p>
        </w:tc>
      </w:tr>
      <w:tr w:rsidR="007B2879" w:rsidRPr="007B2879" w14:paraId="5F5389BC" w14:textId="77777777" w:rsidTr="00DB2EE6">
        <w:trPr>
          <w:trHeight w:val="276"/>
          <w:jc w:val="center"/>
        </w:trPr>
        <w:tc>
          <w:tcPr>
            <w:tcW w:w="2552" w:type="dxa"/>
            <w:tcBorders>
              <w:top w:val="nil"/>
              <w:left w:val="nil"/>
              <w:bottom w:val="single" w:sz="4" w:space="0" w:color="auto"/>
              <w:right w:val="nil"/>
            </w:tcBorders>
            <w:shd w:val="clear" w:color="auto" w:fill="auto"/>
            <w:noWrap/>
            <w:vAlign w:val="center"/>
            <w:hideMark/>
          </w:tcPr>
          <w:p w14:paraId="4F64BFE3" w14:textId="77777777" w:rsidR="007B2879" w:rsidRPr="007B2879" w:rsidRDefault="007B2879" w:rsidP="007B2879">
            <w:pPr>
              <w:rPr>
                <w:rFonts w:ascii="Calibri" w:hAnsi="Calibri" w:cs="Calibri"/>
                <w:color w:val="000000"/>
                <w:szCs w:val="20"/>
                <w:lang w:val="en-CA" w:eastAsia="en-CA"/>
              </w:rPr>
            </w:pPr>
            <w:r w:rsidRPr="007B2879">
              <w:rPr>
                <w:rFonts w:ascii="Calibri" w:hAnsi="Calibri" w:cs="Calibri"/>
                <w:color w:val="000000"/>
                <w:szCs w:val="20"/>
                <w:lang w:val="en-CA" w:eastAsia="en-CA"/>
              </w:rPr>
              <w:t>Accrued liabilities</w:t>
            </w:r>
          </w:p>
        </w:tc>
        <w:tc>
          <w:tcPr>
            <w:tcW w:w="1560" w:type="dxa"/>
            <w:tcBorders>
              <w:top w:val="nil"/>
              <w:left w:val="nil"/>
              <w:bottom w:val="single" w:sz="4" w:space="0" w:color="auto"/>
              <w:right w:val="nil"/>
            </w:tcBorders>
            <w:shd w:val="clear" w:color="auto" w:fill="auto"/>
            <w:noWrap/>
            <w:vAlign w:val="center"/>
            <w:hideMark/>
          </w:tcPr>
          <w:p w14:paraId="672235EA" w14:textId="016BFDEF" w:rsidR="007B2879" w:rsidRPr="007B2879" w:rsidRDefault="007B2879" w:rsidP="007B2879">
            <w:pPr>
              <w:jc w:val="right"/>
              <w:rPr>
                <w:rFonts w:ascii="Calibri" w:hAnsi="Calibri" w:cs="Calibri"/>
                <w:b/>
                <w:bCs/>
                <w:color w:val="000000"/>
                <w:szCs w:val="20"/>
                <w:lang w:val="en-CA" w:eastAsia="en-CA"/>
              </w:rPr>
            </w:pPr>
            <w:r w:rsidRPr="007B2879">
              <w:rPr>
                <w:rFonts w:ascii="Calibri" w:hAnsi="Calibri" w:cs="Calibri"/>
                <w:b/>
                <w:bCs/>
                <w:color w:val="000000"/>
                <w:szCs w:val="20"/>
                <w:lang w:val="en-CA" w:eastAsia="en-CA"/>
              </w:rPr>
              <w:t xml:space="preserve">434,760 </w:t>
            </w:r>
          </w:p>
        </w:tc>
        <w:tc>
          <w:tcPr>
            <w:tcW w:w="1392" w:type="dxa"/>
            <w:tcBorders>
              <w:top w:val="nil"/>
              <w:left w:val="nil"/>
              <w:bottom w:val="single" w:sz="4" w:space="0" w:color="auto"/>
              <w:right w:val="nil"/>
            </w:tcBorders>
            <w:shd w:val="clear" w:color="auto" w:fill="auto"/>
            <w:noWrap/>
            <w:vAlign w:val="center"/>
            <w:hideMark/>
          </w:tcPr>
          <w:p w14:paraId="267B32AB" w14:textId="77F82A5D" w:rsidR="007B2879" w:rsidRPr="007B2879" w:rsidRDefault="007B2879" w:rsidP="007B2879">
            <w:pPr>
              <w:jc w:val="right"/>
              <w:rPr>
                <w:rFonts w:ascii="Calibri" w:hAnsi="Calibri" w:cs="Calibri"/>
                <w:color w:val="000000"/>
                <w:szCs w:val="20"/>
                <w:lang w:val="en-CA" w:eastAsia="en-CA"/>
              </w:rPr>
            </w:pPr>
            <w:r w:rsidRPr="007B2879">
              <w:rPr>
                <w:rFonts w:ascii="Calibri" w:hAnsi="Calibri" w:cs="Calibri"/>
                <w:color w:val="000000"/>
                <w:szCs w:val="20"/>
                <w:lang w:val="en-CA" w:eastAsia="en-CA"/>
              </w:rPr>
              <w:t xml:space="preserve">280,008 </w:t>
            </w:r>
          </w:p>
        </w:tc>
      </w:tr>
      <w:tr w:rsidR="007B2879" w:rsidRPr="007B2879" w14:paraId="146EB163" w14:textId="77777777" w:rsidTr="00DB2EE6">
        <w:trPr>
          <w:trHeight w:val="288"/>
          <w:jc w:val="center"/>
        </w:trPr>
        <w:tc>
          <w:tcPr>
            <w:tcW w:w="2552" w:type="dxa"/>
            <w:tcBorders>
              <w:top w:val="single" w:sz="4" w:space="0" w:color="auto"/>
              <w:left w:val="nil"/>
              <w:bottom w:val="single" w:sz="12" w:space="0" w:color="auto"/>
              <w:right w:val="nil"/>
            </w:tcBorders>
            <w:shd w:val="clear" w:color="auto" w:fill="auto"/>
            <w:noWrap/>
            <w:vAlign w:val="center"/>
            <w:hideMark/>
          </w:tcPr>
          <w:p w14:paraId="22D7D34E" w14:textId="77777777" w:rsidR="007B2879" w:rsidRPr="007B2879" w:rsidRDefault="007B2879" w:rsidP="007B2879">
            <w:pPr>
              <w:rPr>
                <w:rFonts w:ascii="Calibri" w:hAnsi="Calibri" w:cs="Calibri"/>
                <w:b/>
                <w:bCs/>
                <w:color w:val="000000"/>
                <w:szCs w:val="20"/>
                <w:lang w:val="en-CA" w:eastAsia="en-CA"/>
              </w:rPr>
            </w:pPr>
            <w:r w:rsidRPr="007B2879">
              <w:rPr>
                <w:rFonts w:ascii="Calibri" w:hAnsi="Calibri" w:cs="Calibri"/>
                <w:b/>
                <w:bCs/>
                <w:color w:val="000000"/>
                <w:szCs w:val="20"/>
                <w:lang w:val="en-CA" w:eastAsia="en-CA"/>
              </w:rPr>
              <w:t xml:space="preserve">Total </w:t>
            </w:r>
          </w:p>
        </w:tc>
        <w:tc>
          <w:tcPr>
            <w:tcW w:w="1560" w:type="dxa"/>
            <w:tcBorders>
              <w:top w:val="single" w:sz="4" w:space="0" w:color="auto"/>
              <w:left w:val="nil"/>
              <w:bottom w:val="single" w:sz="12" w:space="0" w:color="auto"/>
              <w:right w:val="nil"/>
            </w:tcBorders>
            <w:shd w:val="clear" w:color="auto" w:fill="auto"/>
            <w:noWrap/>
            <w:vAlign w:val="center"/>
            <w:hideMark/>
          </w:tcPr>
          <w:p w14:paraId="4CD2214A" w14:textId="447BA818" w:rsidR="007B2879" w:rsidRPr="007B2879" w:rsidRDefault="007B2879" w:rsidP="007B2879">
            <w:pPr>
              <w:jc w:val="right"/>
              <w:rPr>
                <w:rFonts w:ascii="Calibri" w:hAnsi="Calibri" w:cs="Calibri"/>
                <w:b/>
                <w:bCs/>
                <w:color w:val="000000"/>
                <w:szCs w:val="20"/>
                <w:lang w:val="en-CA" w:eastAsia="en-CA"/>
              </w:rPr>
            </w:pPr>
            <w:r w:rsidRPr="007B2879">
              <w:rPr>
                <w:rFonts w:ascii="Calibri" w:hAnsi="Calibri" w:cs="Calibri"/>
                <w:b/>
                <w:bCs/>
                <w:color w:val="000000"/>
                <w:szCs w:val="20"/>
                <w:lang w:val="en-CA" w:eastAsia="en-CA"/>
              </w:rPr>
              <w:t xml:space="preserve"> $</w:t>
            </w:r>
            <w:r>
              <w:rPr>
                <w:rFonts w:ascii="Calibri" w:hAnsi="Calibri" w:cs="Calibri"/>
                <w:b/>
                <w:bCs/>
                <w:color w:val="000000"/>
                <w:szCs w:val="20"/>
                <w:lang w:val="en-CA" w:eastAsia="en-CA"/>
              </w:rPr>
              <w:t xml:space="preserve"> </w:t>
            </w:r>
            <w:r w:rsidRPr="007B2879">
              <w:rPr>
                <w:rFonts w:ascii="Calibri" w:hAnsi="Calibri" w:cs="Calibri"/>
                <w:b/>
                <w:bCs/>
                <w:color w:val="000000"/>
                <w:szCs w:val="20"/>
                <w:lang w:val="en-CA" w:eastAsia="en-CA"/>
              </w:rPr>
              <w:t xml:space="preserve">1,174,644 </w:t>
            </w:r>
          </w:p>
        </w:tc>
        <w:tc>
          <w:tcPr>
            <w:tcW w:w="1392" w:type="dxa"/>
            <w:tcBorders>
              <w:top w:val="single" w:sz="4" w:space="0" w:color="auto"/>
              <w:left w:val="nil"/>
              <w:bottom w:val="single" w:sz="12" w:space="0" w:color="auto"/>
              <w:right w:val="nil"/>
            </w:tcBorders>
            <w:shd w:val="clear" w:color="auto" w:fill="auto"/>
            <w:noWrap/>
            <w:vAlign w:val="center"/>
            <w:hideMark/>
          </w:tcPr>
          <w:p w14:paraId="3453F870" w14:textId="067E3570" w:rsidR="007B2879" w:rsidRPr="007B2879" w:rsidRDefault="007B2879" w:rsidP="007B2879">
            <w:pPr>
              <w:jc w:val="right"/>
              <w:rPr>
                <w:rFonts w:ascii="Calibri" w:hAnsi="Calibri" w:cs="Calibri"/>
                <w:color w:val="000000"/>
                <w:szCs w:val="20"/>
                <w:lang w:val="en-CA" w:eastAsia="en-CA"/>
              </w:rPr>
            </w:pPr>
            <w:r w:rsidRPr="007B2879">
              <w:rPr>
                <w:rFonts w:ascii="Calibri" w:hAnsi="Calibri" w:cs="Calibri"/>
                <w:color w:val="000000"/>
                <w:szCs w:val="20"/>
                <w:lang w:val="en-CA" w:eastAsia="en-CA"/>
              </w:rPr>
              <w:t xml:space="preserve"> $ 674,537 </w:t>
            </w:r>
          </w:p>
        </w:tc>
      </w:tr>
    </w:tbl>
    <w:p w14:paraId="5E36CA97" w14:textId="51B06E71" w:rsidR="000C412E" w:rsidRDefault="000C412E" w:rsidP="00196EDE">
      <w:pPr>
        <w:jc w:val="center"/>
        <w:rPr>
          <w:rFonts w:cstheme="minorHAnsi"/>
          <w:color w:val="000000"/>
          <w:szCs w:val="20"/>
        </w:rPr>
      </w:pPr>
    </w:p>
    <w:p w14:paraId="6D3FA359" w14:textId="77777777" w:rsidR="00196EDE" w:rsidRPr="00FC2211" w:rsidRDefault="00196EDE" w:rsidP="00196EDE">
      <w:pPr>
        <w:jc w:val="center"/>
        <w:rPr>
          <w:rFonts w:cstheme="minorHAnsi"/>
          <w:color w:val="000000"/>
          <w:szCs w:val="20"/>
        </w:rPr>
      </w:pPr>
    </w:p>
    <w:p w14:paraId="69FF1462" w14:textId="77777777" w:rsidR="00F319D1" w:rsidRPr="00FC2211" w:rsidRDefault="00D44BAF" w:rsidP="00F319D1">
      <w:pPr>
        <w:ind w:left="360" w:hanging="14"/>
        <w:jc w:val="both"/>
        <w:rPr>
          <w:rFonts w:cstheme="minorHAnsi"/>
          <w:szCs w:val="20"/>
        </w:rPr>
      </w:pPr>
      <w:r w:rsidRPr="00FC2211">
        <w:rPr>
          <w:rFonts w:cstheme="minorHAnsi"/>
          <w:szCs w:val="20"/>
        </w:rPr>
        <w:t>Accounts payable</w:t>
      </w:r>
      <w:r w:rsidR="007B2CD1" w:rsidRPr="00FC2211">
        <w:rPr>
          <w:rFonts w:cstheme="minorHAnsi"/>
          <w:szCs w:val="20"/>
        </w:rPr>
        <w:t xml:space="preserve"> are generally non-interest bearing and are settled on 30 to 60-day payment terms.</w:t>
      </w:r>
      <w:r w:rsidR="00F319D1" w:rsidRPr="00FC2211">
        <w:rPr>
          <w:rFonts w:cstheme="minorHAnsi"/>
          <w:szCs w:val="20"/>
        </w:rPr>
        <w:t xml:space="preserve"> </w:t>
      </w:r>
    </w:p>
    <w:p w14:paraId="5DA96632" w14:textId="703B5CD7" w:rsidR="007B2CD1" w:rsidRPr="00FC2211" w:rsidRDefault="007B2CD1" w:rsidP="00F319D1">
      <w:pPr>
        <w:ind w:left="360" w:hanging="14"/>
        <w:jc w:val="both"/>
        <w:rPr>
          <w:rFonts w:cstheme="minorHAnsi"/>
          <w:szCs w:val="20"/>
        </w:rPr>
      </w:pPr>
      <w:r w:rsidRPr="00FC2211">
        <w:rPr>
          <w:rFonts w:cstheme="minorHAnsi"/>
          <w:szCs w:val="20"/>
        </w:rPr>
        <w:t>Accru</w:t>
      </w:r>
      <w:r w:rsidR="0087551A" w:rsidRPr="00FC2211">
        <w:rPr>
          <w:rFonts w:cstheme="minorHAnsi"/>
          <w:szCs w:val="20"/>
        </w:rPr>
        <w:t>ed liabilit</w:t>
      </w:r>
      <w:r w:rsidR="00A54BD4" w:rsidRPr="00FC2211">
        <w:rPr>
          <w:rFonts w:cstheme="minorHAnsi"/>
          <w:szCs w:val="20"/>
        </w:rPr>
        <w:t>i</w:t>
      </w:r>
      <w:r w:rsidR="0087551A" w:rsidRPr="00FC2211">
        <w:rPr>
          <w:rFonts w:cstheme="minorHAnsi"/>
          <w:szCs w:val="20"/>
        </w:rPr>
        <w:t>es</w:t>
      </w:r>
      <w:r w:rsidRPr="00FC2211">
        <w:rPr>
          <w:rFonts w:cstheme="minorHAnsi"/>
          <w:szCs w:val="20"/>
        </w:rPr>
        <w:t xml:space="preserve"> include </w:t>
      </w:r>
      <w:r w:rsidR="00A54BD4" w:rsidRPr="00FC2211">
        <w:rPr>
          <w:rFonts w:cstheme="minorHAnsi"/>
          <w:szCs w:val="20"/>
        </w:rPr>
        <w:t xml:space="preserve">accruals </w:t>
      </w:r>
      <w:r w:rsidRPr="00FC2211">
        <w:rPr>
          <w:rFonts w:cstheme="minorHAnsi"/>
          <w:szCs w:val="20"/>
        </w:rPr>
        <w:t>for remuneration and benefits</w:t>
      </w:r>
      <w:r w:rsidR="00AF189A" w:rsidRPr="00FC2211">
        <w:rPr>
          <w:rFonts w:cstheme="minorHAnsi"/>
          <w:szCs w:val="20"/>
        </w:rPr>
        <w:t>,</w:t>
      </w:r>
      <w:r w:rsidR="00A54BD4" w:rsidRPr="00FC2211">
        <w:rPr>
          <w:rFonts w:cstheme="minorHAnsi"/>
          <w:szCs w:val="20"/>
        </w:rPr>
        <w:t xml:space="preserve"> </w:t>
      </w:r>
      <w:r w:rsidRPr="00FC2211">
        <w:rPr>
          <w:rFonts w:cstheme="minorHAnsi"/>
          <w:szCs w:val="20"/>
        </w:rPr>
        <w:t>other expenses billed</w:t>
      </w:r>
      <w:r w:rsidR="00561570" w:rsidRPr="00FC2211">
        <w:rPr>
          <w:rFonts w:cstheme="minorHAnsi"/>
          <w:szCs w:val="20"/>
        </w:rPr>
        <w:t>,</w:t>
      </w:r>
      <w:r w:rsidR="00213561" w:rsidRPr="00FC2211">
        <w:rPr>
          <w:rFonts w:cstheme="minorHAnsi"/>
          <w:szCs w:val="20"/>
        </w:rPr>
        <w:t xml:space="preserve"> and </w:t>
      </w:r>
      <w:r w:rsidR="00AF189A" w:rsidRPr="00FC2211">
        <w:rPr>
          <w:rFonts w:cstheme="minorHAnsi"/>
          <w:szCs w:val="20"/>
        </w:rPr>
        <w:t>collections</w:t>
      </w:r>
      <w:r w:rsidR="00213561" w:rsidRPr="00FC2211">
        <w:rPr>
          <w:rFonts w:cstheme="minorHAnsi"/>
          <w:szCs w:val="20"/>
        </w:rPr>
        <w:t xml:space="preserve"> </w:t>
      </w:r>
      <w:r w:rsidR="00AF189A" w:rsidRPr="00FC2211">
        <w:rPr>
          <w:rFonts w:cstheme="minorHAnsi"/>
          <w:szCs w:val="20"/>
        </w:rPr>
        <w:t xml:space="preserve">received from customers for sales delivered after </w:t>
      </w:r>
      <w:r w:rsidR="00F319D1" w:rsidRPr="00FC2211">
        <w:rPr>
          <w:rFonts w:cstheme="minorHAnsi"/>
          <w:szCs w:val="20"/>
        </w:rPr>
        <w:t xml:space="preserve">the </w:t>
      </w:r>
      <w:r w:rsidR="00AF189A" w:rsidRPr="00FC2211">
        <w:rPr>
          <w:rFonts w:cstheme="minorHAnsi"/>
          <w:szCs w:val="20"/>
        </w:rPr>
        <w:t>reporting date</w:t>
      </w:r>
      <w:r w:rsidRPr="00FC2211">
        <w:rPr>
          <w:rFonts w:cstheme="minorHAnsi"/>
          <w:szCs w:val="20"/>
        </w:rPr>
        <w:t xml:space="preserve">. Accrued liabilities are generally settled within 12 months from </w:t>
      </w:r>
      <w:r w:rsidR="00F319D1" w:rsidRPr="00FC2211">
        <w:rPr>
          <w:rFonts w:cstheme="minorHAnsi"/>
          <w:szCs w:val="20"/>
        </w:rPr>
        <w:t>year-end</w:t>
      </w:r>
      <w:r w:rsidRPr="00FC2211">
        <w:rPr>
          <w:rFonts w:cstheme="minorHAnsi"/>
          <w:szCs w:val="20"/>
        </w:rPr>
        <w:t>.</w:t>
      </w:r>
    </w:p>
    <w:p w14:paraId="46C27B48" w14:textId="577E53C3" w:rsidR="00F307BC" w:rsidRPr="00FC2211" w:rsidRDefault="008E654B" w:rsidP="00F307BC">
      <w:pPr>
        <w:pStyle w:val="Heading1"/>
        <w:rPr>
          <w:rFonts w:cstheme="minorHAnsi"/>
          <w:szCs w:val="20"/>
        </w:rPr>
      </w:pPr>
      <w:r w:rsidRPr="00FC2211">
        <w:rPr>
          <w:rFonts w:cstheme="minorHAnsi"/>
          <w:szCs w:val="20"/>
        </w:rPr>
        <w:t>1</w:t>
      </w:r>
      <w:r w:rsidR="0032033A" w:rsidRPr="00FC2211">
        <w:rPr>
          <w:rFonts w:cstheme="minorHAnsi"/>
          <w:szCs w:val="20"/>
        </w:rPr>
        <w:t>1</w:t>
      </w:r>
      <w:r w:rsidR="00F307BC" w:rsidRPr="00FC2211">
        <w:rPr>
          <w:rFonts w:cstheme="minorHAnsi"/>
          <w:szCs w:val="20"/>
        </w:rPr>
        <w:t xml:space="preserve">.  </w:t>
      </w:r>
      <w:r w:rsidR="00BA7DAE" w:rsidRPr="00FC2211">
        <w:rPr>
          <w:rFonts w:cstheme="minorHAnsi"/>
          <w:szCs w:val="20"/>
        </w:rPr>
        <w:t xml:space="preserve"> </w:t>
      </w:r>
      <w:r w:rsidR="0007363A" w:rsidRPr="00FC2211">
        <w:rPr>
          <w:rFonts w:cstheme="minorHAnsi"/>
          <w:szCs w:val="20"/>
        </w:rPr>
        <w:t>LOAN</w:t>
      </w:r>
      <w:r w:rsidR="00CE118C" w:rsidRPr="00FC2211">
        <w:rPr>
          <w:rFonts w:cstheme="minorHAnsi"/>
          <w:szCs w:val="20"/>
        </w:rPr>
        <w:t>S</w:t>
      </w:r>
      <w:r w:rsidR="0007363A" w:rsidRPr="00FC2211">
        <w:rPr>
          <w:rFonts w:cstheme="minorHAnsi"/>
          <w:szCs w:val="20"/>
        </w:rPr>
        <w:t xml:space="preserve"> PAYABLE</w:t>
      </w:r>
    </w:p>
    <w:p w14:paraId="2E00614F" w14:textId="77777777" w:rsidR="00A7617D" w:rsidRPr="00FC2211" w:rsidRDefault="00A7617D" w:rsidP="00E16B5A">
      <w:pPr>
        <w:pStyle w:val="NormalCalibri"/>
        <w:spacing w:before="0" w:line="240" w:lineRule="auto"/>
        <w:ind w:left="360"/>
        <w:rPr>
          <w:rFonts w:asciiTheme="minorHAnsi" w:hAnsiTheme="minorHAnsi" w:cstheme="minorHAnsi"/>
          <w:iCs/>
          <w:sz w:val="20"/>
          <w:szCs w:val="20"/>
        </w:rPr>
      </w:pPr>
    </w:p>
    <w:p w14:paraId="0B3C922F" w14:textId="300591B2" w:rsidR="003F1E46" w:rsidRDefault="00EF5547" w:rsidP="00FB2CF6">
      <w:pPr>
        <w:tabs>
          <w:tab w:val="left" w:pos="357"/>
        </w:tabs>
        <w:ind w:left="357"/>
        <w:jc w:val="both"/>
        <w:rPr>
          <w:rFonts w:eastAsia="Calibri" w:cstheme="minorHAnsi"/>
          <w:szCs w:val="20"/>
        </w:rPr>
      </w:pPr>
      <w:r w:rsidRPr="00FC2211">
        <w:rPr>
          <w:rFonts w:cstheme="minorHAnsi"/>
          <w:szCs w:val="20"/>
        </w:rPr>
        <w:t xml:space="preserve">On December 16, 2016, INEO received </w:t>
      </w:r>
      <w:r w:rsidRPr="00FC2211">
        <w:rPr>
          <w:rFonts w:cstheme="minorHAnsi"/>
          <w:bCs/>
          <w:szCs w:val="20"/>
        </w:rPr>
        <w:t>$100,000</w:t>
      </w:r>
      <w:r w:rsidRPr="00FC2211">
        <w:rPr>
          <w:rFonts w:cstheme="minorHAnsi"/>
          <w:szCs w:val="20"/>
        </w:rPr>
        <w:t xml:space="preserve"> as a loan, bearing an annual interest rate of 12.5%</w:t>
      </w:r>
      <w:r w:rsidR="0050281D" w:rsidRPr="00FC2211">
        <w:rPr>
          <w:rFonts w:cstheme="minorHAnsi"/>
          <w:szCs w:val="20"/>
        </w:rPr>
        <w:t xml:space="preserve"> from a  related party</w:t>
      </w:r>
      <w:r w:rsidRPr="00FC2211">
        <w:rPr>
          <w:rFonts w:cstheme="minorHAnsi"/>
          <w:szCs w:val="20"/>
        </w:rPr>
        <w:t xml:space="preserve">. This loan is due on demand and unsecured.  </w:t>
      </w:r>
      <w:r w:rsidR="003065AF" w:rsidRPr="00FC2211">
        <w:rPr>
          <w:rFonts w:cstheme="minorHAnsi"/>
          <w:szCs w:val="20"/>
        </w:rPr>
        <w:t xml:space="preserve">The </w:t>
      </w:r>
      <w:r w:rsidR="007F5BF5" w:rsidRPr="00FC2211">
        <w:rPr>
          <w:rFonts w:cstheme="minorHAnsi"/>
          <w:szCs w:val="20"/>
        </w:rPr>
        <w:t>loan balance as at</w:t>
      </w:r>
      <w:r w:rsidR="003065AF" w:rsidRPr="00FC2211">
        <w:rPr>
          <w:rFonts w:cstheme="minorHAnsi"/>
          <w:szCs w:val="20"/>
        </w:rPr>
        <w:t xml:space="preserve"> </w:t>
      </w:r>
      <w:r w:rsidR="00DB0B89">
        <w:rPr>
          <w:rFonts w:cstheme="minorHAnsi"/>
          <w:szCs w:val="20"/>
        </w:rPr>
        <w:t>March 31, 2024</w:t>
      </w:r>
      <w:r w:rsidR="003065AF" w:rsidRPr="00FC2211">
        <w:rPr>
          <w:rFonts w:cstheme="minorHAnsi"/>
          <w:szCs w:val="20"/>
        </w:rPr>
        <w:t>, amounted to $</w:t>
      </w:r>
      <w:r w:rsidR="00DB0B89">
        <w:rPr>
          <w:rFonts w:cstheme="minorHAnsi"/>
          <w:szCs w:val="20"/>
        </w:rPr>
        <w:t>190,625</w:t>
      </w:r>
      <w:r w:rsidR="003942BF" w:rsidRPr="00FC2211">
        <w:rPr>
          <w:rFonts w:cstheme="minorHAnsi"/>
          <w:szCs w:val="20"/>
        </w:rPr>
        <w:t xml:space="preserve"> (June 30, 202</w:t>
      </w:r>
      <w:r w:rsidR="000F7477" w:rsidRPr="00FC2211">
        <w:rPr>
          <w:rFonts w:cstheme="minorHAnsi"/>
          <w:szCs w:val="20"/>
        </w:rPr>
        <w:t>3</w:t>
      </w:r>
      <w:r w:rsidR="003942BF" w:rsidRPr="00FC2211">
        <w:rPr>
          <w:rFonts w:cstheme="minorHAnsi"/>
          <w:szCs w:val="20"/>
        </w:rPr>
        <w:t xml:space="preserve"> - $</w:t>
      </w:r>
      <w:r w:rsidR="000F7477" w:rsidRPr="00FC2211">
        <w:rPr>
          <w:rFonts w:cstheme="minorHAnsi"/>
          <w:szCs w:val="20"/>
        </w:rPr>
        <w:t>181,250</w:t>
      </w:r>
      <w:r w:rsidR="003942BF" w:rsidRPr="00FC2211">
        <w:rPr>
          <w:rFonts w:cstheme="minorHAnsi"/>
          <w:szCs w:val="20"/>
        </w:rPr>
        <w:t xml:space="preserve">). </w:t>
      </w:r>
      <w:r w:rsidRPr="00FC2211">
        <w:rPr>
          <w:rFonts w:cstheme="minorHAnsi"/>
          <w:szCs w:val="20"/>
        </w:rPr>
        <w:t xml:space="preserve">During the </w:t>
      </w:r>
      <w:r w:rsidR="00DB0B89">
        <w:rPr>
          <w:rFonts w:cstheme="minorHAnsi"/>
          <w:szCs w:val="20"/>
        </w:rPr>
        <w:t>nine</w:t>
      </w:r>
      <w:r w:rsidR="00DF5E73" w:rsidRPr="00FC2211">
        <w:rPr>
          <w:rFonts w:cstheme="minorHAnsi"/>
          <w:szCs w:val="20"/>
        </w:rPr>
        <w:t xml:space="preserve"> months</w:t>
      </w:r>
      <w:r w:rsidR="009C2321" w:rsidRPr="00FC2211">
        <w:rPr>
          <w:rFonts w:cstheme="minorHAnsi"/>
          <w:szCs w:val="20"/>
        </w:rPr>
        <w:t xml:space="preserve"> </w:t>
      </w:r>
      <w:r w:rsidR="007003C1" w:rsidRPr="00FC2211">
        <w:rPr>
          <w:rFonts w:cstheme="minorHAnsi"/>
          <w:szCs w:val="20"/>
        </w:rPr>
        <w:t>ended</w:t>
      </w:r>
      <w:r w:rsidRPr="00FC2211">
        <w:rPr>
          <w:rFonts w:cstheme="minorHAnsi"/>
          <w:szCs w:val="20"/>
        </w:rPr>
        <w:t xml:space="preserve"> </w:t>
      </w:r>
      <w:r w:rsidR="00DB0B89">
        <w:rPr>
          <w:rFonts w:cstheme="minorHAnsi"/>
          <w:szCs w:val="20"/>
        </w:rPr>
        <w:t>March 31, 2024</w:t>
      </w:r>
      <w:r w:rsidR="003942BF" w:rsidRPr="00FC2211">
        <w:rPr>
          <w:rFonts w:cstheme="minorHAnsi"/>
          <w:szCs w:val="20"/>
        </w:rPr>
        <w:t>,</w:t>
      </w:r>
      <w:r w:rsidR="00FB780D" w:rsidRPr="00FC2211">
        <w:rPr>
          <w:rFonts w:cstheme="minorHAnsi"/>
          <w:szCs w:val="20"/>
        </w:rPr>
        <w:t xml:space="preserve"> </w:t>
      </w:r>
      <w:r w:rsidRPr="00FC2211">
        <w:rPr>
          <w:rFonts w:cstheme="minorHAnsi"/>
          <w:szCs w:val="20"/>
        </w:rPr>
        <w:t>the Company incurred $</w:t>
      </w:r>
      <w:r w:rsidR="00851463">
        <w:rPr>
          <w:rFonts w:cstheme="minorHAnsi"/>
          <w:szCs w:val="20"/>
        </w:rPr>
        <w:t>9,375</w:t>
      </w:r>
      <w:r w:rsidR="03D3D8CA" w:rsidRPr="00FC2211">
        <w:rPr>
          <w:rFonts w:cstheme="minorHAnsi"/>
          <w:szCs w:val="20"/>
        </w:rPr>
        <w:t xml:space="preserve"> </w:t>
      </w:r>
      <w:r w:rsidR="002A06FD" w:rsidRPr="00FC2211">
        <w:rPr>
          <w:rFonts w:cstheme="minorHAnsi"/>
          <w:szCs w:val="20"/>
        </w:rPr>
        <w:t xml:space="preserve">in </w:t>
      </w:r>
      <w:r w:rsidR="3C70CF51" w:rsidRPr="00FC2211">
        <w:rPr>
          <w:rFonts w:cstheme="minorHAnsi"/>
          <w:szCs w:val="20"/>
        </w:rPr>
        <w:t>i</w:t>
      </w:r>
      <w:r w:rsidRPr="00FC2211">
        <w:rPr>
          <w:rFonts w:cstheme="minorHAnsi"/>
          <w:szCs w:val="20"/>
        </w:rPr>
        <w:t>nterest expense</w:t>
      </w:r>
      <w:r w:rsidR="004F4977" w:rsidRPr="00FC2211">
        <w:rPr>
          <w:rFonts w:cstheme="minorHAnsi"/>
          <w:szCs w:val="20"/>
        </w:rPr>
        <w:t xml:space="preserve"> (</w:t>
      </w:r>
      <w:r w:rsidR="00851463">
        <w:rPr>
          <w:rFonts w:cstheme="minorHAnsi"/>
          <w:szCs w:val="20"/>
        </w:rPr>
        <w:t>March 31, 2023</w:t>
      </w:r>
      <w:r w:rsidR="004F4977" w:rsidRPr="00FC2211">
        <w:rPr>
          <w:rFonts w:cstheme="minorHAnsi"/>
          <w:szCs w:val="20"/>
        </w:rPr>
        <w:t xml:space="preserve"> – $</w:t>
      </w:r>
      <w:r w:rsidR="00851463">
        <w:rPr>
          <w:rFonts w:cstheme="minorHAnsi"/>
          <w:szCs w:val="20"/>
        </w:rPr>
        <w:t>9,375</w:t>
      </w:r>
      <w:r w:rsidR="004F4977" w:rsidRPr="00FC2211">
        <w:rPr>
          <w:rFonts w:cstheme="minorHAnsi"/>
          <w:szCs w:val="20"/>
        </w:rPr>
        <w:t>)</w:t>
      </w:r>
      <w:r w:rsidRPr="00FC2211">
        <w:rPr>
          <w:rFonts w:cstheme="minorHAnsi"/>
          <w:szCs w:val="20"/>
        </w:rPr>
        <w:t>.</w:t>
      </w:r>
      <w:r w:rsidR="00FB2CF6" w:rsidRPr="00FC2211">
        <w:rPr>
          <w:rFonts w:cstheme="minorHAnsi"/>
          <w:szCs w:val="20"/>
        </w:rPr>
        <w:t xml:space="preserve"> </w:t>
      </w:r>
      <w:r w:rsidR="00823E7D" w:rsidRPr="00FC2211">
        <w:rPr>
          <w:rFonts w:eastAsia="Calibri" w:cstheme="minorHAnsi"/>
          <w:szCs w:val="20"/>
        </w:rPr>
        <w:t>The reconciliation of opening and closing balances of loan payable follows:</w:t>
      </w:r>
    </w:p>
    <w:p w14:paraId="296D3F12" w14:textId="77777777" w:rsidR="00C31AFE" w:rsidRDefault="00C31AFE" w:rsidP="00FB2CF6">
      <w:pPr>
        <w:tabs>
          <w:tab w:val="left" w:pos="357"/>
        </w:tabs>
        <w:ind w:left="357"/>
        <w:jc w:val="both"/>
        <w:rPr>
          <w:rFonts w:cstheme="minorHAnsi"/>
          <w:szCs w:val="20"/>
        </w:rPr>
      </w:pPr>
    </w:p>
    <w:tbl>
      <w:tblPr>
        <w:tblW w:w="4972" w:type="dxa"/>
        <w:jc w:val="center"/>
        <w:tblLook w:val="04A0" w:firstRow="1" w:lastRow="0" w:firstColumn="1" w:lastColumn="0" w:noHBand="0" w:noVBand="1"/>
      </w:tblPr>
      <w:tblGrid>
        <w:gridCol w:w="3496"/>
        <w:gridCol w:w="1476"/>
      </w:tblGrid>
      <w:tr w:rsidR="00671154" w:rsidRPr="00671154" w14:paraId="0E9B559E" w14:textId="77777777" w:rsidTr="00DB2EE6">
        <w:trPr>
          <w:trHeight w:val="288"/>
          <w:jc w:val="center"/>
        </w:trPr>
        <w:tc>
          <w:tcPr>
            <w:tcW w:w="3496" w:type="dxa"/>
            <w:tcBorders>
              <w:top w:val="nil"/>
              <w:left w:val="nil"/>
              <w:bottom w:val="single" w:sz="12" w:space="0" w:color="auto"/>
              <w:right w:val="nil"/>
            </w:tcBorders>
            <w:shd w:val="clear" w:color="auto" w:fill="auto"/>
            <w:noWrap/>
            <w:vAlign w:val="bottom"/>
            <w:hideMark/>
          </w:tcPr>
          <w:p w14:paraId="49ECCE76" w14:textId="77777777" w:rsidR="00671154" w:rsidRPr="00671154" w:rsidRDefault="00671154" w:rsidP="00671154">
            <w:pPr>
              <w:rPr>
                <w:rFonts w:ascii="Calibri" w:hAnsi="Calibri" w:cs="Calibri"/>
                <w:color w:val="000000"/>
                <w:szCs w:val="20"/>
                <w:lang w:val="en-CA" w:eastAsia="en-CA"/>
              </w:rPr>
            </w:pPr>
            <w:r w:rsidRPr="00671154">
              <w:rPr>
                <w:rFonts w:ascii="Calibri" w:hAnsi="Calibri" w:cs="Calibri"/>
                <w:color w:val="000000"/>
                <w:szCs w:val="20"/>
                <w:lang w:val="en-CA" w:eastAsia="en-CA"/>
              </w:rPr>
              <w:t> </w:t>
            </w:r>
          </w:p>
        </w:tc>
        <w:tc>
          <w:tcPr>
            <w:tcW w:w="1476" w:type="dxa"/>
            <w:tcBorders>
              <w:top w:val="nil"/>
              <w:left w:val="nil"/>
              <w:bottom w:val="single" w:sz="12" w:space="0" w:color="auto"/>
              <w:right w:val="nil"/>
            </w:tcBorders>
            <w:shd w:val="clear" w:color="auto" w:fill="auto"/>
            <w:noWrap/>
            <w:vAlign w:val="bottom"/>
            <w:hideMark/>
          </w:tcPr>
          <w:p w14:paraId="1CB95FC2" w14:textId="77777777" w:rsidR="00671154" w:rsidRPr="00671154" w:rsidRDefault="00671154" w:rsidP="00671154">
            <w:pPr>
              <w:jc w:val="center"/>
              <w:rPr>
                <w:rFonts w:ascii="Calibri" w:hAnsi="Calibri" w:cs="Calibri"/>
                <w:b/>
                <w:bCs/>
                <w:color w:val="000000"/>
                <w:szCs w:val="20"/>
                <w:lang w:val="en-CA" w:eastAsia="en-CA"/>
              </w:rPr>
            </w:pPr>
            <w:r w:rsidRPr="00671154">
              <w:rPr>
                <w:rFonts w:ascii="Calibri" w:hAnsi="Calibri" w:cs="Calibri"/>
                <w:b/>
                <w:bCs/>
                <w:color w:val="000000"/>
                <w:szCs w:val="20"/>
                <w:lang w:val="en-CA" w:eastAsia="en-CA"/>
              </w:rPr>
              <w:t>Amount</w:t>
            </w:r>
          </w:p>
        </w:tc>
      </w:tr>
      <w:tr w:rsidR="00671154" w:rsidRPr="00671154" w14:paraId="2EB13AC9" w14:textId="77777777" w:rsidTr="00DB2EE6">
        <w:trPr>
          <w:trHeight w:val="276"/>
          <w:jc w:val="center"/>
        </w:trPr>
        <w:tc>
          <w:tcPr>
            <w:tcW w:w="3496" w:type="dxa"/>
            <w:tcBorders>
              <w:top w:val="single" w:sz="12" w:space="0" w:color="auto"/>
              <w:left w:val="nil"/>
              <w:bottom w:val="nil"/>
              <w:right w:val="nil"/>
            </w:tcBorders>
            <w:shd w:val="clear" w:color="000000" w:fill="FFFFFF"/>
            <w:noWrap/>
            <w:vAlign w:val="center"/>
            <w:hideMark/>
          </w:tcPr>
          <w:p w14:paraId="78305474" w14:textId="77777777" w:rsidR="00671154" w:rsidRPr="00671154" w:rsidRDefault="00671154" w:rsidP="00671154">
            <w:pPr>
              <w:rPr>
                <w:rFonts w:ascii="Calibri" w:hAnsi="Calibri" w:cs="Calibri"/>
                <w:color w:val="000000"/>
                <w:szCs w:val="20"/>
                <w:lang w:val="en-CA" w:eastAsia="en-CA"/>
              </w:rPr>
            </w:pPr>
            <w:r w:rsidRPr="00671154">
              <w:rPr>
                <w:rFonts w:ascii="Calibri" w:hAnsi="Calibri" w:cs="Calibri"/>
                <w:color w:val="000000"/>
                <w:szCs w:val="20"/>
                <w:lang w:val="en-CA" w:eastAsia="en-CA"/>
              </w:rPr>
              <w:t>Balance, June 30, 2022</w:t>
            </w:r>
          </w:p>
        </w:tc>
        <w:tc>
          <w:tcPr>
            <w:tcW w:w="1476" w:type="dxa"/>
            <w:tcBorders>
              <w:top w:val="single" w:sz="12" w:space="0" w:color="auto"/>
              <w:left w:val="nil"/>
              <w:bottom w:val="nil"/>
              <w:right w:val="nil"/>
            </w:tcBorders>
            <w:shd w:val="clear" w:color="000000" w:fill="FFFFFF"/>
            <w:noWrap/>
            <w:vAlign w:val="center"/>
            <w:hideMark/>
          </w:tcPr>
          <w:p w14:paraId="7124DFF9" w14:textId="547668BC" w:rsidR="00671154" w:rsidRPr="00671154" w:rsidRDefault="00671154" w:rsidP="00671154">
            <w:pPr>
              <w:jc w:val="right"/>
              <w:rPr>
                <w:rFonts w:ascii="Calibri" w:hAnsi="Calibri" w:cs="Calibri"/>
                <w:color w:val="000000"/>
                <w:szCs w:val="20"/>
                <w:lang w:val="en-CA" w:eastAsia="en-CA"/>
              </w:rPr>
            </w:pPr>
            <w:r w:rsidRPr="00671154">
              <w:rPr>
                <w:rFonts w:ascii="Calibri" w:hAnsi="Calibri" w:cs="Calibri"/>
                <w:color w:val="000000"/>
                <w:szCs w:val="20"/>
                <w:lang w:val="en-CA" w:eastAsia="en-CA"/>
              </w:rPr>
              <w:t xml:space="preserve"> $  168,750 </w:t>
            </w:r>
          </w:p>
        </w:tc>
      </w:tr>
      <w:tr w:rsidR="00671154" w:rsidRPr="00671154" w14:paraId="50994C79" w14:textId="77777777" w:rsidTr="00671154">
        <w:trPr>
          <w:trHeight w:val="276"/>
          <w:jc w:val="center"/>
        </w:trPr>
        <w:tc>
          <w:tcPr>
            <w:tcW w:w="3496" w:type="dxa"/>
            <w:tcBorders>
              <w:top w:val="nil"/>
              <w:left w:val="nil"/>
              <w:bottom w:val="nil"/>
              <w:right w:val="nil"/>
            </w:tcBorders>
            <w:shd w:val="clear" w:color="000000" w:fill="FFFFFF"/>
            <w:noWrap/>
            <w:vAlign w:val="center"/>
            <w:hideMark/>
          </w:tcPr>
          <w:p w14:paraId="6028F713" w14:textId="77777777" w:rsidR="00671154" w:rsidRPr="00671154" w:rsidRDefault="00671154" w:rsidP="00671154">
            <w:pPr>
              <w:rPr>
                <w:rFonts w:ascii="Calibri" w:hAnsi="Calibri" w:cs="Calibri"/>
                <w:color w:val="000000"/>
                <w:szCs w:val="20"/>
                <w:lang w:val="en-CA" w:eastAsia="en-CA"/>
              </w:rPr>
            </w:pPr>
            <w:r w:rsidRPr="00671154">
              <w:rPr>
                <w:rFonts w:ascii="Calibri" w:hAnsi="Calibri" w:cs="Calibri"/>
                <w:color w:val="000000"/>
                <w:szCs w:val="20"/>
                <w:lang w:val="en-CA" w:eastAsia="en-CA"/>
              </w:rPr>
              <w:t>Interest accrued</w:t>
            </w:r>
          </w:p>
        </w:tc>
        <w:tc>
          <w:tcPr>
            <w:tcW w:w="1476" w:type="dxa"/>
            <w:tcBorders>
              <w:top w:val="nil"/>
              <w:left w:val="nil"/>
              <w:bottom w:val="nil"/>
              <w:right w:val="nil"/>
            </w:tcBorders>
            <w:shd w:val="clear" w:color="000000" w:fill="FFFFFF"/>
            <w:noWrap/>
            <w:vAlign w:val="center"/>
            <w:hideMark/>
          </w:tcPr>
          <w:p w14:paraId="1E9B8DBD" w14:textId="7F62795D" w:rsidR="00671154" w:rsidRPr="00671154" w:rsidRDefault="00671154" w:rsidP="00671154">
            <w:pPr>
              <w:jc w:val="right"/>
              <w:rPr>
                <w:rFonts w:ascii="Calibri" w:hAnsi="Calibri" w:cs="Calibri"/>
                <w:color w:val="000000"/>
                <w:szCs w:val="20"/>
                <w:lang w:val="en-CA" w:eastAsia="en-CA"/>
              </w:rPr>
            </w:pPr>
            <w:r w:rsidRPr="00671154">
              <w:rPr>
                <w:rFonts w:ascii="Calibri" w:hAnsi="Calibri" w:cs="Calibri"/>
                <w:color w:val="000000"/>
                <w:szCs w:val="20"/>
                <w:lang w:val="en-CA" w:eastAsia="en-CA"/>
              </w:rPr>
              <w:t xml:space="preserve">  12,500 </w:t>
            </w:r>
          </w:p>
        </w:tc>
      </w:tr>
      <w:tr w:rsidR="00671154" w:rsidRPr="00671154" w14:paraId="1B679361" w14:textId="77777777" w:rsidTr="00671154">
        <w:trPr>
          <w:trHeight w:val="276"/>
          <w:jc w:val="center"/>
        </w:trPr>
        <w:tc>
          <w:tcPr>
            <w:tcW w:w="3496" w:type="dxa"/>
            <w:tcBorders>
              <w:top w:val="single" w:sz="4" w:space="0" w:color="auto"/>
              <w:left w:val="nil"/>
              <w:bottom w:val="single" w:sz="4" w:space="0" w:color="auto"/>
              <w:right w:val="nil"/>
            </w:tcBorders>
            <w:shd w:val="clear" w:color="000000" w:fill="FFFFFF"/>
            <w:noWrap/>
            <w:vAlign w:val="center"/>
            <w:hideMark/>
          </w:tcPr>
          <w:p w14:paraId="24179C5E" w14:textId="77777777" w:rsidR="00671154" w:rsidRPr="00671154" w:rsidRDefault="00671154" w:rsidP="00671154">
            <w:pPr>
              <w:rPr>
                <w:rFonts w:ascii="Calibri" w:hAnsi="Calibri" w:cs="Calibri"/>
                <w:color w:val="000000"/>
                <w:szCs w:val="20"/>
                <w:lang w:val="en-CA" w:eastAsia="en-CA"/>
              </w:rPr>
            </w:pPr>
            <w:r w:rsidRPr="00671154">
              <w:rPr>
                <w:rFonts w:ascii="Calibri" w:hAnsi="Calibri" w:cs="Calibri"/>
                <w:color w:val="000000"/>
                <w:szCs w:val="20"/>
                <w:lang w:val="en-CA" w:eastAsia="en-CA"/>
              </w:rPr>
              <w:t>Balance, June 30, 2023</w:t>
            </w:r>
          </w:p>
        </w:tc>
        <w:tc>
          <w:tcPr>
            <w:tcW w:w="1476" w:type="dxa"/>
            <w:tcBorders>
              <w:top w:val="single" w:sz="4" w:space="0" w:color="auto"/>
              <w:left w:val="nil"/>
              <w:bottom w:val="single" w:sz="4" w:space="0" w:color="auto"/>
              <w:right w:val="nil"/>
            </w:tcBorders>
            <w:shd w:val="clear" w:color="000000" w:fill="FFFFFF"/>
            <w:noWrap/>
            <w:vAlign w:val="center"/>
            <w:hideMark/>
          </w:tcPr>
          <w:p w14:paraId="38D696E5" w14:textId="7FD6CE35" w:rsidR="00671154" w:rsidRPr="00671154" w:rsidRDefault="00671154" w:rsidP="00671154">
            <w:pPr>
              <w:jc w:val="right"/>
              <w:rPr>
                <w:rFonts w:ascii="Calibri" w:hAnsi="Calibri" w:cs="Calibri"/>
                <w:color w:val="000000"/>
                <w:szCs w:val="20"/>
                <w:lang w:val="en-CA" w:eastAsia="en-CA"/>
              </w:rPr>
            </w:pPr>
            <w:r w:rsidRPr="00671154">
              <w:rPr>
                <w:rFonts w:ascii="Calibri" w:hAnsi="Calibri" w:cs="Calibri"/>
                <w:color w:val="000000"/>
                <w:szCs w:val="20"/>
                <w:lang w:val="en-CA" w:eastAsia="en-CA"/>
              </w:rPr>
              <w:t xml:space="preserve">181,250 </w:t>
            </w:r>
          </w:p>
        </w:tc>
      </w:tr>
      <w:tr w:rsidR="00671154" w:rsidRPr="00671154" w14:paraId="53B33E28" w14:textId="77777777" w:rsidTr="00DB2EE6">
        <w:trPr>
          <w:trHeight w:val="276"/>
          <w:jc w:val="center"/>
        </w:trPr>
        <w:tc>
          <w:tcPr>
            <w:tcW w:w="3496" w:type="dxa"/>
            <w:tcBorders>
              <w:top w:val="nil"/>
              <w:left w:val="nil"/>
              <w:bottom w:val="single" w:sz="4" w:space="0" w:color="auto"/>
              <w:right w:val="nil"/>
            </w:tcBorders>
            <w:shd w:val="clear" w:color="000000" w:fill="FFFFFF"/>
            <w:noWrap/>
            <w:vAlign w:val="center"/>
            <w:hideMark/>
          </w:tcPr>
          <w:p w14:paraId="6F8DAEF3" w14:textId="77777777" w:rsidR="00671154" w:rsidRPr="00671154" w:rsidRDefault="00671154" w:rsidP="00671154">
            <w:pPr>
              <w:rPr>
                <w:rFonts w:ascii="Calibri" w:hAnsi="Calibri" w:cs="Calibri"/>
                <w:color w:val="000000"/>
                <w:szCs w:val="20"/>
                <w:lang w:val="en-CA" w:eastAsia="en-CA"/>
              </w:rPr>
            </w:pPr>
            <w:r w:rsidRPr="00671154">
              <w:rPr>
                <w:rFonts w:ascii="Calibri" w:hAnsi="Calibri" w:cs="Calibri"/>
                <w:color w:val="000000"/>
                <w:szCs w:val="20"/>
                <w:lang w:val="en-CA" w:eastAsia="en-CA"/>
              </w:rPr>
              <w:t>Interest accrued</w:t>
            </w:r>
          </w:p>
        </w:tc>
        <w:tc>
          <w:tcPr>
            <w:tcW w:w="1476" w:type="dxa"/>
            <w:tcBorders>
              <w:top w:val="nil"/>
              <w:left w:val="nil"/>
              <w:bottom w:val="single" w:sz="4" w:space="0" w:color="auto"/>
              <w:right w:val="nil"/>
            </w:tcBorders>
            <w:shd w:val="clear" w:color="000000" w:fill="FFFFFF"/>
            <w:noWrap/>
            <w:vAlign w:val="center"/>
            <w:hideMark/>
          </w:tcPr>
          <w:p w14:paraId="297DA1C1" w14:textId="6EB1B6F8" w:rsidR="00671154" w:rsidRPr="00671154" w:rsidRDefault="00671154" w:rsidP="00671154">
            <w:pPr>
              <w:jc w:val="right"/>
              <w:rPr>
                <w:rFonts w:ascii="Calibri" w:hAnsi="Calibri" w:cs="Calibri"/>
                <w:color w:val="000000"/>
                <w:szCs w:val="20"/>
                <w:lang w:val="en-CA" w:eastAsia="en-CA"/>
              </w:rPr>
            </w:pPr>
            <w:r w:rsidRPr="00671154">
              <w:rPr>
                <w:rFonts w:ascii="Calibri" w:hAnsi="Calibri" w:cs="Calibri"/>
                <w:color w:val="000000"/>
                <w:szCs w:val="20"/>
                <w:lang w:val="en-CA" w:eastAsia="en-CA"/>
              </w:rPr>
              <w:t xml:space="preserve">   9,375 </w:t>
            </w:r>
          </w:p>
        </w:tc>
      </w:tr>
      <w:tr w:rsidR="00671154" w:rsidRPr="00671154" w14:paraId="51041D63" w14:textId="77777777" w:rsidTr="00DB2EE6">
        <w:trPr>
          <w:trHeight w:val="288"/>
          <w:jc w:val="center"/>
        </w:trPr>
        <w:tc>
          <w:tcPr>
            <w:tcW w:w="3496" w:type="dxa"/>
            <w:tcBorders>
              <w:top w:val="single" w:sz="4" w:space="0" w:color="auto"/>
              <w:left w:val="nil"/>
              <w:bottom w:val="single" w:sz="12" w:space="0" w:color="auto"/>
              <w:right w:val="nil"/>
            </w:tcBorders>
            <w:shd w:val="clear" w:color="000000" w:fill="FFFFFF"/>
            <w:noWrap/>
            <w:vAlign w:val="center"/>
            <w:hideMark/>
          </w:tcPr>
          <w:p w14:paraId="1E646497" w14:textId="77777777" w:rsidR="00671154" w:rsidRPr="00671154" w:rsidRDefault="00671154" w:rsidP="00671154">
            <w:pPr>
              <w:rPr>
                <w:rFonts w:ascii="Calibri" w:hAnsi="Calibri" w:cs="Calibri"/>
                <w:b/>
                <w:bCs/>
                <w:color w:val="000000"/>
                <w:szCs w:val="20"/>
                <w:lang w:val="en-CA" w:eastAsia="en-CA"/>
              </w:rPr>
            </w:pPr>
            <w:r w:rsidRPr="00671154">
              <w:rPr>
                <w:rFonts w:ascii="Calibri" w:hAnsi="Calibri" w:cs="Calibri"/>
                <w:b/>
                <w:bCs/>
                <w:color w:val="000000"/>
                <w:szCs w:val="20"/>
                <w:lang w:val="en-CA" w:eastAsia="en-CA"/>
              </w:rPr>
              <w:t>Balance, March 31, 2024</w:t>
            </w:r>
          </w:p>
        </w:tc>
        <w:tc>
          <w:tcPr>
            <w:tcW w:w="1476" w:type="dxa"/>
            <w:tcBorders>
              <w:top w:val="single" w:sz="4" w:space="0" w:color="auto"/>
              <w:left w:val="nil"/>
              <w:bottom w:val="single" w:sz="12" w:space="0" w:color="auto"/>
              <w:right w:val="nil"/>
            </w:tcBorders>
            <w:shd w:val="clear" w:color="000000" w:fill="FFFFFF"/>
            <w:noWrap/>
            <w:vAlign w:val="center"/>
            <w:hideMark/>
          </w:tcPr>
          <w:p w14:paraId="0C73C974" w14:textId="32C541B4" w:rsidR="00671154" w:rsidRPr="00671154" w:rsidRDefault="00671154" w:rsidP="00671154">
            <w:pPr>
              <w:jc w:val="right"/>
              <w:rPr>
                <w:rFonts w:ascii="Calibri" w:hAnsi="Calibri" w:cs="Calibri"/>
                <w:b/>
                <w:bCs/>
                <w:color w:val="000000"/>
                <w:szCs w:val="20"/>
                <w:lang w:val="en-CA" w:eastAsia="en-CA"/>
              </w:rPr>
            </w:pPr>
            <w:r w:rsidRPr="00671154">
              <w:rPr>
                <w:rFonts w:ascii="Calibri" w:hAnsi="Calibri" w:cs="Calibri"/>
                <w:b/>
                <w:bCs/>
                <w:color w:val="000000"/>
                <w:szCs w:val="20"/>
                <w:lang w:val="en-CA" w:eastAsia="en-CA"/>
              </w:rPr>
              <w:t xml:space="preserve"> $  190,625 </w:t>
            </w:r>
          </w:p>
        </w:tc>
      </w:tr>
    </w:tbl>
    <w:p w14:paraId="1E7EDBB7" w14:textId="2CDF4412" w:rsidR="00A8366B" w:rsidRPr="00FC2211" w:rsidRDefault="00DD74B5" w:rsidP="00A8366B">
      <w:pPr>
        <w:pStyle w:val="Heading1"/>
        <w:rPr>
          <w:rFonts w:cstheme="minorHAnsi"/>
          <w:szCs w:val="20"/>
        </w:rPr>
      </w:pPr>
      <w:r w:rsidRPr="00FC2211">
        <w:rPr>
          <w:rFonts w:cstheme="minorHAnsi"/>
          <w:szCs w:val="20"/>
        </w:rPr>
        <w:t>1</w:t>
      </w:r>
      <w:r w:rsidR="00713E58" w:rsidRPr="00FC2211">
        <w:rPr>
          <w:rFonts w:cstheme="minorHAnsi"/>
          <w:szCs w:val="20"/>
        </w:rPr>
        <w:t>2</w:t>
      </w:r>
      <w:r w:rsidRPr="00FC2211">
        <w:rPr>
          <w:rFonts w:cstheme="minorHAnsi"/>
          <w:szCs w:val="20"/>
        </w:rPr>
        <w:t xml:space="preserve">.  </w:t>
      </w:r>
      <w:r w:rsidR="00713E58" w:rsidRPr="00FC2211">
        <w:rPr>
          <w:rFonts w:cstheme="minorHAnsi"/>
          <w:szCs w:val="20"/>
        </w:rPr>
        <w:t xml:space="preserve"> </w:t>
      </w:r>
      <w:r w:rsidRPr="00FC2211">
        <w:rPr>
          <w:rFonts w:cstheme="minorHAnsi"/>
          <w:szCs w:val="20"/>
        </w:rPr>
        <w:t>NOTE PAYABLE</w:t>
      </w:r>
    </w:p>
    <w:p w14:paraId="23FC737F" w14:textId="77777777" w:rsidR="00DD74B5" w:rsidRPr="00FC2211" w:rsidRDefault="00DD74B5" w:rsidP="00DD74B5">
      <w:pPr>
        <w:pStyle w:val="NormalCalibri"/>
        <w:spacing w:before="0" w:line="240" w:lineRule="auto"/>
        <w:ind w:left="360"/>
        <w:rPr>
          <w:rFonts w:asciiTheme="minorHAnsi" w:hAnsiTheme="minorHAnsi" w:cstheme="minorHAnsi"/>
          <w:iCs/>
          <w:sz w:val="20"/>
          <w:szCs w:val="20"/>
        </w:rPr>
      </w:pPr>
    </w:p>
    <w:p w14:paraId="25525886" w14:textId="3F876071" w:rsidR="00DD74B5" w:rsidRPr="00FC2211" w:rsidRDefault="00DD74B5" w:rsidP="00FB2CF6">
      <w:pPr>
        <w:pStyle w:val="NormalWeb"/>
        <w:ind w:left="357"/>
        <w:jc w:val="both"/>
        <w:rPr>
          <w:rFonts w:eastAsia="Calibri" w:cstheme="minorHAnsi"/>
          <w:szCs w:val="20"/>
        </w:rPr>
      </w:pPr>
      <w:r w:rsidRPr="00FC2211">
        <w:rPr>
          <w:rFonts w:eastAsia="Calibri" w:cstheme="minorHAnsi"/>
          <w:szCs w:val="20"/>
        </w:rPr>
        <w:t xml:space="preserve">On November 17, 2022, INEO received a $1,000,000 unsecured promissory note bearing an annual interest rate of 12.0% from </w:t>
      </w:r>
      <w:r w:rsidRPr="00FC2211">
        <w:rPr>
          <w:rFonts w:ascii="Calibri" w:eastAsia="Calibri" w:hAnsi="Calibri" w:cs="Calibri"/>
          <w:color w:val="000000" w:themeColor="text1"/>
        </w:rPr>
        <w:t>Pathfinder Asset Management Limited</w:t>
      </w:r>
      <w:r w:rsidRPr="00FC2211">
        <w:rPr>
          <w:rFonts w:eastAsia="Calibri" w:cstheme="minorHAnsi"/>
          <w:szCs w:val="20"/>
        </w:rPr>
        <w:t xml:space="preserve">. Repayment of this note is due November 17, 2025. In connection with the note, the Company issued 1,428,571 </w:t>
      </w:r>
      <w:r w:rsidR="00350B9F" w:rsidRPr="00FC2211">
        <w:rPr>
          <w:rFonts w:eastAsia="Calibri" w:cstheme="minorHAnsi"/>
          <w:szCs w:val="20"/>
        </w:rPr>
        <w:t xml:space="preserve">common </w:t>
      </w:r>
      <w:r w:rsidRPr="00FC2211">
        <w:rPr>
          <w:rFonts w:eastAsia="Calibri" w:cstheme="minorHAnsi"/>
          <w:szCs w:val="20"/>
        </w:rPr>
        <w:t xml:space="preserve">shares with a fair value of </w:t>
      </w:r>
      <w:r w:rsidR="000B471E" w:rsidRPr="00FC2211">
        <w:rPr>
          <w:rFonts w:eastAsia="Calibri" w:cstheme="minorHAnsi"/>
          <w:szCs w:val="20"/>
        </w:rPr>
        <w:t>$171,42</w:t>
      </w:r>
      <w:r w:rsidR="00365643" w:rsidRPr="00FC2211">
        <w:rPr>
          <w:rFonts w:eastAsia="Calibri" w:cstheme="minorHAnsi"/>
          <w:szCs w:val="20"/>
        </w:rPr>
        <w:t>8</w:t>
      </w:r>
      <w:r w:rsidRPr="00FC2211">
        <w:rPr>
          <w:rFonts w:eastAsia="Calibri" w:cstheme="minorHAnsi"/>
          <w:szCs w:val="20"/>
        </w:rPr>
        <w:t xml:space="preserve"> (Note </w:t>
      </w:r>
      <w:r w:rsidR="000B471E" w:rsidRPr="00FC2211">
        <w:rPr>
          <w:rFonts w:eastAsia="Calibri" w:cstheme="minorHAnsi"/>
          <w:szCs w:val="20"/>
        </w:rPr>
        <w:t>1</w:t>
      </w:r>
      <w:r w:rsidR="00365643" w:rsidRPr="00FC2211">
        <w:rPr>
          <w:rFonts w:eastAsia="Calibri" w:cstheme="minorHAnsi"/>
          <w:szCs w:val="20"/>
        </w:rPr>
        <w:t>5</w:t>
      </w:r>
      <w:r w:rsidRPr="00FC2211">
        <w:rPr>
          <w:rFonts w:eastAsia="Calibri" w:cstheme="minorHAnsi"/>
          <w:szCs w:val="20"/>
        </w:rPr>
        <w:t xml:space="preserve">). The shares issued were considered debt issuance </w:t>
      </w:r>
      <w:r w:rsidR="00B92AB3" w:rsidRPr="00FC2211">
        <w:rPr>
          <w:rFonts w:eastAsia="Calibri" w:cstheme="minorHAnsi"/>
          <w:szCs w:val="20"/>
        </w:rPr>
        <w:t>costs</w:t>
      </w:r>
      <w:r w:rsidRPr="00FC2211">
        <w:rPr>
          <w:rFonts w:eastAsia="Calibri" w:cstheme="minorHAnsi"/>
          <w:szCs w:val="20"/>
        </w:rPr>
        <w:t xml:space="preserve"> resulting </w:t>
      </w:r>
      <w:r w:rsidR="00B92AB3" w:rsidRPr="00FC2211">
        <w:rPr>
          <w:rFonts w:eastAsia="Calibri" w:cstheme="minorHAnsi"/>
          <w:szCs w:val="20"/>
        </w:rPr>
        <w:t>in</w:t>
      </w:r>
      <w:r w:rsidRPr="00FC2211">
        <w:rPr>
          <w:rFonts w:eastAsia="Calibri" w:cstheme="minorHAnsi"/>
          <w:szCs w:val="20"/>
        </w:rPr>
        <w:t xml:space="preserve"> a discount and amortized using the effective interest method over the credit term of three (3) years with an effective annual interest rate of </w:t>
      </w:r>
      <w:r w:rsidR="00AD55FA" w:rsidRPr="00FC2211">
        <w:rPr>
          <w:rFonts w:eastAsia="Calibri" w:cstheme="minorHAnsi"/>
          <w:szCs w:val="20"/>
        </w:rPr>
        <w:t>19.6</w:t>
      </w:r>
      <w:r w:rsidRPr="00FC2211">
        <w:rPr>
          <w:rFonts w:eastAsia="Calibri" w:cstheme="minorHAnsi"/>
          <w:szCs w:val="20"/>
        </w:rPr>
        <w:t xml:space="preserve">%. During the </w:t>
      </w:r>
      <w:r w:rsidR="0042046F">
        <w:rPr>
          <w:rFonts w:eastAsia="Calibri" w:cstheme="minorHAnsi"/>
          <w:szCs w:val="20"/>
        </w:rPr>
        <w:t>nine</w:t>
      </w:r>
      <w:r w:rsidR="003B35B0" w:rsidRPr="00FC2211">
        <w:rPr>
          <w:rFonts w:eastAsia="Calibri" w:cstheme="minorHAnsi"/>
          <w:szCs w:val="20"/>
        </w:rPr>
        <w:t xml:space="preserve"> months ended </w:t>
      </w:r>
      <w:r w:rsidR="0042046F">
        <w:rPr>
          <w:rFonts w:eastAsia="Calibri" w:cstheme="minorHAnsi"/>
          <w:szCs w:val="20"/>
        </w:rPr>
        <w:t>March 31, 2024</w:t>
      </w:r>
      <w:r w:rsidRPr="00FC2211">
        <w:rPr>
          <w:rFonts w:eastAsia="Calibri" w:cstheme="minorHAnsi"/>
          <w:szCs w:val="20"/>
        </w:rPr>
        <w:t>, the Company incurred $</w:t>
      </w:r>
      <w:r w:rsidR="0042046F">
        <w:rPr>
          <w:rFonts w:eastAsia="Calibri" w:cstheme="minorHAnsi"/>
          <w:szCs w:val="20"/>
        </w:rPr>
        <w:t>128,821</w:t>
      </w:r>
      <w:r w:rsidRPr="00FC2211">
        <w:rPr>
          <w:rFonts w:eastAsia="Calibri" w:cstheme="minorHAnsi"/>
          <w:szCs w:val="20"/>
        </w:rPr>
        <w:t xml:space="preserve"> in interest expense (</w:t>
      </w:r>
      <w:r w:rsidR="00AC09D6">
        <w:rPr>
          <w:rFonts w:eastAsia="Calibri" w:cstheme="minorHAnsi"/>
          <w:szCs w:val="20"/>
        </w:rPr>
        <w:t>March 31, 2024</w:t>
      </w:r>
      <w:r w:rsidRPr="00FC2211">
        <w:rPr>
          <w:rFonts w:eastAsia="Calibri" w:cstheme="minorHAnsi"/>
          <w:szCs w:val="20"/>
        </w:rPr>
        <w:t xml:space="preserve"> – $</w:t>
      </w:r>
      <w:r w:rsidR="006141A7">
        <w:rPr>
          <w:rFonts w:eastAsia="Calibri" w:cstheme="minorHAnsi"/>
          <w:szCs w:val="20"/>
        </w:rPr>
        <w:t>62,333</w:t>
      </w:r>
      <w:r w:rsidRPr="00FC2211">
        <w:rPr>
          <w:rFonts w:eastAsia="Calibri" w:cstheme="minorHAnsi"/>
          <w:szCs w:val="20"/>
        </w:rPr>
        <w:t>).</w:t>
      </w:r>
      <w:r w:rsidR="00FB2CF6" w:rsidRPr="00FC2211">
        <w:rPr>
          <w:rFonts w:eastAsia="Calibri" w:cstheme="minorHAnsi"/>
          <w:szCs w:val="20"/>
        </w:rPr>
        <w:t xml:space="preserve"> </w:t>
      </w:r>
      <w:r w:rsidRPr="00FC2211">
        <w:rPr>
          <w:rFonts w:eastAsia="Calibri" w:cstheme="minorHAnsi"/>
          <w:szCs w:val="20"/>
        </w:rPr>
        <w:t>The reconciliation of opening and closing balances of note payable follows:</w:t>
      </w:r>
    </w:p>
    <w:p w14:paraId="631AC8D8" w14:textId="77777777" w:rsidR="00DD74B5" w:rsidRPr="00FC2211" w:rsidRDefault="00DD74B5" w:rsidP="00DD74B5">
      <w:pPr>
        <w:pStyle w:val="NormalWeb"/>
        <w:ind w:left="357"/>
        <w:rPr>
          <w:rFonts w:eastAsia="Calibri" w:cstheme="minorHAnsi"/>
          <w:szCs w:val="20"/>
        </w:rPr>
      </w:pPr>
    </w:p>
    <w:tbl>
      <w:tblPr>
        <w:tblW w:w="7740" w:type="dxa"/>
        <w:jc w:val="center"/>
        <w:tblLook w:val="04A0" w:firstRow="1" w:lastRow="0" w:firstColumn="1" w:lastColumn="0" w:noHBand="0" w:noVBand="1"/>
      </w:tblPr>
      <w:tblGrid>
        <w:gridCol w:w="3496"/>
        <w:gridCol w:w="1444"/>
        <w:gridCol w:w="1384"/>
        <w:gridCol w:w="1416"/>
      </w:tblGrid>
      <w:tr w:rsidR="00630F23" w:rsidRPr="00630F23" w14:paraId="0A4180D9" w14:textId="77777777" w:rsidTr="00642A4A">
        <w:trPr>
          <w:trHeight w:val="564"/>
          <w:jc w:val="center"/>
        </w:trPr>
        <w:tc>
          <w:tcPr>
            <w:tcW w:w="3496" w:type="dxa"/>
            <w:tcBorders>
              <w:top w:val="nil"/>
              <w:left w:val="nil"/>
              <w:bottom w:val="single" w:sz="12" w:space="0" w:color="auto"/>
              <w:right w:val="nil"/>
            </w:tcBorders>
            <w:shd w:val="clear" w:color="auto" w:fill="auto"/>
            <w:noWrap/>
            <w:vAlign w:val="bottom"/>
            <w:hideMark/>
          </w:tcPr>
          <w:p w14:paraId="1CF21BBF" w14:textId="77777777" w:rsidR="00630F23" w:rsidRPr="00630F23" w:rsidRDefault="00630F23" w:rsidP="00630F23">
            <w:pPr>
              <w:rPr>
                <w:rFonts w:ascii="Calibri" w:hAnsi="Calibri" w:cs="Calibri"/>
                <w:color w:val="000000"/>
                <w:szCs w:val="20"/>
                <w:lang w:val="en-CA" w:eastAsia="en-CA"/>
              </w:rPr>
            </w:pPr>
            <w:r w:rsidRPr="00630F23">
              <w:rPr>
                <w:rFonts w:ascii="Calibri" w:hAnsi="Calibri" w:cs="Calibri"/>
                <w:color w:val="000000"/>
                <w:szCs w:val="20"/>
                <w:lang w:val="en-CA" w:eastAsia="en-CA"/>
              </w:rPr>
              <w:t> </w:t>
            </w:r>
          </w:p>
        </w:tc>
        <w:tc>
          <w:tcPr>
            <w:tcW w:w="1444" w:type="dxa"/>
            <w:tcBorders>
              <w:top w:val="nil"/>
              <w:left w:val="nil"/>
              <w:bottom w:val="single" w:sz="12" w:space="0" w:color="auto"/>
              <w:right w:val="nil"/>
            </w:tcBorders>
            <w:shd w:val="clear" w:color="auto" w:fill="auto"/>
            <w:vAlign w:val="bottom"/>
            <w:hideMark/>
          </w:tcPr>
          <w:p w14:paraId="0F1F3AF7" w14:textId="77777777" w:rsidR="00630F23" w:rsidRPr="00630F23" w:rsidRDefault="00630F23" w:rsidP="00630F23">
            <w:pPr>
              <w:jc w:val="center"/>
              <w:rPr>
                <w:rFonts w:ascii="Calibri" w:hAnsi="Calibri" w:cs="Calibri"/>
                <w:b/>
                <w:bCs/>
                <w:color w:val="000000"/>
                <w:szCs w:val="20"/>
                <w:lang w:val="en-CA" w:eastAsia="en-CA"/>
              </w:rPr>
            </w:pPr>
            <w:r w:rsidRPr="00630F23">
              <w:rPr>
                <w:rFonts w:ascii="Calibri" w:hAnsi="Calibri" w:cs="Calibri"/>
                <w:b/>
                <w:bCs/>
                <w:color w:val="000000"/>
                <w:szCs w:val="20"/>
                <w:lang w:val="en-CA" w:eastAsia="en-CA"/>
              </w:rPr>
              <w:t>Note Payable</w:t>
            </w:r>
          </w:p>
        </w:tc>
        <w:tc>
          <w:tcPr>
            <w:tcW w:w="1384" w:type="dxa"/>
            <w:tcBorders>
              <w:top w:val="nil"/>
              <w:left w:val="nil"/>
              <w:bottom w:val="single" w:sz="12" w:space="0" w:color="auto"/>
              <w:right w:val="nil"/>
            </w:tcBorders>
            <w:shd w:val="clear" w:color="auto" w:fill="auto"/>
            <w:vAlign w:val="bottom"/>
            <w:hideMark/>
          </w:tcPr>
          <w:p w14:paraId="3C25E1A2" w14:textId="77777777" w:rsidR="00630F23" w:rsidRPr="00630F23" w:rsidRDefault="00630F23" w:rsidP="00630F23">
            <w:pPr>
              <w:jc w:val="center"/>
              <w:rPr>
                <w:rFonts w:ascii="Calibri" w:hAnsi="Calibri" w:cs="Calibri"/>
                <w:b/>
                <w:bCs/>
                <w:color w:val="000000"/>
                <w:szCs w:val="20"/>
                <w:lang w:val="en-CA" w:eastAsia="en-CA"/>
              </w:rPr>
            </w:pPr>
            <w:r w:rsidRPr="00630F23">
              <w:rPr>
                <w:rFonts w:ascii="Calibri" w:hAnsi="Calibri" w:cs="Calibri"/>
                <w:b/>
                <w:bCs/>
                <w:color w:val="000000"/>
                <w:szCs w:val="20"/>
                <w:lang w:val="en-CA" w:eastAsia="en-CA"/>
              </w:rPr>
              <w:t>Accrued Interest</w:t>
            </w:r>
          </w:p>
        </w:tc>
        <w:tc>
          <w:tcPr>
            <w:tcW w:w="1416" w:type="dxa"/>
            <w:tcBorders>
              <w:top w:val="nil"/>
              <w:left w:val="nil"/>
              <w:bottom w:val="single" w:sz="12" w:space="0" w:color="auto"/>
              <w:right w:val="nil"/>
            </w:tcBorders>
            <w:shd w:val="clear" w:color="auto" w:fill="auto"/>
            <w:noWrap/>
            <w:vAlign w:val="bottom"/>
            <w:hideMark/>
          </w:tcPr>
          <w:p w14:paraId="144DDDC5" w14:textId="77777777" w:rsidR="00630F23" w:rsidRPr="00630F23" w:rsidRDefault="00630F23" w:rsidP="00630F23">
            <w:pPr>
              <w:jc w:val="center"/>
              <w:rPr>
                <w:rFonts w:ascii="Calibri" w:hAnsi="Calibri" w:cs="Calibri"/>
                <w:b/>
                <w:bCs/>
                <w:color w:val="000000"/>
                <w:szCs w:val="20"/>
                <w:lang w:val="en-CA" w:eastAsia="en-CA"/>
              </w:rPr>
            </w:pPr>
            <w:r w:rsidRPr="00630F23">
              <w:rPr>
                <w:rFonts w:ascii="Calibri" w:hAnsi="Calibri" w:cs="Calibri"/>
                <w:b/>
                <w:bCs/>
                <w:color w:val="000000"/>
                <w:szCs w:val="20"/>
                <w:lang w:val="en-CA" w:eastAsia="en-CA"/>
              </w:rPr>
              <w:t>Total</w:t>
            </w:r>
          </w:p>
        </w:tc>
      </w:tr>
      <w:tr w:rsidR="00630F23" w:rsidRPr="00630F23" w14:paraId="1F973EB0" w14:textId="77777777" w:rsidTr="00642A4A">
        <w:trPr>
          <w:trHeight w:val="276"/>
          <w:jc w:val="center"/>
        </w:trPr>
        <w:tc>
          <w:tcPr>
            <w:tcW w:w="3496" w:type="dxa"/>
            <w:tcBorders>
              <w:top w:val="single" w:sz="12" w:space="0" w:color="auto"/>
              <w:left w:val="nil"/>
              <w:bottom w:val="nil"/>
              <w:right w:val="nil"/>
            </w:tcBorders>
            <w:shd w:val="clear" w:color="auto" w:fill="auto"/>
            <w:noWrap/>
            <w:vAlign w:val="bottom"/>
            <w:hideMark/>
          </w:tcPr>
          <w:p w14:paraId="0DF8B3BE" w14:textId="77777777" w:rsidR="00630F23" w:rsidRPr="00630F23" w:rsidRDefault="00630F23" w:rsidP="00630F23">
            <w:pPr>
              <w:rPr>
                <w:rFonts w:ascii="Calibri" w:hAnsi="Calibri" w:cs="Calibri"/>
                <w:color w:val="000000"/>
                <w:szCs w:val="20"/>
                <w:lang w:val="en-CA" w:eastAsia="en-CA"/>
              </w:rPr>
            </w:pPr>
            <w:r w:rsidRPr="00630F23">
              <w:rPr>
                <w:rFonts w:ascii="Calibri" w:hAnsi="Calibri" w:cs="Calibri"/>
                <w:color w:val="000000"/>
                <w:szCs w:val="20"/>
                <w:lang w:val="en-CA" w:eastAsia="en-CA"/>
              </w:rPr>
              <w:t>Balance, June 30, 2022</w:t>
            </w:r>
          </w:p>
        </w:tc>
        <w:tc>
          <w:tcPr>
            <w:tcW w:w="1444" w:type="dxa"/>
            <w:tcBorders>
              <w:top w:val="single" w:sz="12" w:space="0" w:color="auto"/>
              <w:left w:val="nil"/>
              <w:bottom w:val="nil"/>
              <w:right w:val="nil"/>
            </w:tcBorders>
            <w:shd w:val="clear" w:color="auto" w:fill="auto"/>
            <w:noWrap/>
            <w:vAlign w:val="bottom"/>
            <w:hideMark/>
          </w:tcPr>
          <w:p w14:paraId="19142843" w14:textId="7671E60C" w:rsidR="00630F23" w:rsidRPr="00630F23" w:rsidRDefault="00630F23" w:rsidP="00DB2EE6">
            <w:pPr>
              <w:ind w:right="125"/>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        -   </w:t>
            </w:r>
          </w:p>
        </w:tc>
        <w:tc>
          <w:tcPr>
            <w:tcW w:w="1384" w:type="dxa"/>
            <w:tcBorders>
              <w:top w:val="single" w:sz="12" w:space="0" w:color="auto"/>
              <w:left w:val="nil"/>
              <w:bottom w:val="nil"/>
              <w:right w:val="nil"/>
            </w:tcBorders>
            <w:shd w:val="clear" w:color="auto" w:fill="auto"/>
            <w:noWrap/>
            <w:vAlign w:val="bottom"/>
            <w:hideMark/>
          </w:tcPr>
          <w:p w14:paraId="35595A92" w14:textId="12D1E80D" w:rsidR="00630F23" w:rsidRPr="00630F23" w:rsidRDefault="00630F23" w:rsidP="00DB2EE6">
            <w:pPr>
              <w:ind w:right="125"/>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         -   </w:t>
            </w:r>
          </w:p>
        </w:tc>
        <w:tc>
          <w:tcPr>
            <w:tcW w:w="1416" w:type="dxa"/>
            <w:tcBorders>
              <w:top w:val="single" w:sz="12" w:space="0" w:color="auto"/>
              <w:left w:val="nil"/>
              <w:bottom w:val="nil"/>
              <w:right w:val="nil"/>
            </w:tcBorders>
            <w:shd w:val="clear" w:color="auto" w:fill="auto"/>
            <w:noWrap/>
            <w:vAlign w:val="bottom"/>
            <w:hideMark/>
          </w:tcPr>
          <w:p w14:paraId="3FF470C6" w14:textId="19C0044E" w:rsidR="00630F23" w:rsidRPr="00630F23" w:rsidRDefault="00630F23" w:rsidP="00DB2EE6">
            <w:pPr>
              <w:ind w:right="125"/>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       -   </w:t>
            </w:r>
          </w:p>
        </w:tc>
      </w:tr>
      <w:tr w:rsidR="00630F23" w:rsidRPr="00630F23" w14:paraId="6047621E" w14:textId="77777777" w:rsidTr="00630F23">
        <w:trPr>
          <w:trHeight w:val="276"/>
          <w:jc w:val="center"/>
        </w:trPr>
        <w:tc>
          <w:tcPr>
            <w:tcW w:w="3496" w:type="dxa"/>
            <w:tcBorders>
              <w:top w:val="nil"/>
              <w:left w:val="nil"/>
              <w:bottom w:val="nil"/>
              <w:right w:val="nil"/>
            </w:tcBorders>
            <w:shd w:val="clear" w:color="auto" w:fill="auto"/>
            <w:noWrap/>
            <w:vAlign w:val="bottom"/>
            <w:hideMark/>
          </w:tcPr>
          <w:p w14:paraId="084CA8DA" w14:textId="77777777" w:rsidR="00630F23" w:rsidRPr="00630F23" w:rsidRDefault="00630F23" w:rsidP="00630F23">
            <w:pPr>
              <w:rPr>
                <w:rFonts w:ascii="Calibri" w:hAnsi="Calibri" w:cs="Calibri"/>
                <w:color w:val="000000"/>
                <w:szCs w:val="20"/>
                <w:lang w:val="en-CA" w:eastAsia="en-CA"/>
              </w:rPr>
            </w:pPr>
            <w:r w:rsidRPr="00630F23">
              <w:rPr>
                <w:rFonts w:ascii="Calibri" w:hAnsi="Calibri" w:cs="Calibri"/>
                <w:color w:val="000000"/>
                <w:szCs w:val="20"/>
                <w:lang w:val="en-CA" w:eastAsia="en-CA"/>
              </w:rPr>
              <w:t>Proceeds</w:t>
            </w:r>
          </w:p>
        </w:tc>
        <w:tc>
          <w:tcPr>
            <w:tcW w:w="1444" w:type="dxa"/>
            <w:tcBorders>
              <w:top w:val="nil"/>
              <w:left w:val="nil"/>
              <w:bottom w:val="nil"/>
              <w:right w:val="nil"/>
            </w:tcBorders>
            <w:shd w:val="clear" w:color="auto" w:fill="auto"/>
            <w:noWrap/>
            <w:vAlign w:val="bottom"/>
            <w:hideMark/>
          </w:tcPr>
          <w:p w14:paraId="7FF66E89" w14:textId="3E57EF09"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1,000,000 </w:t>
            </w:r>
          </w:p>
        </w:tc>
        <w:tc>
          <w:tcPr>
            <w:tcW w:w="1384" w:type="dxa"/>
            <w:tcBorders>
              <w:top w:val="nil"/>
              <w:left w:val="nil"/>
              <w:bottom w:val="nil"/>
              <w:right w:val="nil"/>
            </w:tcBorders>
            <w:shd w:val="clear" w:color="auto" w:fill="auto"/>
            <w:noWrap/>
            <w:vAlign w:val="bottom"/>
            <w:hideMark/>
          </w:tcPr>
          <w:p w14:paraId="2BFB7894" w14:textId="4E7A0FEC" w:rsidR="00630F23" w:rsidRPr="00630F23" w:rsidRDefault="00630F23" w:rsidP="00DB2EE6">
            <w:pPr>
              <w:ind w:right="125"/>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bottom"/>
            <w:hideMark/>
          </w:tcPr>
          <w:p w14:paraId="694D9483" w14:textId="3BC1C0E7"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1,000,000 </w:t>
            </w:r>
          </w:p>
        </w:tc>
      </w:tr>
      <w:tr w:rsidR="00630F23" w:rsidRPr="00630F23" w14:paraId="4DA05765" w14:textId="77777777" w:rsidTr="00630F23">
        <w:trPr>
          <w:trHeight w:val="276"/>
          <w:jc w:val="center"/>
        </w:trPr>
        <w:tc>
          <w:tcPr>
            <w:tcW w:w="3496" w:type="dxa"/>
            <w:tcBorders>
              <w:top w:val="nil"/>
              <w:left w:val="nil"/>
              <w:bottom w:val="nil"/>
              <w:right w:val="nil"/>
            </w:tcBorders>
            <w:shd w:val="clear" w:color="auto" w:fill="auto"/>
            <w:noWrap/>
            <w:vAlign w:val="bottom"/>
            <w:hideMark/>
          </w:tcPr>
          <w:p w14:paraId="2D8C14C2" w14:textId="77777777" w:rsidR="00630F23" w:rsidRPr="00630F23" w:rsidRDefault="00630F23" w:rsidP="00630F23">
            <w:pPr>
              <w:rPr>
                <w:rFonts w:ascii="Calibri" w:hAnsi="Calibri" w:cs="Calibri"/>
                <w:color w:val="000000"/>
                <w:szCs w:val="20"/>
                <w:lang w:val="en-CA" w:eastAsia="en-CA"/>
              </w:rPr>
            </w:pPr>
            <w:r w:rsidRPr="00630F23">
              <w:rPr>
                <w:rFonts w:ascii="Calibri" w:hAnsi="Calibri" w:cs="Calibri"/>
                <w:color w:val="000000"/>
                <w:szCs w:val="20"/>
                <w:lang w:val="en-CA" w:eastAsia="en-CA"/>
              </w:rPr>
              <w:t>Debt issuance cost</w:t>
            </w:r>
          </w:p>
        </w:tc>
        <w:tc>
          <w:tcPr>
            <w:tcW w:w="1444" w:type="dxa"/>
            <w:tcBorders>
              <w:top w:val="nil"/>
              <w:left w:val="nil"/>
              <w:bottom w:val="nil"/>
              <w:right w:val="nil"/>
            </w:tcBorders>
            <w:shd w:val="clear" w:color="auto" w:fill="auto"/>
            <w:noWrap/>
            <w:vAlign w:val="bottom"/>
            <w:hideMark/>
          </w:tcPr>
          <w:p w14:paraId="7205139E" w14:textId="666B52E4"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(171,428)</w:t>
            </w:r>
          </w:p>
        </w:tc>
        <w:tc>
          <w:tcPr>
            <w:tcW w:w="1384" w:type="dxa"/>
            <w:tcBorders>
              <w:top w:val="nil"/>
              <w:left w:val="nil"/>
              <w:bottom w:val="nil"/>
              <w:right w:val="nil"/>
            </w:tcBorders>
            <w:shd w:val="clear" w:color="auto" w:fill="auto"/>
            <w:noWrap/>
            <w:vAlign w:val="bottom"/>
            <w:hideMark/>
          </w:tcPr>
          <w:p w14:paraId="47CE76A1" w14:textId="1312348A" w:rsidR="00630F23" w:rsidRPr="00630F23" w:rsidRDefault="00630F23" w:rsidP="00DB2EE6">
            <w:pPr>
              <w:ind w:right="125"/>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bottom"/>
            <w:hideMark/>
          </w:tcPr>
          <w:p w14:paraId="56A9DD6C" w14:textId="3C7644B6"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(171,428)</w:t>
            </w:r>
          </w:p>
        </w:tc>
      </w:tr>
      <w:tr w:rsidR="00630F23" w:rsidRPr="00630F23" w14:paraId="275472F4" w14:textId="77777777" w:rsidTr="00630F23">
        <w:trPr>
          <w:trHeight w:val="276"/>
          <w:jc w:val="center"/>
        </w:trPr>
        <w:tc>
          <w:tcPr>
            <w:tcW w:w="3496" w:type="dxa"/>
            <w:tcBorders>
              <w:top w:val="nil"/>
              <w:left w:val="nil"/>
              <w:bottom w:val="nil"/>
              <w:right w:val="nil"/>
            </w:tcBorders>
            <w:shd w:val="clear" w:color="auto" w:fill="auto"/>
            <w:noWrap/>
            <w:vAlign w:val="bottom"/>
            <w:hideMark/>
          </w:tcPr>
          <w:p w14:paraId="1B458B65" w14:textId="77777777" w:rsidR="00630F23" w:rsidRPr="00630F23" w:rsidRDefault="00630F23" w:rsidP="00630F23">
            <w:pPr>
              <w:rPr>
                <w:rFonts w:ascii="Calibri" w:hAnsi="Calibri" w:cs="Calibri"/>
                <w:color w:val="000000"/>
                <w:szCs w:val="20"/>
                <w:lang w:val="en-CA" w:eastAsia="en-CA"/>
              </w:rPr>
            </w:pPr>
            <w:r w:rsidRPr="00630F23">
              <w:rPr>
                <w:rFonts w:ascii="Calibri" w:hAnsi="Calibri" w:cs="Calibri"/>
                <w:color w:val="000000"/>
                <w:szCs w:val="20"/>
                <w:lang w:val="en-CA" w:eastAsia="en-CA"/>
              </w:rPr>
              <w:t>Interest Expense</w:t>
            </w:r>
          </w:p>
        </w:tc>
        <w:tc>
          <w:tcPr>
            <w:tcW w:w="1444" w:type="dxa"/>
            <w:tcBorders>
              <w:top w:val="nil"/>
              <w:left w:val="nil"/>
              <w:bottom w:val="nil"/>
              <w:right w:val="nil"/>
            </w:tcBorders>
            <w:shd w:val="clear" w:color="auto" w:fill="auto"/>
            <w:noWrap/>
            <w:vAlign w:val="bottom"/>
            <w:hideMark/>
          </w:tcPr>
          <w:p w14:paraId="56016307" w14:textId="702C69AB"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27,540 </w:t>
            </w:r>
          </w:p>
        </w:tc>
        <w:tc>
          <w:tcPr>
            <w:tcW w:w="1384" w:type="dxa"/>
            <w:tcBorders>
              <w:top w:val="nil"/>
              <w:left w:val="nil"/>
              <w:bottom w:val="nil"/>
              <w:right w:val="nil"/>
            </w:tcBorders>
            <w:shd w:val="clear" w:color="auto" w:fill="auto"/>
            <w:noWrap/>
            <w:vAlign w:val="bottom"/>
            <w:hideMark/>
          </w:tcPr>
          <w:p w14:paraId="0E40EC5F" w14:textId="2036C4E6"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73,973 </w:t>
            </w:r>
          </w:p>
        </w:tc>
        <w:tc>
          <w:tcPr>
            <w:tcW w:w="1416" w:type="dxa"/>
            <w:tcBorders>
              <w:top w:val="nil"/>
              <w:left w:val="nil"/>
              <w:bottom w:val="nil"/>
              <w:right w:val="nil"/>
            </w:tcBorders>
            <w:shd w:val="clear" w:color="auto" w:fill="auto"/>
            <w:noWrap/>
            <w:vAlign w:val="bottom"/>
            <w:hideMark/>
          </w:tcPr>
          <w:p w14:paraId="6BB8B068" w14:textId="72DEB536"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101,513 </w:t>
            </w:r>
          </w:p>
        </w:tc>
      </w:tr>
      <w:tr w:rsidR="00630F23" w:rsidRPr="00630F23" w14:paraId="17738470" w14:textId="77777777" w:rsidTr="00630F23">
        <w:trPr>
          <w:trHeight w:val="276"/>
          <w:jc w:val="center"/>
        </w:trPr>
        <w:tc>
          <w:tcPr>
            <w:tcW w:w="3496" w:type="dxa"/>
            <w:tcBorders>
              <w:top w:val="nil"/>
              <w:left w:val="nil"/>
              <w:bottom w:val="nil"/>
              <w:right w:val="nil"/>
            </w:tcBorders>
            <w:shd w:val="clear" w:color="auto" w:fill="auto"/>
            <w:noWrap/>
            <w:vAlign w:val="bottom"/>
            <w:hideMark/>
          </w:tcPr>
          <w:p w14:paraId="6DCAC724" w14:textId="77777777" w:rsidR="00630F23" w:rsidRPr="00630F23" w:rsidRDefault="00630F23" w:rsidP="00630F23">
            <w:pPr>
              <w:rPr>
                <w:rFonts w:ascii="Calibri" w:hAnsi="Calibri" w:cs="Calibri"/>
                <w:color w:val="000000"/>
                <w:szCs w:val="20"/>
                <w:lang w:val="en-CA" w:eastAsia="en-CA"/>
              </w:rPr>
            </w:pPr>
            <w:r w:rsidRPr="00630F23">
              <w:rPr>
                <w:rFonts w:ascii="Calibri" w:hAnsi="Calibri" w:cs="Calibri"/>
                <w:color w:val="000000"/>
                <w:szCs w:val="20"/>
                <w:lang w:val="en-CA" w:eastAsia="en-CA"/>
              </w:rPr>
              <w:t>Interest paid</w:t>
            </w:r>
          </w:p>
        </w:tc>
        <w:tc>
          <w:tcPr>
            <w:tcW w:w="1444" w:type="dxa"/>
            <w:tcBorders>
              <w:top w:val="nil"/>
              <w:left w:val="nil"/>
              <w:bottom w:val="nil"/>
              <w:right w:val="nil"/>
            </w:tcBorders>
            <w:shd w:val="clear" w:color="auto" w:fill="auto"/>
            <w:noWrap/>
            <w:vAlign w:val="bottom"/>
            <w:hideMark/>
          </w:tcPr>
          <w:p w14:paraId="17469B61" w14:textId="3935D3A0" w:rsidR="00630F23" w:rsidRPr="00630F23" w:rsidRDefault="00630F23" w:rsidP="00DB2EE6">
            <w:pPr>
              <w:ind w:right="125"/>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   </w:t>
            </w:r>
          </w:p>
        </w:tc>
        <w:tc>
          <w:tcPr>
            <w:tcW w:w="1384" w:type="dxa"/>
            <w:tcBorders>
              <w:top w:val="nil"/>
              <w:left w:val="nil"/>
              <w:bottom w:val="nil"/>
              <w:right w:val="nil"/>
            </w:tcBorders>
            <w:shd w:val="clear" w:color="auto" w:fill="auto"/>
            <w:noWrap/>
            <w:vAlign w:val="bottom"/>
            <w:hideMark/>
          </w:tcPr>
          <w:p w14:paraId="0AC38FEA" w14:textId="64DACEA1"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(60,000)</w:t>
            </w:r>
          </w:p>
        </w:tc>
        <w:tc>
          <w:tcPr>
            <w:tcW w:w="1416" w:type="dxa"/>
            <w:tcBorders>
              <w:top w:val="nil"/>
              <w:left w:val="nil"/>
              <w:bottom w:val="nil"/>
              <w:right w:val="nil"/>
            </w:tcBorders>
            <w:shd w:val="clear" w:color="auto" w:fill="auto"/>
            <w:noWrap/>
            <w:vAlign w:val="bottom"/>
            <w:hideMark/>
          </w:tcPr>
          <w:p w14:paraId="0B74B5EA" w14:textId="6104727F"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(60,000)</w:t>
            </w:r>
          </w:p>
        </w:tc>
      </w:tr>
      <w:tr w:rsidR="00630F23" w:rsidRPr="00630F23" w14:paraId="2A05F01D" w14:textId="77777777" w:rsidTr="00630F23">
        <w:trPr>
          <w:trHeight w:val="276"/>
          <w:jc w:val="center"/>
        </w:trPr>
        <w:tc>
          <w:tcPr>
            <w:tcW w:w="3496" w:type="dxa"/>
            <w:tcBorders>
              <w:top w:val="single" w:sz="4" w:space="0" w:color="auto"/>
              <w:left w:val="nil"/>
              <w:bottom w:val="single" w:sz="4" w:space="0" w:color="auto"/>
              <w:right w:val="nil"/>
            </w:tcBorders>
            <w:shd w:val="clear" w:color="auto" w:fill="auto"/>
            <w:noWrap/>
            <w:vAlign w:val="bottom"/>
            <w:hideMark/>
          </w:tcPr>
          <w:p w14:paraId="45AC7987" w14:textId="77777777" w:rsidR="00630F23" w:rsidRPr="00630F23" w:rsidRDefault="00630F23" w:rsidP="00630F23">
            <w:pPr>
              <w:rPr>
                <w:rFonts w:ascii="Calibri" w:hAnsi="Calibri" w:cs="Calibri"/>
                <w:color w:val="000000"/>
                <w:szCs w:val="20"/>
                <w:lang w:val="en-CA" w:eastAsia="en-CA"/>
              </w:rPr>
            </w:pPr>
            <w:r w:rsidRPr="00630F23">
              <w:rPr>
                <w:rFonts w:ascii="Calibri" w:hAnsi="Calibri" w:cs="Calibri"/>
                <w:color w:val="000000"/>
                <w:szCs w:val="20"/>
                <w:lang w:val="en-CA" w:eastAsia="en-CA"/>
              </w:rPr>
              <w:t>Balance, June 30, 2023</w:t>
            </w:r>
          </w:p>
        </w:tc>
        <w:tc>
          <w:tcPr>
            <w:tcW w:w="1444" w:type="dxa"/>
            <w:tcBorders>
              <w:top w:val="single" w:sz="4" w:space="0" w:color="auto"/>
              <w:left w:val="nil"/>
              <w:bottom w:val="single" w:sz="4" w:space="0" w:color="auto"/>
              <w:right w:val="nil"/>
            </w:tcBorders>
            <w:shd w:val="clear" w:color="auto" w:fill="auto"/>
            <w:noWrap/>
            <w:vAlign w:val="bottom"/>
            <w:hideMark/>
          </w:tcPr>
          <w:p w14:paraId="04BF1CC5" w14:textId="28591DF9"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$ 856,112 </w:t>
            </w:r>
          </w:p>
        </w:tc>
        <w:tc>
          <w:tcPr>
            <w:tcW w:w="1384" w:type="dxa"/>
            <w:tcBorders>
              <w:top w:val="single" w:sz="4" w:space="0" w:color="auto"/>
              <w:left w:val="nil"/>
              <w:bottom w:val="single" w:sz="4" w:space="0" w:color="auto"/>
              <w:right w:val="nil"/>
            </w:tcBorders>
            <w:shd w:val="clear" w:color="auto" w:fill="auto"/>
            <w:noWrap/>
            <w:vAlign w:val="bottom"/>
            <w:hideMark/>
          </w:tcPr>
          <w:p w14:paraId="32BF542F" w14:textId="669F92DC"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$ 13,973 </w:t>
            </w:r>
          </w:p>
        </w:tc>
        <w:tc>
          <w:tcPr>
            <w:tcW w:w="1416" w:type="dxa"/>
            <w:tcBorders>
              <w:top w:val="single" w:sz="4" w:space="0" w:color="auto"/>
              <w:left w:val="nil"/>
              <w:bottom w:val="single" w:sz="4" w:space="0" w:color="auto"/>
              <w:right w:val="nil"/>
            </w:tcBorders>
            <w:shd w:val="clear" w:color="auto" w:fill="auto"/>
            <w:noWrap/>
            <w:vAlign w:val="bottom"/>
            <w:hideMark/>
          </w:tcPr>
          <w:p w14:paraId="710D65C3" w14:textId="77777777"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 $        870,085 </w:t>
            </w:r>
          </w:p>
        </w:tc>
      </w:tr>
      <w:tr w:rsidR="00630F23" w:rsidRPr="00630F23" w14:paraId="638DC07B" w14:textId="77777777" w:rsidTr="00642A4A">
        <w:trPr>
          <w:trHeight w:val="288"/>
          <w:jc w:val="center"/>
        </w:trPr>
        <w:tc>
          <w:tcPr>
            <w:tcW w:w="3496" w:type="dxa"/>
            <w:tcBorders>
              <w:top w:val="nil"/>
              <w:left w:val="nil"/>
              <w:bottom w:val="single" w:sz="8" w:space="0" w:color="auto"/>
              <w:right w:val="nil"/>
            </w:tcBorders>
            <w:shd w:val="clear" w:color="auto" w:fill="auto"/>
            <w:noWrap/>
            <w:vAlign w:val="bottom"/>
            <w:hideMark/>
          </w:tcPr>
          <w:p w14:paraId="40D94F31" w14:textId="77777777" w:rsidR="00630F23" w:rsidRPr="00630F23" w:rsidRDefault="00630F23" w:rsidP="00630F23">
            <w:pPr>
              <w:rPr>
                <w:rFonts w:ascii="Calibri" w:hAnsi="Calibri" w:cs="Calibri"/>
                <w:color w:val="000000"/>
                <w:szCs w:val="20"/>
                <w:lang w:val="en-CA" w:eastAsia="en-CA"/>
              </w:rPr>
            </w:pPr>
            <w:r w:rsidRPr="00630F23">
              <w:rPr>
                <w:rFonts w:ascii="Calibri" w:hAnsi="Calibri" w:cs="Calibri"/>
                <w:color w:val="000000"/>
                <w:szCs w:val="20"/>
                <w:lang w:val="en-CA" w:eastAsia="en-CA"/>
              </w:rPr>
              <w:t>Interest Expense</w:t>
            </w:r>
          </w:p>
        </w:tc>
        <w:tc>
          <w:tcPr>
            <w:tcW w:w="1444" w:type="dxa"/>
            <w:tcBorders>
              <w:top w:val="nil"/>
              <w:left w:val="nil"/>
              <w:bottom w:val="single" w:sz="8" w:space="0" w:color="auto"/>
              <w:right w:val="nil"/>
            </w:tcBorders>
            <w:shd w:val="clear" w:color="auto" w:fill="auto"/>
            <w:noWrap/>
            <w:vAlign w:val="bottom"/>
            <w:hideMark/>
          </w:tcPr>
          <w:p w14:paraId="6BBFEFA7" w14:textId="02A95605"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38,464 </w:t>
            </w:r>
          </w:p>
        </w:tc>
        <w:tc>
          <w:tcPr>
            <w:tcW w:w="1384" w:type="dxa"/>
            <w:tcBorders>
              <w:top w:val="nil"/>
              <w:left w:val="nil"/>
              <w:bottom w:val="single" w:sz="8" w:space="0" w:color="auto"/>
              <w:right w:val="nil"/>
            </w:tcBorders>
            <w:shd w:val="clear" w:color="auto" w:fill="auto"/>
            <w:noWrap/>
            <w:vAlign w:val="bottom"/>
            <w:hideMark/>
          </w:tcPr>
          <w:p w14:paraId="3D59C63D" w14:textId="72EF6FC3"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90,357 </w:t>
            </w:r>
          </w:p>
        </w:tc>
        <w:tc>
          <w:tcPr>
            <w:tcW w:w="1416" w:type="dxa"/>
            <w:tcBorders>
              <w:top w:val="nil"/>
              <w:left w:val="nil"/>
              <w:bottom w:val="single" w:sz="8" w:space="0" w:color="auto"/>
              <w:right w:val="nil"/>
            </w:tcBorders>
            <w:shd w:val="clear" w:color="auto" w:fill="auto"/>
            <w:noWrap/>
            <w:vAlign w:val="bottom"/>
            <w:hideMark/>
          </w:tcPr>
          <w:p w14:paraId="3816F3A5" w14:textId="210C60EF" w:rsidR="00630F23" w:rsidRPr="00630F23" w:rsidRDefault="00630F23" w:rsidP="001877CE">
            <w:pPr>
              <w:jc w:val="right"/>
              <w:rPr>
                <w:rFonts w:ascii="Calibri" w:hAnsi="Calibri" w:cs="Calibri"/>
                <w:color w:val="000000"/>
                <w:szCs w:val="20"/>
                <w:lang w:val="en-CA" w:eastAsia="en-CA"/>
              </w:rPr>
            </w:pPr>
            <w:r w:rsidRPr="00630F23">
              <w:rPr>
                <w:rFonts w:ascii="Calibri" w:hAnsi="Calibri" w:cs="Calibri"/>
                <w:color w:val="000000"/>
                <w:szCs w:val="20"/>
                <w:lang w:val="en-CA" w:eastAsia="en-CA"/>
              </w:rPr>
              <w:t xml:space="preserve">128,821 </w:t>
            </w:r>
          </w:p>
        </w:tc>
      </w:tr>
      <w:tr w:rsidR="00630F23" w:rsidRPr="00630F23" w14:paraId="6C14A3FF" w14:textId="77777777" w:rsidTr="00642A4A">
        <w:trPr>
          <w:trHeight w:val="288"/>
          <w:jc w:val="center"/>
        </w:trPr>
        <w:tc>
          <w:tcPr>
            <w:tcW w:w="3496" w:type="dxa"/>
            <w:tcBorders>
              <w:top w:val="single" w:sz="8" w:space="0" w:color="auto"/>
              <w:left w:val="nil"/>
              <w:bottom w:val="single" w:sz="12" w:space="0" w:color="auto"/>
              <w:right w:val="nil"/>
            </w:tcBorders>
            <w:shd w:val="clear" w:color="auto" w:fill="auto"/>
            <w:noWrap/>
            <w:vAlign w:val="bottom"/>
            <w:hideMark/>
          </w:tcPr>
          <w:p w14:paraId="501E09B9" w14:textId="77777777" w:rsidR="00630F23" w:rsidRPr="00630F23" w:rsidRDefault="00630F23" w:rsidP="00630F23">
            <w:pPr>
              <w:rPr>
                <w:rFonts w:ascii="Calibri" w:hAnsi="Calibri" w:cs="Calibri"/>
                <w:b/>
                <w:bCs/>
                <w:color w:val="000000"/>
                <w:szCs w:val="20"/>
                <w:lang w:val="en-CA" w:eastAsia="en-CA"/>
              </w:rPr>
            </w:pPr>
            <w:r w:rsidRPr="00630F23">
              <w:rPr>
                <w:rFonts w:ascii="Calibri" w:hAnsi="Calibri" w:cs="Calibri"/>
                <w:b/>
                <w:bCs/>
                <w:color w:val="000000"/>
                <w:szCs w:val="20"/>
                <w:lang w:val="en-CA" w:eastAsia="en-CA"/>
              </w:rPr>
              <w:t>Balance, March 31, 2024</w:t>
            </w:r>
          </w:p>
        </w:tc>
        <w:tc>
          <w:tcPr>
            <w:tcW w:w="1444" w:type="dxa"/>
            <w:tcBorders>
              <w:top w:val="single" w:sz="8" w:space="0" w:color="auto"/>
              <w:left w:val="nil"/>
              <w:bottom w:val="single" w:sz="12" w:space="0" w:color="auto"/>
              <w:right w:val="nil"/>
            </w:tcBorders>
            <w:shd w:val="clear" w:color="auto" w:fill="auto"/>
            <w:noWrap/>
            <w:vAlign w:val="bottom"/>
            <w:hideMark/>
          </w:tcPr>
          <w:p w14:paraId="2B67CC49" w14:textId="35CB01D7" w:rsidR="00630F23" w:rsidRPr="00630F23" w:rsidRDefault="00630F23" w:rsidP="001877CE">
            <w:pPr>
              <w:jc w:val="right"/>
              <w:rPr>
                <w:rFonts w:ascii="Calibri" w:hAnsi="Calibri" w:cs="Calibri"/>
                <w:b/>
                <w:bCs/>
                <w:color w:val="000000"/>
                <w:szCs w:val="20"/>
                <w:lang w:val="en-CA" w:eastAsia="en-CA"/>
              </w:rPr>
            </w:pPr>
            <w:r w:rsidRPr="00630F23">
              <w:rPr>
                <w:rFonts w:ascii="Calibri" w:hAnsi="Calibri" w:cs="Calibri"/>
                <w:b/>
                <w:bCs/>
                <w:color w:val="000000"/>
                <w:szCs w:val="20"/>
                <w:lang w:val="en-CA" w:eastAsia="en-CA"/>
              </w:rPr>
              <w:t xml:space="preserve"> $ 894,576 </w:t>
            </w:r>
          </w:p>
        </w:tc>
        <w:tc>
          <w:tcPr>
            <w:tcW w:w="1384" w:type="dxa"/>
            <w:tcBorders>
              <w:top w:val="single" w:sz="8" w:space="0" w:color="auto"/>
              <w:left w:val="nil"/>
              <w:bottom w:val="single" w:sz="12" w:space="0" w:color="auto"/>
              <w:right w:val="nil"/>
            </w:tcBorders>
            <w:shd w:val="clear" w:color="auto" w:fill="auto"/>
            <w:noWrap/>
            <w:vAlign w:val="bottom"/>
            <w:hideMark/>
          </w:tcPr>
          <w:p w14:paraId="4814CA56" w14:textId="0E59569C" w:rsidR="00630F23" w:rsidRPr="00630F23" w:rsidRDefault="00630F23" w:rsidP="001877CE">
            <w:pPr>
              <w:jc w:val="right"/>
              <w:rPr>
                <w:rFonts w:ascii="Calibri" w:hAnsi="Calibri" w:cs="Calibri"/>
                <w:b/>
                <w:bCs/>
                <w:color w:val="000000"/>
                <w:szCs w:val="20"/>
                <w:lang w:val="en-CA" w:eastAsia="en-CA"/>
              </w:rPr>
            </w:pPr>
            <w:r w:rsidRPr="00630F23">
              <w:rPr>
                <w:rFonts w:ascii="Calibri" w:hAnsi="Calibri" w:cs="Calibri"/>
                <w:b/>
                <w:bCs/>
                <w:color w:val="000000"/>
                <w:szCs w:val="20"/>
                <w:lang w:val="en-CA" w:eastAsia="en-CA"/>
              </w:rPr>
              <w:t xml:space="preserve"> $</w:t>
            </w:r>
            <w:r w:rsidR="001877CE">
              <w:rPr>
                <w:rFonts w:ascii="Calibri" w:hAnsi="Calibri" w:cs="Calibri"/>
                <w:b/>
                <w:bCs/>
                <w:color w:val="000000"/>
                <w:szCs w:val="20"/>
                <w:lang w:val="en-CA" w:eastAsia="en-CA"/>
              </w:rPr>
              <w:t xml:space="preserve"> </w:t>
            </w:r>
            <w:r w:rsidRPr="00630F23">
              <w:rPr>
                <w:rFonts w:ascii="Calibri" w:hAnsi="Calibri" w:cs="Calibri"/>
                <w:b/>
                <w:bCs/>
                <w:color w:val="000000"/>
                <w:szCs w:val="20"/>
                <w:lang w:val="en-CA" w:eastAsia="en-CA"/>
              </w:rPr>
              <w:t xml:space="preserve">104,330 </w:t>
            </w:r>
          </w:p>
        </w:tc>
        <w:tc>
          <w:tcPr>
            <w:tcW w:w="1416" w:type="dxa"/>
            <w:tcBorders>
              <w:top w:val="single" w:sz="8" w:space="0" w:color="auto"/>
              <w:left w:val="nil"/>
              <w:bottom w:val="single" w:sz="12" w:space="0" w:color="auto"/>
              <w:right w:val="nil"/>
            </w:tcBorders>
            <w:shd w:val="clear" w:color="auto" w:fill="auto"/>
            <w:noWrap/>
            <w:vAlign w:val="bottom"/>
            <w:hideMark/>
          </w:tcPr>
          <w:p w14:paraId="60A31976" w14:textId="024EB898" w:rsidR="00630F23" w:rsidRPr="00630F23" w:rsidRDefault="00630F23" w:rsidP="001877CE">
            <w:pPr>
              <w:jc w:val="right"/>
              <w:rPr>
                <w:rFonts w:ascii="Calibri" w:hAnsi="Calibri" w:cs="Calibri"/>
                <w:b/>
                <w:bCs/>
                <w:color w:val="000000"/>
                <w:szCs w:val="20"/>
                <w:lang w:val="en-CA" w:eastAsia="en-CA"/>
              </w:rPr>
            </w:pPr>
            <w:r w:rsidRPr="00630F23">
              <w:rPr>
                <w:rFonts w:ascii="Calibri" w:hAnsi="Calibri" w:cs="Calibri"/>
                <w:b/>
                <w:bCs/>
                <w:color w:val="000000"/>
                <w:szCs w:val="20"/>
                <w:lang w:val="en-CA" w:eastAsia="en-CA"/>
              </w:rPr>
              <w:t xml:space="preserve"> $ 998,906 </w:t>
            </w:r>
          </w:p>
        </w:tc>
      </w:tr>
    </w:tbl>
    <w:p w14:paraId="1E39A009" w14:textId="2A3F03EB" w:rsidR="00E85B45" w:rsidRPr="00FC2211" w:rsidRDefault="00E85B45" w:rsidP="00E85B45">
      <w:pPr>
        <w:pStyle w:val="Heading1"/>
        <w:rPr>
          <w:rFonts w:cstheme="minorHAnsi"/>
          <w:szCs w:val="20"/>
        </w:rPr>
      </w:pPr>
      <w:bookmarkStart w:id="4" w:name="_Hlk164683045"/>
      <w:r w:rsidRPr="00FC2211">
        <w:rPr>
          <w:rFonts w:cstheme="minorHAnsi"/>
          <w:szCs w:val="20"/>
        </w:rPr>
        <w:lastRenderedPageBreak/>
        <w:t>1</w:t>
      </w:r>
      <w:r>
        <w:rPr>
          <w:rFonts w:cstheme="minorHAnsi"/>
          <w:szCs w:val="20"/>
        </w:rPr>
        <w:t>3</w:t>
      </w:r>
      <w:r w:rsidRPr="00FC2211">
        <w:rPr>
          <w:rFonts w:cstheme="minorHAnsi"/>
          <w:szCs w:val="20"/>
        </w:rPr>
        <w:t xml:space="preserve">.   </w:t>
      </w:r>
      <w:r w:rsidR="00444205">
        <w:rPr>
          <w:rFonts w:cstheme="minorHAnsi"/>
          <w:szCs w:val="20"/>
        </w:rPr>
        <w:t>LONG TERM DEBT</w:t>
      </w:r>
    </w:p>
    <w:bookmarkEnd w:id="4"/>
    <w:p w14:paraId="23BD3716" w14:textId="77777777" w:rsidR="00E85B45" w:rsidRPr="00FC2211" w:rsidRDefault="00E85B45" w:rsidP="00E85B45"/>
    <w:p w14:paraId="02714183" w14:textId="77777777" w:rsidR="00444205" w:rsidRPr="00987262" w:rsidRDefault="00444205" w:rsidP="00444205">
      <w:pPr>
        <w:ind w:left="426" w:firstLine="6"/>
        <w:jc w:val="both"/>
        <w:rPr>
          <w:rFonts w:cstheme="minorBidi"/>
          <w:lang w:val="en-GB"/>
        </w:rPr>
      </w:pPr>
      <w:r w:rsidRPr="00987262">
        <w:rPr>
          <w:rFonts w:cstheme="minorBidi"/>
          <w:lang w:val="en-GB"/>
        </w:rPr>
        <w:t xml:space="preserve">On January 11, 2024, the Company announced an offering of a non-brokered private placement of unsecured convertible debentures in the aggregate principal amount of up to $700,000. Each Debenture will be convertible into common shares in the capital of the Company (each, a “Share”) at a conversion price of $0.085 per Share for the first year from the date of issuance and thereafter at an adjusted conversion price of $0.10 per Share until the date which is three (3) years from the date of issuance (the “Maturity Date”) and bears interest at the rate of 12.0% per annum for a period expiring on the Maturity Date. </w:t>
      </w:r>
    </w:p>
    <w:p w14:paraId="25D6F8DB" w14:textId="77777777" w:rsidR="00B15C10" w:rsidRDefault="00B15C10" w:rsidP="00B15C10">
      <w:pPr>
        <w:ind w:left="426" w:firstLine="6"/>
        <w:jc w:val="both"/>
        <w:rPr>
          <w:rFonts w:cstheme="minorBidi"/>
          <w:lang w:val="en-GB"/>
        </w:rPr>
      </w:pPr>
    </w:p>
    <w:p w14:paraId="4315A820" w14:textId="77777777" w:rsidR="00B15C10" w:rsidRPr="00987262" w:rsidRDefault="00B15C10" w:rsidP="00B15C10">
      <w:pPr>
        <w:ind w:left="426" w:firstLine="6"/>
        <w:jc w:val="both"/>
        <w:rPr>
          <w:rFonts w:cstheme="minorBidi"/>
          <w:lang w:val="en-GB"/>
        </w:rPr>
      </w:pPr>
      <w:r w:rsidRPr="00987262">
        <w:rPr>
          <w:rFonts w:cstheme="minorBidi"/>
          <w:lang w:val="en-GB"/>
        </w:rPr>
        <w:t xml:space="preserve">Upon a change of control, the Company may also redeem the principal amount and any unpaid interest of the Debentures in cash, without penalty, at any time </w:t>
      </w:r>
      <w:r>
        <w:rPr>
          <w:rFonts w:cstheme="minorBidi"/>
          <w:lang w:val="en-GB"/>
        </w:rPr>
        <w:t>before</w:t>
      </w:r>
      <w:r w:rsidRPr="00987262">
        <w:rPr>
          <w:rFonts w:cstheme="minorBidi"/>
          <w:lang w:val="en-GB"/>
        </w:rPr>
        <w:t xml:space="preserve"> the Maturity Date by providing a ten (10) day notice period to the debenture holder by way of a written notice.</w:t>
      </w:r>
    </w:p>
    <w:p w14:paraId="4DEAF4EA" w14:textId="77777777" w:rsidR="00444205" w:rsidRPr="00987262" w:rsidRDefault="00444205" w:rsidP="00444205">
      <w:pPr>
        <w:ind w:left="426" w:firstLine="6"/>
        <w:jc w:val="both"/>
        <w:rPr>
          <w:rFonts w:cstheme="minorBidi"/>
          <w:lang w:val="en-GB"/>
        </w:rPr>
      </w:pPr>
    </w:p>
    <w:p w14:paraId="775F2F27" w14:textId="1CD564FF" w:rsidR="00444205" w:rsidRDefault="00444205" w:rsidP="00B15C10">
      <w:pPr>
        <w:ind w:left="426" w:firstLine="6"/>
        <w:jc w:val="both"/>
        <w:rPr>
          <w:rFonts w:cstheme="minorBidi"/>
          <w:lang w:val="en-GB"/>
        </w:rPr>
      </w:pPr>
      <w:r w:rsidRPr="00987262">
        <w:rPr>
          <w:rFonts w:cstheme="minorBidi"/>
          <w:lang w:val="en-GB"/>
        </w:rPr>
        <w:t xml:space="preserve">In connection with the Offering, the Company </w:t>
      </w:r>
      <w:r w:rsidR="00C1737B">
        <w:rPr>
          <w:rFonts w:cstheme="minorBidi"/>
          <w:lang w:val="en-GB"/>
        </w:rPr>
        <w:t>paid</w:t>
      </w:r>
      <w:r w:rsidRPr="00987262">
        <w:rPr>
          <w:rFonts w:cstheme="minorBidi"/>
          <w:lang w:val="en-GB"/>
        </w:rPr>
        <w:t xml:space="preserve"> finders’ fees to certain eligible finders, as permitted by the policies of the TSX Venture Exchange (the “Exchange”).</w:t>
      </w:r>
      <w:r w:rsidR="00B15C10">
        <w:rPr>
          <w:rFonts w:cstheme="minorBidi"/>
          <w:lang w:val="en-GB"/>
        </w:rPr>
        <w:t xml:space="preserve"> </w:t>
      </w:r>
      <w:r w:rsidRPr="00987262">
        <w:rPr>
          <w:rFonts w:cstheme="minorBidi"/>
          <w:lang w:val="en-GB"/>
        </w:rPr>
        <w:t xml:space="preserve">The Shares issuable upon the conversion of the Debentures will be subject to a statutory hold period of four (4) months plus a day from the date of issuance in accordance with applicable securities legislation. </w:t>
      </w:r>
    </w:p>
    <w:p w14:paraId="19A0E4DB" w14:textId="77777777" w:rsidR="00444205" w:rsidRDefault="00444205" w:rsidP="00444205">
      <w:pPr>
        <w:jc w:val="both"/>
        <w:rPr>
          <w:rFonts w:cstheme="minorBidi"/>
          <w:lang w:val="en-GB"/>
        </w:rPr>
      </w:pPr>
    </w:p>
    <w:p w14:paraId="4C78586F" w14:textId="7202F0CD" w:rsidR="00444205" w:rsidRDefault="00C11C50" w:rsidP="00444205">
      <w:pPr>
        <w:ind w:left="426" w:firstLine="6"/>
        <w:jc w:val="both"/>
        <w:rPr>
          <w:rFonts w:cstheme="minorBidi"/>
          <w:lang w:val="en-GB"/>
        </w:rPr>
      </w:pPr>
      <w:r w:rsidRPr="00267C58">
        <w:rPr>
          <w:rFonts w:cstheme="minorBidi"/>
          <w:lang w:val="en-GB"/>
        </w:rPr>
        <w:t>On January 31, 2024</w:t>
      </w:r>
      <w:r w:rsidR="005F7FCC" w:rsidRPr="00267C58">
        <w:rPr>
          <w:rFonts w:cstheme="minorBidi"/>
          <w:lang w:val="en-GB"/>
        </w:rPr>
        <w:t>, the Company issued $510,000 convertible debentures</w:t>
      </w:r>
      <w:r w:rsidR="00400F42" w:rsidRPr="00267C58">
        <w:rPr>
          <w:rFonts w:cstheme="minorBidi"/>
          <w:lang w:val="en-GB"/>
        </w:rPr>
        <w:t xml:space="preserve"> with net proceeds of $485,680</w:t>
      </w:r>
      <w:r w:rsidR="00444205" w:rsidRPr="00267C58">
        <w:rPr>
          <w:rFonts w:cstheme="minorBidi"/>
          <w:lang w:val="en-GB"/>
        </w:rPr>
        <w:t>.</w:t>
      </w:r>
      <w:r w:rsidR="002677A8" w:rsidRPr="00267C58">
        <w:rPr>
          <w:rFonts w:cstheme="minorBidi"/>
          <w:lang w:val="en-GB"/>
        </w:rPr>
        <w:t xml:space="preserve"> </w:t>
      </w:r>
      <w:r w:rsidR="003E445E" w:rsidRPr="00267C58">
        <w:rPr>
          <w:rFonts w:cstheme="minorBidi"/>
          <w:lang w:val="en-GB"/>
        </w:rPr>
        <w:t xml:space="preserve">The Company </w:t>
      </w:r>
      <w:r w:rsidR="007530AF" w:rsidRPr="00267C58">
        <w:rPr>
          <w:rFonts w:cstheme="minorBidi"/>
          <w:lang w:val="en-GB"/>
        </w:rPr>
        <w:t>incurred $24,320</w:t>
      </w:r>
      <w:r w:rsidR="007F7EF4" w:rsidRPr="00267C58">
        <w:rPr>
          <w:rFonts w:cstheme="minorBidi"/>
          <w:lang w:val="en-GB"/>
        </w:rPr>
        <w:t xml:space="preserve"> on finder’s fee and </w:t>
      </w:r>
      <w:r w:rsidR="00F017A5" w:rsidRPr="00267C58">
        <w:rPr>
          <w:rFonts w:cstheme="minorBidi"/>
          <w:lang w:val="en-GB"/>
        </w:rPr>
        <w:t xml:space="preserve">issued </w:t>
      </w:r>
      <w:r w:rsidR="0088514C" w:rsidRPr="00267C58">
        <w:rPr>
          <w:rFonts w:cstheme="minorBidi"/>
          <w:lang w:val="en-GB"/>
        </w:rPr>
        <w:t>286,116 share warrants</w:t>
      </w:r>
      <w:r w:rsidR="005A10D1" w:rsidRPr="00267C58">
        <w:rPr>
          <w:rFonts w:cstheme="minorBidi"/>
          <w:lang w:val="en-GB"/>
        </w:rPr>
        <w:t xml:space="preserve">. </w:t>
      </w:r>
      <w:r w:rsidR="00D74989" w:rsidRPr="00267C58">
        <w:rPr>
          <w:rFonts w:cstheme="minorBidi"/>
          <w:lang w:val="en-GB"/>
        </w:rPr>
        <w:t xml:space="preserve">The warrants were valued </w:t>
      </w:r>
      <w:r w:rsidR="000D0B81">
        <w:rPr>
          <w:rFonts w:cstheme="minorBidi"/>
          <w:lang w:val="en-GB"/>
        </w:rPr>
        <w:t xml:space="preserve">$13,713 </w:t>
      </w:r>
      <w:r w:rsidR="00D74989" w:rsidRPr="00267C58">
        <w:rPr>
          <w:rFonts w:cstheme="minorBidi"/>
          <w:lang w:val="en-GB"/>
        </w:rPr>
        <w:t xml:space="preserve">using the Black Scholes option pricing model with the following assumptions: volatility rate of </w:t>
      </w:r>
      <w:r w:rsidR="00722F20" w:rsidRPr="00267C58">
        <w:rPr>
          <w:rFonts w:cstheme="minorBidi"/>
          <w:lang w:val="en-GB"/>
        </w:rPr>
        <w:t>106.0</w:t>
      </w:r>
      <w:r w:rsidR="00D74989" w:rsidRPr="00267C58">
        <w:rPr>
          <w:rFonts w:cstheme="minorBidi"/>
          <w:lang w:val="en-GB"/>
        </w:rPr>
        <w:t>%, risk-free rate of 3.</w:t>
      </w:r>
      <w:r w:rsidR="00722F20" w:rsidRPr="00267C58">
        <w:rPr>
          <w:rFonts w:cstheme="minorBidi"/>
          <w:lang w:val="en-GB"/>
        </w:rPr>
        <w:t>77</w:t>
      </w:r>
      <w:r w:rsidR="00D74989" w:rsidRPr="00267C58">
        <w:rPr>
          <w:rFonts w:cstheme="minorBidi"/>
          <w:lang w:val="en-GB"/>
        </w:rPr>
        <w:t>%, weighted average life of 3 years. Each warrant entitles the holder to purchase one common share at a price of $0.</w:t>
      </w:r>
      <w:r w:rsidR="002B0746" w:rsidRPr="00267C58">
        <w:rPr>
          <w:rFonts w:cstheme="minorBidi"/>
          <w:lang w:val="en-GB"/>
        </w:rPr>
        <w:t>085</w:t>
      </w:r>
      <w:r w:rsidR="00D74989" w:rsidRPr="00267C58">
        <w:rPr>
          <w:rFonts w:cstheme="minorBidi"/>
          <w:lang w:val="en-GB"/>
        </w:rPr>
        <w:t xml:space="preserve"> per share for a period of three years.</w:t>
      </w:r>
      <w:r w:rsidR="00444205" w:rsidRPr="00267C58">
        <w:rPr>
          <w:rFonts w:cstheme="minorBidi"/>
          <w:lang w:val="en-GB"/>
        </w:rPr>
        <w:t xml:space="preserve"> </w:t>
      </w:r>
    </w:p>
    <w:p w14:paraId="3FC474D5" w14:textId="6CEC4972" w:rsidR="002B0746" w:rsidRPr="00267C58" w:rsidRDefault="002B0746" w:rsidP="00444205">
      <w:pPr>
        <w:ind w:left="426" w:firstLine="6"/>
        <w:jc w:val="both"/>
        <w:rPr>
          <w:rFonts w:cstheme="minorBidi"/>
          <w:lang w:val="en-GB"/>
        </w:rPr>
      </w:pPr>
    </w:p>
    <w:p w14:paraId="7D90535C" w14:textId="56242B1C" w:rsidR="002B0746" w:rsidRDefault="002B0746" w:rsidP="00157B9C">
      <w:pPr>
        <w:tabs>
          <w:tab w:val="left" w:pos="426"/>
        </w:tabs>
        <w:ind w:left="426" w:firstLine="6"/>
        <w:jc w:val="both"/>
        <w:rPr>
          <w:rFonts w:cstheme="minorBidi"/>
          <w:lang w:val="en-GB"/>
        </w:rPr>
      </w:pPr>
      <w:r w:rsidRPr="00267C58">
        <w:rPr>
          <w:rFonts w:cstheme="minorBidi"/>
          <w:lang w:val="en-GB"/>
        </w:rPr>
        <w:t xml:space="preserve">On </w:t>
      </w:r>
      <w:r w:rsidR="00584BA1" w:rsidRPr="00267C58">
        <w:rPr>
          <w:rFonts w:cstheme="minorBidi"/>
          <w:lang w:val="en-GB"/>
        </w:rPr>
        <w:t>February 16</w:t>
      </w:r>
      <w:r w:rsidRPr="00267C58">
        <w:rPr>
          <w:rFonts w:cstheme="minorBidi"/>
          <w:lang w:val="en-GB"/>
        </w:rPr>
        <w:t>, 2024, the Company issued $</w:t>
      </w:r>
      <w:r w:rsidR="00C76A85" w:rsidRPr="00267C58">
        <w:rPr>
          <w:rFonts w:cstheme="minorBidi"/>
          <w:lang w:val="en-GB"/>
        </w:rPr>
        <w:t>60</w:t>
      </w:r>
      <w:r w:rsidRPr="00267C58">
        <w:rPr>
          <w:rFonts w:cstheme="minorBidi"/>
          <w:lang w:val="en-GB"/>
        </w:rPr>
        <w:t>,000 convertible debentures with net proceeds of $</w:t>
      </w:r>
      <w:r w:rsidR="00C76A85" w:rsidRPr="00267C58">
        <w:rPr>
          <w:rFonts w:cstheme="minorBidi"/>
          <w:lang w:val="en-GB"/>
        </w:rPr>
        <w:t>55,200</w:t>
      </w:r>
      <w:r w:rsidRPr="00267C58">
        <w:rPr>
          <w:rFonts w:cstheme="minorBidi"/>
          <w:lang w:val="en-GB"/>
        </w:rPr>
        <w:t>. The Company incurred $</w:t>
      </w:r>
      <w:r w:rsidR="00C76A85" w:rsidRPr="00267C58">
        <w:rPr>
          <w:rFonts w:cstheme="minorBidi"/>
          <w:lang w:val="en-GB"/>
        </w:rPr>
        <w:t>4,800</w:t>
      </w:r>
      <w:r w:rsidRPr="00267C58">
        <w:rPr>
          <w:rFonts w:cstheme="minorBidi"/>
          <w:lang w:val="en-GB"/>
        </w:rPr>
        <w:t xml:space="preserve"> on finder’s fee and issued </w:t>
      </w:r>
      <w:r w:rsidR="00F85B65" w:rsidRPr="00267C58">
        <w:rPr>
          <w:rFonts w:cstheme="minorBidi"/>
          <w:lang w:val="en-GB"/>
        </w:rPr>
        <w:t>56,470</w:t>
      </w:r>
      <w:r w:rsidRPr="00267C58">
        <w:rPr>
          <w:rFonts w:cstheme="minorBidi"/>
          <w:lang w:val="en-GB"/>
        </w:rPr>
        <w:t xml:space="preserve"> share warrants. The warrants were valued </w:t>
      </w:r>
      <w:r w:rsidR="009955D8">
        <w:rPr>
          <w:rFonts w:cstheme="minorBidi"/>
          <w:lang w:val="en-GB"/>
        </w:rPr>
        <w:t xml:space="preserve">$2,946 </w:t>
      </w:r>
      <w:r w:rsidRPr="00267C58">
        <w:rPr>
          <w:rFonts w:cstheme="minorBidi"/>
          <w:lang w:val="en-GB"/>
        </w:rPr>
        <w:t>using the Black Scholes option pricing model with the following assumptions: volatility</w:t>
      </w:r>
      <w:r w:rsidRPr="00D74989">
        <w:rPr>
          <w:rFonts w:cstheme="minorBidi"/>
          <w:lang w:val="en-GB"/>
        </w:rPr>
        <w:t xml:space="preserve"> rate of </w:t>
      </w:r>
      <w:r>
        <w:rPr>
          <w:rFonts w:cstheme="minorBidi"/>
          <w:lang w:val="en-GB"/>
        </w:rPr>
        <w:t>106.0</w:t>
      </w:r>
      <w:r w:rsidRPr="00D74989">
        <w:rPr>
          <w:rFonts w:cstheme="minorBidi"/>
          <w:lang w:val="en-GB"/>
        </w:rPr>
        <w:t xml:space="preserve">%, risk-free rate of </w:t>
      </w:r>
      <w:r w:rsidR="00F85B65">
        <w:rPr>
          <w:rFonts w:cstheme="minorBidi"/>
          <w:lang w:val="en-GB"/>
        </w:rPr>
        <w:t>4</w:t>
      </w:r>
      <w:r w:rsidRPr="00D74989">
        <w:rPr>
          <w:rFonts w:cstheme="minorBidi"/>
          <w:lang w:val="en-GB"/>
        </w:rPr>
        <w:t>.</w:t>
      </w:r>
      <w:r w:rsidR="00F85B65">
        <w:rPr>
          <w:rFonts w:cstheme="minorBidi"/>
          <w:lang w:val="en-GB"/>
        </w:rPr>
        <w:t>05</w:t>
      </w:r>
      <w:r w:rsidRPr="00D74989">
        <w:rPr>
          <w:rFonts w:cstheme="minorBidi"/>
          <w:lang w:val="en-GB"/>
        </w:rPr>
        <w:t xml:space="preserve">%, weighted average life of 3 years. </w:t>
      </w:r>
      <w:r w:rsidR="007F4E30">
        <w:rPr>
          <w:rFonts w:cstheme="minorBidi"/>
          <w:lang w:val="en-GB"/>
        </w:rPr>
        <w:t>Each</w:t>
      </w:r>
      <w:r w:rsidRPr="00D74989">
        <w:rPr>
          <w:rFonts w:cstheme="minorBidi"/>
          <w:lang w:val="en-GB"/>
        </w:rPr>
        <w:t xml:space="preserve"> warrant entitles the holder to purchase one common share at a price of $0.</w:t>
      </w:r>
      <w:r>
        <w:rPr>
          <w:rFonts w:cstheme="minorBidi"/>
          <w:lang w:val="en-GB"/>
        </w:rPr>
        <w:t>085</w:t>
      </w:r>
      <w:r w:rsidRPr="00D74989">
        <w:rPr>
          <w:rFonts w:cstheme="minorBidi"/>
          <w:lang w:val="en-GB"/>
        </w:rPr>
        <w:t xml:space="preserve"> per share for a period of three years.</w:t>
      </w:r>
      <w:r>
        <w:rPr>
          <w:rFonts w:cstheme="minorBidi"/>
          <w:lang w:val="en-GB"/>
        </w:rPr>
        <w:t xml:space="preserve"> </w:t>
      </w:r>
    </w:p>
    <w:p w14:paraId="0BD20E6C" w14:textId="77777777" w:rsidR="00762D13" w:rsidRDefault="00762D13" w:rsidP="002B0746">
      <w:pPr>
        <w:ind w:left="426" w:firstLine="6"/>
        <w:jc w:val="both"/>
        <w:rPr>
          <w:rFonts w:cstheme="minorBidi"/>
          <w:lang w:val="en-GB"/>
        </w:rPr>
      </w:pPr>
    </w:p>
    <w:p w14:paraId="4D43FD2B" w14:textId="3C96B9EA" w:rsidR="00481A4A" w:rsidRDefault="00762D13" w:rsidP="00481A4A">
      <w:pPr>
        <w:pStyle w:val="NormalWeb"/>
        <w:ind w:left="357"/>
        <w:jc w:val="both"/>
        <w:rPr>
          <w:rFonts w:eastAsia="Calibri" w:cstheme="minorHAnsi"/>
          <w:szCs w:val="20"/>
        </w:rPr>
      </w:pPr>
      <w:r>
        <w:rPr>
          <w:rFonts w:cstheme="minorBidi"/>
          <w:lang w:val="en-GB"/>
        </w:rPr>
        <w:t xml:space="preserve">The </w:t>
      </w:r>
      <w:r w:rsidR="00147D42">
        <w:rPr>
          <w:rFonts w:cstheme="minorBidi"/>
          <w:lang w:val="en-GB"/>
        </w:rPr>
        <w:t xml:space="preserve">finder’s fee and share warrants </w:t>
      </w:r>
      <w:r w:rsidR="00414997">
        <w:rPr>
          <w:rFonts w:cstheme="minorBidi"/>
          <w:lang w:val="en-GB"/>
        </w:rPr>
        <w:t xml:space="preserve">issued </w:t>
      </w:r>
      <w:r w:rsidR="00147D42">
        <w:rPr>
          <w:rFonts w:cstheme="minorBidi"/>
          <w:lang w:val="en-GB"/>
        </w:rPr>
        <w:t xml:space="preserve">were considered part of the debt issuance cost </w:t>
      </w:r>
      <w:r w:rsidR="00983635" w:rsidRPr="00F878B4">
        <w:rPr>
          <w:rFonts w:eastAsia="Calibri" w:cstheme="minorHAnsi"/>
          <w:szCs w:val="20"/>
        </w:rPr>
        <w:t xml:space="preserve">resulting to a discount and amortized using the effective interest method over the credit term of three (3) years with an effective annual interest rate of </w:t>
      </w:r>
      <w:r w:rsidR="007211AD">
        <w:rPr>
          <w:rFonts w:eastAsia="Calibri" w:cstheme="minorHAnsi"/>
          <w:szCs w:val="20"/>
        </w:rPr>
        <w:t>17</w:t>
      </w:r>
      <w:r w:rsidR="00983635" w:rsidRPr="00F878B4">
        <w:rPr>
          <w:rFonts w:eastAsia="Calibri" w:cstheme="minorHAnsi"/>
          <w:szCs w:val="20"/>
        </w:rPr>
        <w:t>%.</w:t>
      </w:r>
      <w:r w:rsidR="00481A4A">
        <w:rPr>
          <w:rFonts w:eastAsia="Calibri" w:cstheme="minorHAnsi"/>
          <w:szCs w:val="20"/>
        </w:rPr>
        <w:t xml:space="preserve"> </w:t>
      </w:r>
      <w:r w:rsidR="00481A4A" w:rsidRPr="00F878B4">
        <w:rPr>
          <w:rFonts w:eastAsia="Calibri" w:cstheme="minorHAnsi"/>
          <w:szCs w:val="20"/>
        </w:rPr>
        <w:t xml:space="preserve">During the </w:t>
      </w:r>
      <w:r w:rsidR="00481A4A">
        <w:rPr>
          <w:rFonts w:eastAsia="Calibri" w:cstheme="minorHAnsi"/>
          <w:szCs w:val="20"/>
        </w:rPr>
        <w:t>nine months</w:t>
      </w:r>
      <w:r w:rsidR="00481A4A" w:rsidRPr="00F878B4">
        <w:rPr>
          <w:rFonts w:eastAsia="Calibri" w:cstheme="minorHAnsi"/>
          <w:szCs w:val="20"/>
        </w:rPr>
        <w:t xml:space="preserve"> ended March 31, 202</w:t>
      </w:r>
      <w:r w:rsidR="007211AD">
        <w:rPr>
          <w:rFonts w:eastAsia="Calibri" w:cstheme="minorHAnsi"/>
          <w:szCs w:val="20"/>
        </w:rPr>
        <w:t>4</w:t>
      </w:r>
      <w:r w:rsidR="00481A4A" w:rsidRPr="00F878B4">
        <w:rPr>
          <w:rFonts w:eastAsia="Calibri" w:cstheme="minorHAnsi"/>
          <w:szCs w:val="20"/>
        </w:rPr>
        <w:t>, the Company incurred $</w:t>
      </w:r>
      <w:r w:rsidR="007211AD">
        <w:rPr>
          <w:rFonts w:eastAsia="Calibri" w:cstheme="minorHAnsi"/>
          <w:szCs w:val="20"/>
        </w:rPr>
        <w:t>12,746</w:t>
      </w:r>
      <w:r w:rsidR="00481A4A" w:rsidRPr="00F878B4">
        <w:rPr>
          <w:rFonts w:eastAsia="Calibri" w:cstheme="minorHAnsi"/>
          <w:szCs w:val="20"/>
        </w:rPr>
        <w:t xml:space="preserve"> in interest expense (March 31, 202</w:t>
      </w:r>
      <w:r w:rsidR="007211AD">
        <w:rPr>
          <w:rFonts w:eastAsia="Calibri" w:cstheme="minorHAnsi"/>
          <w:szCs w:val="20"/>
        </w:rPr>
        <w:t>3</w:t>
      </w:r>
      <w:r w:rsidR="00481A4A" w:rsidRPr="00F878B4">
        <w:rPr>
          <w:rFonts w:eastAsia="Calibri" w:cstheme="minorHAnsi"/>
          <w:szCs w:val="20"/>
        </w:rPr>
        <w:t xml:space="preserve"> – $Nil).</w:t>
      </w:r>
    </w:p>
    <w:p w14:paraId="0BC4BB13" w14:textId="77777777" w:rsidR="008F4D76" w:rsidRDefault="008F4D76" w:rsidP="00481A4A">
      <w:pPr>
        <w:pStyle w:val="NormalWeb"/>
        <w:ind w:left="357"/>
        <w:jc w:val="both"/>
        <w:rPr>
          <w:rFonts w:eastAsia="Calibri" w:cstheme="minorHAnsi"/>
          <w:szCs w:val="20"/>
        </w:rPr>
      </w:pPr>
    </w:p>
    <w:tbl>
      <w:tblPr>
        <w:tblW w:w="7740" w:type="dxa"/>
        <w:jc w:val="center"/>
        <w:tblLook w:val="04A0" w:firstRow="1" w:lastRow="0" w:firstColumn="1" w:lastColumn="0" w:noHBand="0" w:noVBand="1"/>
      </w:tblPr>
      <w:tblGrid>
        <w:gridCol w:w="3496"/>
        <w:gridCol w:w="1445"/>
        <w:gridCol w:w="1383"/>
        <w:gridCol w:w="1416"/>
      </w:tblGrid>
      <w:tr w:rsidR="007D5BA9" w:rsidRPr="007D5BA9" w14:paraId="43227B05" w14:textId="77777777" w:rsidTr="00AF37B8">
        <w:trPr>
          <w:trHeight w:val="564"/>
          <w:jc w:val="center"/>
        </w:trPr>
        <w:tc>
          <w:tcPr>
            <w:tcW w:w="3496" w:type="dxa"/>
            <w:tcBorders>
              <w:top w:val="nil"/>
              <w:left w:val="nil"/>
              <w:bottom w:val="single" w:sz="12" w:space="0" w:color="auto"/>
              <w:right w:val="nil"/>
            </w:tcBorders>
            <w:shd w:val="clear" w:color="auto" w:fill="auto"/>
            <w:noWrap/>
            <w:vAlign w:val="center"/>
            <w:hideMark/>
          </w:tcPr>
          <w:p w14:paraId="7E46BA4B" w14:textId="77777777" w:rsidR="007D5BA9" w:rsidRPr="007D5BA9" w:rsidRDefault="007D5BA9" w:rsidP="007D5BA9">
            <w:pPr>
              <w:rPr>
                <w:rFonts w:ascii="Calibri" w:hAnsi="Calibri" w:cs="Calibri"/>
                <w:color w:val="000000"/>
                <w:szCs w:val="20"/>
                <w:lang w:val="en-CA" w:eastAsia="en-CA"/>
              </w:rPr>
            </w:pPr>
            <w:r w:rsidRPr="007D5BA9">
              <w:rPr>
                <w:rFonts w:ascii="Calibri" w:hAnsi="Calibri" w:cs="Calibri"/>
                <w:color w:val="000000"/>
                <w:szCs w:val="20"/>
                <w:lang w:val="en-CA" w:eastAsia="en-CA"/>
              </w:rPr>
              <w:t> </w:t>
            </w:r>
          </w:p>
        </w:tc>
        <w:tc>
          <w:tcPr>
            <w:tcW w:w="1445" w:type="dxa"/>
            <w:tcBorders>
              <w:top w:val="nil"/>
              <w:left w:val="nil"/>
              <w:bottom w:val="single" w:sz="12" w:space="0" w:color="auto"/>
              <w:right w:val="nil"/>
            </w:tcBorders>
            <w:shd w:val="clear" w:color="auto" w:fill="auto"/>
            <w:vAlign w:val="center"/>
            <w:hideMark/>
          </w:tcPr>
          <w:p w14:paraId="7A65C76E" w14:textId="77777777" w:rsidR="007D5BA9" w:rsidRPr="007D5BA9" w:rsidRDefault="007D5BA9" w:rsidP="007D5BA9">
            <w:pPr>
              <w:jc w:val="center"/>
              <w:rPr>
                <w:rFonts w:ascii="Calibri" w:hAnsi="Calibri" w:cs="Calibri"/>
                <w:b/>
                <w:bCs/>
                <w:color w:val="000000"/>
                <w:szCs w:val="20"/>
                <w:lang w:val="en-CA" w:eastAsia="en-CA"/>
              </w:rPr>
            </w:pPr>
            <w:r w:rsidRPr="007D5BA9">
              <w:rPr>
                <w:rFonts w:ascii="Calibri" w:hAnsi="Calibri" w:cs="Calibri"/>
                <w:b/>
                <w:bCs/>
                <w:color w:val="000000"/>
                <w:szCs w:val="20"/>
                <w:lang w:val="en-CA" w:eastAsia="en-CA"/>
              </w:rPr>
              <w:t>Long Term Debt</w:t>
            </w:r>
          </w:p>
        </w:tc>
        <w:tc>
          <w:tcPr>
            <w:tcW w:w="1383" w:type="dxa"/>
            <w:tcBorders>
              <w:top w:val="nil"/>
              <w:left w:val="nil"/>
              <w:bottom w:val="single" w:sz="12" w:space="0" w:color="auto"/>
              <w:right w:val="nil"/>
            </w:tcBorders>
            <w:shd w:val="clear" w:color="auto" w:fill="auto"/>
            <w:vAlign w:val="center"/>
            <w:hideMark/>
          </w:tcPr>
          <w:p w14:paraId="2DA0AE4A" w14:textId="77777777" w:rsidR="007D5BA9" w:rsidRPr="007D5BA9" w:rsidRDefault="007D5BA9" w:rsidP="007D5BA9">
            <w:pPr>
              <w:jc w:val="center"/>
              <w:rPr>
                <w:rFonts w:ascii="Calibri" w:hAnsi="Calibri" w:cs="Calibri"/>
                <w:b/>
                <w:bCs/>
                <w:color w:val="000000"/>
                <w:szCs w:val="20"/>
                <w:lang w:val="en-CA" w:eastAsia="en-CA"/>
              </w:rPr>
            </w:pPr>
            <w:r w:rsidRPr="007D5BA9">
              <w:rPr>
                <w:rFonts w:ascii="Calibri" w:hAnsi="Calibri" w:cs="Calibri"/>
                <w:b/>
                <w:bCs/>
                <w:color w:val="000000"/>
                <w:szCs w:val="20"/>
                <w:lang w:val="en-CA" w:eastAsia="en-CA"/>
              </w:rPr>
              <w:t>Accrued Interest</w:t>
            </w:r>
          </w:p>
        </w:tc>
        <w:tc>
          <w:tcPr>
            <w:tcW w:w="1416" w:type="dxa"/>
            <w:tcBorders>
              <w:top w:val="nil"/>
              <w:left w:val="nil"/>
              <w:bottom w:val="single" w:sz="12" w:space="0" w:color="auto"/>
              <w:right w:val="nil"/>
            </w:tcBorders>
            <w:shd w:val="clear" w:color="auto" w:fill="auto"/>
            <w:noWrap/>
            <w:vAlign w:val="center"/>
            <w:hideMark/>
          </w:tcPr>
          <w:p w14:paraId="084B12F2" w14:textId="77777777" w:rsidR="007D5BA9" w:rsidRPr="007D5BA9" w:rsidRDefault="007D5BA9" w:rsidP="007D5BA9">
            <w:pPr>
              <w:jc w:val="center"/>
              <w:rPr>
                <w:rFonts w:ascii="Calibri" w:hAnsi="Calibri" w:cs="Calibri"/>
                <w:b/>
                <w:bCs/>
                <w:color w:val="000000"/>
                <w:szCs w:val="20"/>
                <w:lang w:val="en-CA" w:eastAsia="en-CA"/>
              </w:rPr>
            </w:pPr>
            <w:r w:rsidRPr="007D5BA9">
              <w:rPr>
                <w:rFonts w:ascii="Calibri" w:hAnsi="Calibri" w:cs="Calibri"/>
                <w:b/>
                <w:bCs/>
                <w:color w:val="000000"/>
                <w:szCs w:val="20"/>
                <w:lang w:val="en-CA" w:eastAsia="en-CA"/>
              </w:rPr>
              <w:t>Total</w:t>
            </w:r>
          </w:p>
        </w:tc>
      </w:tr>
      <w:tr w:rsidR="007D5BA9" w:rsidRPr="007D5BA9" w14:paraId="2756F78A" w14:textId="77777777" w:rsidTr="00AF37B8">
        <w:trPr>
          <w:trHeight w:val="276"/>
          <w:jc w:val="center"/>
        </w:trPr>
        <w:tc>
          <w:tcPr>
            <w:tcW w:w="3496" w:type="dxa"/>
            <w:tcBorders>
              <w:top w:val="single" w:sz="12" w:space="0" w:color="auto"/>
              <w:left w:val="nil"/>
              <w:bottom w:val="nil"/>
              <w:right w:val="nil"/>
            </w:tcBorders>
            <w:shd w:val="clear" w:color="auto" w:fill="auto"/>
            <w:noWrap/>
            <w:vAlign w:val="center"/>
            <w:hideMark/>
          </w:tcPr>
          <w:p w14:paraId="1CD655FF" w14:textId="77777777" w:rsidR="007D5BA9" w:rsidRPr="007D5BA9" w:rsidRDefault="007D5BA9" w:rsidP="007D5BA9">
            <w:pPr>
              <w:rPr>
                <w:rFonts w:ascii="Calibri" w:hAnsi="Calibri" w:cs="Calibri"/>
                <w:color w:val="000000"/>
                <w:szCs w:val="20"/>
                <w:lang w:val="en-CA" w:eastAsia="en-CA"/>
              </w:rPr>
            </w:pPr>
            <w:r w:rsidRPr="007D5BA9">
              <w:rPr>
                <w:rFonts w:ascii="Calibri" w:hAnsi="Calibri" w:cs="Calibri"/>
                <w:color w:val="000000"/>
                <w:szCs w:val="20"/>
                <w:lang w:val="en-CA" w:eastAsia="en-CA"/>
              </w:rPr>
              <w:t>Balance, June 30, 2023 and 2022</w:t>
            </w:r>
          </w:p>
        </w:tc>
        <w:tc>
          <w:tcPr>
            <w:tcW w:w="1445" w:type="dxa"/>
            <w:tcBorders>
              <w:top w:val="single" w:sz="12" w:space="0" w:color="auto"/>
              <w:left w:val="nil"/>
              <w:bottom w:val="nil"/>
              <w:right w:val="nil"/>
            </w:tcBorders>
            <w:shd w:val="clear" w:color="auto" w:fill="auto"/>
            <w:noWrap/>
            <w:vAlign w:val="center"/>
            <w:hideMark/>
          </w:tcPr>
          <w:p w14:paraId="65ADCFAE" w14:textId="78AFDFBD" w:rsidR="007D5BA9" w:rsidRPr="007D5BA9" w:rsidRDefault="007D5BA9" w:rsidP="00C827E7">
            <w:pPr>
              <w:ind w:right="125"/>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   -    </w:t>
            </w:r>
          </w:p>
        </w:tc>
        <w:tc>
          <w:tcPr>
            <w:tcW w:w="1383" w:type="dxa"/>
            <w:tcBorders>
              <w:top w:val="single" w:sz="12" w:space="0" w:color="auto"/>
              <w:left w:val="nil"/>
              <w:bottom w:val="nil"/>
              <w:right w:val="nil"/>
            </w:tcBorders>
            <w:shd w:val="clear" w:color="auto" w:fill="auto"/>
            <w:noWrap/>
            <w:vAlign w:val="center"/>
            <w:hideMark/>
          </w:tcPr>
          <w:p w14:paraId="58054151" w14:textId="49706A6E" w:rsidR="007D5BA9" w:rsidRPr="007D5BA9" w:rsidRDefault="007D5BA9" w:rsidP="00C827E7">
            <w:pPr>
              <w:ind w:right="125"/>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   -   </w:t>
            </w:r>
          </w:p>
        </w:tc>
        <w:tc>
          <w:tcPr>
            <w:tcW w:w="1416" w:type="dxa"/>
            <w:tcBorders>
              <w:top w:val="single" w:sz="12" w:space="0" w:color="auto"/>
              <w:left w:val="nil"/>
              <w:bottom w:val="nil"/>
              <w:right w:val="nil"/>
            </w:tcBorders>
            <w:shd w:val="clear" w:color="auto" w:fill="auto"/>
            <w:noWrap/>
            <w:vAlign w:val="center"/>
            <w:hideMark/>
          </w:tcPr>
          <w:p w14:paraId="5CA7AAF9" w14:textId="0E275770" w:rsidR="007D5BA9" w:rsidRPr="007D5BA9" w:rsidRDefault="007D5BA9" w:rsidP="00C827E7">
            <w:pPr>
              <w:ind w:right="125"/>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    -    </w:t>
            </w:r>
          </w:p>
        </w:tc>
      </w:tr>
      <w:tr w:rsidR="007D5BA9" w:rsidRPr="007D5BA9" w14:paraId="71EFBB54" w14:textId="77777777" w:rsidTr="007D5BA9">
        <w:trPr>
          <w:trHeight w:val="276"/>
          <w:jc w:val="center"/>
        </w:trPr>
        <w:tc>
          <w:tcPr>
            <w:tcW w:w="3496" w:type="dxa"/>
            <w:tcBorders>
              <w:top w:val="nil"/>
              <w:left w:val="nil"/>
              <w:bottom w:val="nil"/>
              <w:right w:val="nil"/>
            </w:tcBorders>
            <w:shd w:val="clear" w:color="auto" w:fill="auto"/>
            <w:noWrap/>
            <w:vAlign w:val="center"/>
            <w:hideMark/>
          </w:tcPr>
          <w:p w14:paraId="4E631DE2" w14:textId="77777777" w:rsidR="007D5BA9" w:rsidRPr="007D5BA9" w:rsidRDefault="007D5BA9" w:rsidP="007D5BA9">
            <w:pPr>
              <w:rPr>
                <w:rFonts w:ascii="Calibri" w:hAnsi="Calibri" w:cs="Calibri"/>
                <w:color w:val="000000"/>
                <w:szCs w:val="20"/>
                <w:lang w:val="en-CA" w:eastAsia="en-CA"/>
              </w:rPr>
            </w:pPr>
            <w:r w:rsidRPr="007D5BA9">
              <w:rPr>
                <w:rFonts w:ascii="Calibri" w:hAnsi="Calibri" w:cs="Calibri"/>
                <w:color w:val="000000"/>
                <w:szCs w:val="20"/>
                <w:lang w:val="en-CA" w:eastAsia="en-CA"/>
              </w:rPr>
              <w:t>Proceeds</w:t>
            </w:r>
          </w:p>
        </w:tc>
        <w:tc>
          <w:tcPr>
            <w:tcW w:w="1445" w:type="dxa"/>
            <w:tcBorders>
              <w:top w:val="nil"/>
              <w:left w:val="nil"/>
              <w:bottom w:val="nil"/>
              <w:right w:val="nil"/>
            </w:tcBorders>
            <w:shd w:val="clear" w:color="auto" w:fill="auto"/>
            <w:noWrap/>
            <w:vAlign w:val="center"/>
            <w:hideMark/>
          </w:tcPr>
          <w:p w14:paraId="4B7E3C25" w14:textId="0553254E" w:rsidR="007D5BA9" w:rsidRPr="007D5BA9" w:rsidRDefault="007D5BA9" w:rsidP="007D5BA9">
            <w:pPr>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570,000 </w:t>
            </w:r>
          </w:p>
        </w:tc>
        <w:tc>
          <w:tcPr>
            <w:tcW w:w="1383" w:type="dxa"/>
            <w:tcBorders>
              <w:top w:val="nil"/>
              <w:left w:val="nil"/>
              <w:bottom w:val="nil"/>
              <w:right w:val="nil"/>
            </w:tcBorders>
            <w:shd w:val="clear" w:color="auto" w:fill="auto"/>
            <w:noWrap/>
            <w:vAlign w:val="center"/>
            <w:hideMark/>
          </w:tcPr>
          <w:p w14:paraId="44D63780" w14:textId="66FB1563" w:rsidR="007D5BA9" w:rsidRPr="007D5BA9" w:rsidRDefault="007D5BA9" w:rsidP="00580CAB">
            <w:pPr>
              <w:ind w:right="125"/>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center"/>
            <w:hideMark/>
          </w:tcPr>
          <w:p w14:paraId="691BFE18" w14:textId="16522E3E" w:rsidR="007D5BA9" w:rsidRPr="007D5BA9" w:rsidRDefault="007D5BA9" w:rsidP="007D5BA9">
            <w:pPr>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570,000 </w:t>
            </w:r>
          </w:p>
        </w:tc>
      </w:tr>
      <w:tr w:rsidR="007D5BA9" w:rsidRPr="007D5BA9" w14:paraId="1E18D123" w14:textId="77777777" w:rsidTr="007D5BA9">
        <w:trPr>
          <w:trHeight w:val="276"/>
          <w:jc w:val="center"/>
        </w:trPr>
        <w:tc>
          <w:tcPr>
            <w:tcW w:w="3496" w:type="dxa"/>
            <w:tcBorders>
              <w:top w:val="nil"/>
              <w:left w:val="nil"/>
              <w:bottom w:val="nil"/>
              <w:right w:val="nil"/>
            </w:tcBorders>
            <w:shd w:val="clear" w:color="auto" w:fill="auto"/>
            <w:noWrap/>
            <w:vAlign w:val="bottom"/>
            <w:hideMark/>
          </w:tcPr>
          <w:p w14:paraId="14F272D7" w14:textId="77777777" w:rsidR="007D5BA9" w:rsidRPr="007D5BA9" w:rsidRDefault="007D5BA9" w:rsidP="007D5BA9">
            <w:pPr>
              <w:rPr>
                <w:rFonts w:ascii="Calibri" w:hAnsi="Calibri" w:cs="Calibri"/>
                <w:color w:val="000000"/>
                <w:szCs w:val="20"/>
                <w:lang w:val="en-CA" w:eastAsia="en-CA"/>
              </w:rPr>
            </w:pPr>
            <w:r w:rsidRPr="007D5BA9">
              <w:rPr>
                <w:rFonts w:ascii="Calibri" w:hAnsi="Calibri" w:cs="Calibri"/>
                <w:color w:val="000000"/>
                <w:szCs w:val="20"/>
                <w:lang w:val="en-CA" w:eastAsia="en-CA"/>
              </w:rPr>
              <w:t>Debt Issuance Cost</w:t>
            </w:r>
          </w:p>
        </w:tc>
        <w:tc>
          <w:tcPr>
            <w:tcW w:w="1445" w:type="dxa"/>
            <w:tcBorders>
              <w:top w:val="nil"/>
              <w:left w:val="nil"/>
              <w:bottom w:val="nil"/>
              <w:right w:val="nil"/>
            </w:tcBorders>
            <w:shd w:val="clear" w:color="auto" w:fill="auto"/>
            <w:noWrap/>
            <w:vAlign w:val="bottom"/>
            <w:hideMark/>
          </w:tcPr>
          <w:p w14:paraId="342C562F" w14:textId="77777777" w:rsidR="007D5BA9" w:rsidRPr="007D5BA9" w:rsidRDefault="007D5BA9" w:rsidP="007D5BA9">
            <w:pPr>
              <w:jc w:val="right"/>
              <w:rPr>
                <w:rFonts w:ascii="Calibri" w:hAnsi="Calibri" w:cs="Calibri"/>
                <w:color w:val="000000"/>
                <w:szCs w:val="20"/>
                <w:lang w:val="en-CA" w:eastAsia="en-CA"/>
              </w:rPr>
            </w:pPr>
          </w:p>
        </w:tc>
        <w:tc>
          <w:tcPr>
            <w:tcW w:w="1383" w:type="dxa"/>
            <w:tcBorders>
              <w:top w:val="nil"/>
              <w:left w:val="nil"/>
              <w:bottom w:val="nil"/>
              <w:right w:val="nil"/>
            </w:tcBorders>
            <w:shd w:val="clear" w:color="auto" w:fill="auto"/>
            <w:noWrap/>
            <w:vAlign w:val="bottom"/>
            <w:hideMark/>
          </w:tcPr>
          <w:p w14:paraId="23F305C5" w14:textId="77777777" w:rsidR="007D5BA9" w:rsidRPr="007D5BA9" w:rsidRDefault="007D5BA9" w:rsidP="007D5BA9">
            <w:pPr>
              <w:jc w:val="right"/>
              <w:rPr>
                <w:rFonts w:ascii="Times New Roman" w:hAnsi="Times New Roman"/>
                <w:szCs w:val="20"/>
                <w:lang w:val="en-CA" w:eastAsia="en-CA"/>
              </w:rPr>
            </w:pPr>
          </w:p>
        </w:tc>
        <w:tc>
          <w:tcPr>
            <w:tcW w:w="1416" w:type="dxa"/>
            <w:tcBorders>
              <w:top w:val="nil"/>
              <w:left w:val="nil"/>
              <w:bottom w:val="nil"/>
              <w:right w:val="nil"/>
            </w:tcBorders>
            <w:shd w:val="clear" w:color="auto" w:fill="auto"/>
            <w:noWrap/>
            <w:vAlign w:val="bottom"/>
            <w:hideMark/>
          </w:tcPr>
          <w:p w14:paraId="3D310EFD" w14:textId="77777777" w:rsidR="007D5BA9" w:rsidRPr="007D5BA9" w:rsidRDefault="007D5BA9" w:rsidP="007D5BA9">
            <w:pPr>
              <w:jc w:val="right"/>
              <w:rPr>
                <w:rFonts w:ascii="Times New Roman" w:hAnsi="Times New Roman"/>
                <w:szCs w:val="20"/>
                <w:lang w:val="en-CA" w:eastAsia="en-CA"/>
              </w:rPr>
            </w:pPr>
          </w:p>
        </w:tc>
      </w:tr>
      <w:tr w:rsidR="007D5BA9" w:rsidRPr="007D5BA9" w14:paraId="34D95D63" w14:textId="77777777" w:rsidTr="007D5BA9">
        <w:trPr>
          <w:trHeight w:val="276"/>
          <w:jc w:val="center"/>
        </w:trPr>
        <w:tc>
          <w:tcPr>
            <w:tcW w:w="3496" w:type="dxa"/>
            <w:tcBorders>
              <w:top w:val="nil"/>
              <w:left w:val="nil"/>
              <w:bottom w:val="nil"/>
              <w:right w:val="nil"/>
            </w:tcBorders>
            <w:shd w:val="clear" w:color="auto" w:fill="auto"/>
            <w:noWrap/>
            <w:vAlign w:val="center"/>
            <w:hideMark/>
          </w:tcPr>
          <w:p w14:paraId="391BDB4C" w14:textId="77777777" w:rsidR="007D5BA9" w:rsidRPr="007D5BA9" w:rsidRDefault="007D5BA9" w:rsidP="007D5BA9">
            <w:pPr>
              <w:ind w:firstLineChars="100" w:firstLine="200"/>
              <w:rPr>
                <w:rFonts w:ascii="Calibri" w:hAnsi="Calibri" w:cs="Calibri"/>
                <w:color w:val="000000"/>
                <w:szCs w:val="20"/>
                <w:lang w:val="en-CA" w:eastAsia="en-CA"/>
              </w:rPr>
            </w:pPr>
            <w:r w:rsidRPr="007D5BA9">
              <w:rPr>
                <w:rFonts w:ascii="Calibri" w:hAnsi="Calibri" w:cs="Calibri"/>
                <w:color w:val="000000"/>
                <w:szCs w:val="20"/>
                <w:lang w:val="en-CA" w:eastAsia="en-CA"/>
              </w:rPr>
              <w:t>Finder's Fee</w:t>
            </w:r>
          </w:p>
        </w:tc>
        <w:tc>
          <w:tcPr>
            <w:tcW w:w="1445" w:type="dxa"/>
            <w:tcBorders>
              <w:top w:val="nil"/>
              <w:left w:val="nil"/>
              <w:bottom w:val="nil"/>
              <w:right w:val="nil"/>
            </w:tcBorders>
            <w:shd w:val="clear" w:color="auto" w:fill="auto"/>
            <w:noWrap/>
            <w:vAlign w:val="center"/>
            <w:hideMark/>
          </w:tcPr>
          <w:p w14:paraId="7CB8B332" w14:textId="61CAE3F2" w:rsidR="007D5BA9" w:rsidRPr="007D5BA9" w:rsidRDefault="007D5BA9" w:rsidP="00C827E7">
            <w:pPr>
              <w:ind w:right="-62"/>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(29,120)</w:t>
            </w:r>
          </w:p>
        </w:tc>
        <w:tc>
          <w:tcPr>
            <w:tcW w:w="1383" w:type="dxa"/>
            <w:tcBorders>
              <w:top w:val="nil"/>
              <w:left w:val="nil"/>
              <w:bottom w:val="nil"/>
              <w:right w:val="nil"/>
            </w:tcBorders>
            <w:shd w:val="clear" w:color="auto" w:fill="auto"/>
            <w:noWrap/>
            <w:vAlign w:val="center"/>
            <w:hideMark/>
          </w:tcPr>
          <w:p w14:paraId="54BF7508" w14:textId="69C4D018" w:rsidR="007D5BA9" w:rsidRPr="007D5BA9" w:rsidRDefault="007D5BA9" w:rsidP="00C827E7">
            <w:pPr>
              <w:ind w:right="125"/>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center"/>
            <w:hideMark/>
          </w:tcPr>
          <w:p w14:paraId="4FF99516" w14:textId="707C84BE" w:rsidR="007D5BA9" w:rsidRPr="007D5BA9" w:rsidRDefault="007D5BA9" w:rsidP="00C827E7">
            <w:pPr>
              <w:ind w:right="-62"/>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(29,120)</w:t>
            </w:r>
          </w:p>
        </w:tc>
      </w:tr>
      <w:tr w:rsidR="007D5BA9" w:rsidRPr="007D5BA9" w14:paraId="34899F09" w14:textId="77777777" w:rsidTr="007D5BA9">
        <w:trPr>
          <w:trHeight w:val="276"/>
          <w:jc w:val="center"/>
        </w:trPr>
        <w:tc>
          <w:tcPr>
            <w:tcW w:w="3496" w:type="dxa"/>
            <w:tcBorders>
              <w:top w:val="nil"/>
              <w:left w:val="nil"/>
              <w:bottom w:val="nil"/>
              <w:right w:val="nil"/>
            </w:tcBorders>
            <w:shd w:val="clear" w:color="auto" w:fill="auto"/>
            <w:noWrap/>
            <w:vAlign w:val="center"/>
            <w:hideMark/>
          </w:tcPr>
          <w:p w14:paraId="11E06420" w14:textId="35556DFB" w:rsidR="007D5BA9" w:rsidRPr="007D5BA9" w:rsidRDefault="007D5BA9" w:rsidP="007D5BA9">
            <w:pPr>
              <w:ind w:firstLineChars="100" w:firstLine="200"/>
              <w:rPr>
                <w:rFonts w:ascii="Calibri" w:hAnsi="Calibri" w:cs="Calibri"/>
                <w:color w:val="000000"/>
                <w:szCs w:val="20"/>
                <w:lang w:val="en-CA" w:eastAsia="en-CA"/>
              </w:rPr>
            </w:pPr>
            <w:r w:rsidRPr="007D5BA9">
              <w:rPr>
                <w:rFonts w:ascii="Calibri" w:hAnsi="Calibri" w:cs="Calibri"/>
                <w:color w:val="000000"/>
                <w:szCs w:val="20"/>
                <w:lang w:val="en-CA" w:eastAsia="en-CA"/>
              </w:rPr>
              <w:t>Warrant</w:t>
            </w:r>
            <w:r w:rsidR="00A20156">
              <w:rPr>
                <w:rFonts w:ascii="Calibri" w:hAnsi="Calibri" w:cs="Calibri"/>
                <w:color w:val="000000"/>
                <w:szCs w:val="20"/>
                <w:lang w:val="en-CA" w:eastAsia="en-CA"/>
              </w:rPr>
              <w:t>s</w:t>
            </w:r>
            <w:r w:rsidRPr="007D5BA9">
              <w:rPr>
                <w:rFonts w:ascii="Calibri" w:hAnsi="Calibri" w:cs="Calibri"/>
                <w:color w:val="000000"/>
                <w:szCs w:val="20"/>
                <w:lang w:val="en-CA" w:eastAsia="en-CA"/>
              </w:rPr>
              <w:t xml:space="preserve"> issued</w:t>
            </w:r>
          </w:p>
        </w:tc>
        <w:tc>
          <w:tcPr>
            <w:tcW w:w="1445" w:type="dxa"/>
            <w:tcBorders>
              <w:top w:val="nil"/>
              <w:left w:val="nil"/>
              <w:bottom w:val="nil"/>
              <w:right w:val="nil"/>
            </w:tcBorders>
            <w:shd w:val="clear" w:color="auto" w:fill="auto"/>
            <w:noWrap/>
            <w:vAlign w:val="center"/>
            <w:hideMark/>
          </w:tcPr>
          <w:p w14:paraId="686DEC33" w14:textId="3F97A71C" w:rsidR="007D5BA9" w:rsidRPr="007D5BA9" w:rsidRDefault="007D5BA9" w:rsidP="00C827E7">
            <w:pPr>
              <w:ind w:right="-62"/>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(16,659)</w:t>
            </w:r>
          </w:p>
        </w:tc>
        <w:tc>
          <w:tcPr>
            <w:tcW w:w="1383" w:type="dxa"/>
            <w:tcBorders>
              <w:top w:val="nil"/>
              <w:left w:val="nil"/>
              <w:bottom w:val="nil"/>
              <w:right w:val="nil"/>
            </w:tcBorders>
            <w:shd w:val="clear" w:color="auto" w:fill="auto"/>
            <w:noWrap/>
            <w:vAlign w:val="center"/>
            <w:hideMark/>
          </w:tcPr>
          <w:p w14:paraId="5C0B52CB" w14:textId="3E70252D" w:rsidR="007D5BA9" w:rsidRPr="007D5BA9" w:rsidRDefault="007D5BA9" w:rsidP="00C827E7">
            <w:pPr>
              <w:ind w:right="125"/>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center"/>
            <w:hideMark/>
          </w:tcPr>
          <w:p w14:paraId="39740FA9" w14:textId="4F75AD0C" w:rsidR="007D5BA9" w:rsidRPr="007D5BA9" w:rsidRDefault="007D5BA9" w:rsidP="00C827E7">
            <w:pPr>
              <w:ind w:right="-62"/>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(16,659)</w:t>
            </w:r>
          </w:p>
        </w:tc>
      </w:tr>
      <w:tr w:rsidR="007D5BA9" w:rsidRPr="007D5BA9" w14:paraId="30D52E0D" w14:textId="77777777" w:rsidTr="00AF37B8">
        <w:trPr>
          <w:trHeight w:val="288"/>
          <w:jc w:val="center"/>
        </w:trPr>
        <w:tc>
          <w:tcPr>
            <w:tcW w:w="3496" w:type="dxa"/>
            <w:tcBorders>
              <w:top w:val="nil"/>
              <w:left w:val="nil"/>
              <w:bottom w:val="single" w:sz="8" w:space="0" w:color="auto"/>
              <w:right w:val="nil"/>
            </w:tcBorders>
            <w:shd w:val="clear" w:color="auto" w:fill="auto"/>
            <w:noWrap/>
            <w:vAlign w:val="bottom"/>
            <w:hideMark/>
          </w:tcPr>
          <w:p w14:paraId="1EA6F18A" w14:textId="77777777" w:rsidR="007D5BA9" w:rsidRPr="007D5BA9" w:rsidRDefault="007D5BA9" w:rsidP="007D5BA9">
            <w:pPr>
              <w:rPr>
                <w:rFonts w:ascii="Calibri" w:hAnsi="Calibri" w:cs="Calibri"/>
                <w:color w:val="000000"/>
                <w:szCs w:val="20"/>
                <w:lang w:val="en-CA" w:eastAsia="en-CA"/>
              </w:rPr>
            </w:pPr>
            <w:r w:rsidRPr="007D5BA9">
              <w:rPr>
                <w:rFonts w:ascii="Calibri" w:hAnsi="Calibri" w:cs="Calibri"/>
                <w:color w:val="000000"/>
                <w:szCs w:val="20"/>
                <w:lang w:val="en-CA" w:eastAsia="en-CA"/>
              </w:rPr>
              <w:t>Interest Expense</w:t>
            </w:r>
          </w:p>
        </w:tc>
        <w:tc>
          <w:tcPr>
            <w:tcW w:w="1445" w:type="dxa"/>
            <w:tcBorders>
              <w:top w:val="nil"/>
              <w:left w:val="nil"/>
              <w:bottom w:val="single" w:sz="8" w:space="0" w:color="auto"/>
              <w:right w:val="nil"/>
            </w:tcBorders>
            <w:shd w:val="clear" w:color="auto" w:fill="auto"/>
            <w:noWrap/>
            <w:vAlign w:val="bottom"/>
            <w:hideMark/>
          </w:tcPr>
          <w:p w14:paraId="058D09BD" w14:textId="53F2BE25" w:rsidR="007D5BA9" w:rsidRPr="007D5BA9" w:rsidRDefault="007D5BA9" w:rsidP="007D5BA9">
            <w:pPr>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1,848 </w:t>
            </w:r>
          </w:p>
        </w:tc>
        <w:tc>
          <w:tcPr>
            <w:tcW w:w="1383" w:type="dxa"/>
            <w:tcBorders>
              <w:top w:val="nil"/>
              <w:left w:val="nil"/>
              <w:bottom w:val="single" w:sz="8" w:space="0" w:color="auto"/>
              <w:right w:val="nil"/>
            </w:tcBorders>
            <w:shd w:val="clear" w:color="auto" w:fill="auto"/>
            <w:noWrap/>
            <w:vAlign w:val="bottom"/>
            <w:hideMark/>
          </w:tcPr>
          <w:p w14:paraId="0EBB3988" w14:textId="37F2C21A" w:rsidR="007D5BA9" w:rsidRPr="007D5BA9" w:rsidRDefault="007D5BA9" w:rsidP="007D5BA9">
            <w:pPr>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10,898 </w:t>
            </w:r>
          </w:p>
        </w:tc>
        <w:tc>
          <w:tcPr>
            <w:tcW w:w="1416" w:type="dxa"/>
            <w:tcBorders>
              <w:top w:val="nil"/>
              <w:left w:val="nil"/>
              <w:bottom w:val="single" w:sz="8" w:space="0" w:color="auto"/>
              <w:right w:val="nil"/>
            </w:tcBorders>
            <w:shd w:val="clear" w:color="auto" w:fill="auto"/>
            <w:noWrap/>
            <w:vAlign w:val="center"/>
            <w:hideMark/>
          </w:tcPr>
          <w:p w14:paraId="3F9ACDC7" w14:textId="0FF48010" w:rsidR="007D5BA9" w:rsidRPr="007D5BA9" w:rsidRDefault="007D5BA9" w:rsidP="007D5BA9">
            <w:pPr>
              <w:jc w:val="right"/>
              <w:rPr>
                <w:rFonts w:ascii="Calibri" w:hAnsi="Calibri" w:cs="Calibri"/>
                <w:color w:val="000000"/>
                <w:szCs w:val="20"/>
                <w:lang w:val="en-CA" w:eastAsia="en-CA"/>
              </w:rPr>
            </w:pPr>
            <w:r w:rsidRPr="007D5BA9">
              <w:rPr>
                <w:rFonts w:ascii="Calibri" w:hAnsi="Calibri" w:cs="Calibri"/>
                <w:color w:val="000000"/>
                <w:szCs w:val="20"/>
                <w:lang w:val="en-CA" w:eastAsia="en-CA"/>
              </w:rPr>
              <w:t xml:space="preserve">   12,746 </w:t>
            </w:r>
          </w:p>
        </w:tc>
      </w:tr>
      <w:tr w:rsidR="007D5BA9" w:rsidRPr="007D5BA9" w14:paraId="2099675A" w14:textId="77777777" w:rsidTr="00AF37B8">
        <w:trPr>
          <w:trHeight w:val="288"/>
          <w:jc w:val="center"/>
        </w:trPr>
        <w:tc>
          <w:tcPr>
            <w:tcW w:w="3496" w:type="dxa"/>
            <w:tcBorders>
              <w:top w:val="single" w:sz="8" w:space="0" w:color="auto"/>
              <w:left w:val="nil"/>
              <w:bottom w:val="single" w:sz="12" w:space="0" w:color="auto"/>
              <w:right w:val="nil"/>
            </w:tcBorders>
            <w:shd w:val="clear" w:color="auto" w:fill="auto"/>
            <w:noWrap/>
            <w:vAlign w:val="center"/>
            <w:hideMark/>
          </w:tcPr>
          <w:p w14:paraId="7D546BA1" w14:textId="77777777" w:rsidR="007D5BA9" w:rsidRPr="007D5BA9" w:rsidRDefault="007D5BA9" w:rsidP="007D5BA9">
            <w:pPr>
              <w:rPr>
                <w:rFonts w:ascii="Calibri" w:hAnsi="Calibri" w:cs="Calibri"/>
                <w:b/>
                <w:bCs/>
                <w:color w:val="000000"/>
                <w:szCs w:val="20"/>
                <w:lang w:val="en-CA" w:eastAsia="en-CA"/>
              </w:rPr>
            </w:pPr>
            <w:r w:rsidRPr="007D5BA9">
              <w:rPr>
                <w:rFonts w:ascii="Calibri" w:hAnsi="Calibri" w:cs="Calibri"/>
                <w:b/>
                <w:bCs/>
                <w:color w:val="000000"/>
                <w:szCs w:val="20"/>
                <w:lang w:val="en-CA" w:eastAsia="en-CA"/>
              </w:rPr>
              <w:t>Balance, March 31, 2024</w:t>
            </w:r>
          </w:p>
        </w:tc>
        <w:tc>
          <w:tcPr>
            <w:tcW w:w="1445" w:type="dxa"/>
            <w:tcBorders>
              <w:top w:val="single" w:sz="8" w:space="0" w:color="auto"/>
              <w:left w:val="nil"/>
              <w:bottom w:val="single" w:sz="12" w:space="0" w:color="auto"/>
              <w:right w:val="nil"/>
            </w:tcBorders>
            <w:shd w:val="clear" w:color="auto" w:fill="auto"/>
            <w:noWrap/>
            <w:vAlign w:val="center"/>
            <w:hideMark/>
          </w:tcPr>
          <w:p w14:paraId="2AB2078F" w14:textId="3191DBEB" w:rsidR="007D5BA9" w:rsidRPr="007D5BA9" w:rsidRDefault="007D5BA9" w:rsidP="007D5BA9">
            <w:pPr>
              <w:jc w:val="right"/>
              <w:rPr>
                <w:rFonts w:ascii="Calibri" w:hAnsi="Calibri" w:cs="Calibri"/>
                <w:b/>
                <w:bCs/>
                <w:color w:val="000000"/>
                <w:szCs w:val="20"/>
                <w:lang w:val="en-CA" w:eastAsia="en-CA"/>
              </w:rPr>
            </w:pPr>
            <w:r w:rsidRPr="007D5BA9">
              <w:rPr>
                <w:rFonts w:ascii="Calibri" w:hAnsi="Calibri" w:cs="Calibri"/>
                <w:b/>
                <w:bCs/>
                <w:color w:val="000000"/>
                <w:szCs w:val="20"/>
                <w:lang w:val="en-CA" w:eastAsia="en-CA"/>
              </w:rPr>
              <w:t xml:space="preserve"> $ 526,069 </w:t>
            </w:r>
          </w:p>
        </w:tc>
        <w:tc>
          <w:tcPr>
            <w:tcW w:w="1383" w:type="dxa"/>
            <w:tcBorders>
              <w:top w:val="single" w:sz="8" w:space="0" w:color="auto"/>
              <w:left w:val="nil"/>
              <w:bottom w:val="single" w:sz="12" w:space="0" w:color="auto"/>
              <w:right w:val="nil"/>
            </w:tcBorders>
            <w:shd w:val="clear" w:color="auto" w:fill="auto"/>
            <w:noWrap/>
            <w:vAlign w:val="center"/>
            <w:hideMark/>
          </w:tcPr>
          <w:p w14:paraId="0AD8CD66" w14:textId="1DEBC1CA" w:rsidR="007D5BA9" w:rsidRPr="007D5BA9" w:rsidRDefault="007D5BA9" w:rsidP="007D5BA9">
            <w:pPr>
              <w:jc w:val="right"/>
              <w:rPr>
                <w:rFonts w:ascii="Calibri" w:hAnsi="Calibri" w:cs="Calibri"/>
                <w:b/>
                <w:bCs/>
                <w:color w:val="000000"/>
                <w:szCs w:val="20"/>
                <w:lang w:val="en-CA" w:eastAsia="en-CA"/>
              </w:rPr>
            </w:pPr>
            <w:r w:rsidRPr="007D5BA9">
              <w:rPr>
                <w:rFonts w:ascii="Calibri" w:hAnsi="Calibri" w:cs="Calibri"/>
                <w:b/>
                <w:bCs/>
                <w:color w:val="000000"/>
                <w:szCs w:val="20"/>
                <w:lang w:val="en-CA" w:eastAsia="en-CA"/>
              </w:rPr>
              <w:t xml:space="preserve"> $ 10,898 </w:t>
            </w:r>
          </w:p>
        </w:tc>
        <w:tc>
          <w:tcPr>
            <w:tcW w:w="1416" w:type="dxa"/>
            <w:tcBorders>
              <w:top w:val="single" w:sz="8" w:space="0" w:color="auto"/>
              <w:left w:val="nil"/>
              <w:bottom w:val="single" w:sz="12" w:space="0" w:color="auto"/>
              <w:right w:val="nil"/>
            </w:tcBorders>
            <w:shd w:val="clear" w:color="auto" w:fill="auto"/>
            <w:noWrap/>
            <w:vAlign w:val="center"/>
            <w:hideMark/>
          </w:tcPr>
          <w:p w14:paraId="3A4C6A5E" w14:textId="787632ED" w:rsidR="007D5BA9" w:rsidRPr="007D5BA9" w:rsidRDefault="007D5BA9" w:rsidP="007D5BA9">
            <w:pPr>
              <w:jc w:val="right"/>
              <w:rPr>
                <w:rFonts w:ascii="Calibri" w:hAnsi="Calibri" w:cs="Calibri"/>
                <w:b/>
                <w:bCs/>
                <w:color w:val="000000"/>
                <w:szCs w:val="20"/>
                <w:lang w:val="en-CA" w:eastAsia="en-CA"/>
              </w:rPr>
            </w:pPr>
            <w:r w:rsidRPr="007D5BA9">
              <w:rPr>
                <w:rFonts w:ascii="Calibri" w:hAnsi="Calibri" w:cs="Calibri"/>
                <w:b/>
                <w:bCs/>
                <w:color w:val="000000"/>
                <w:szCs w:val="20"/>
                <w:lang w:val="en-CA" w:eastAsia="en-CA"/>
              </w:rPr>
              <w:t xml:space="preserve"> $ 536,967 </w:t>
            </w:r>
          </w:p>
        </w:tc>
      </w:tr>
    </w:tbl>
    <w:p w14:paraId="3D431E9A" w14:textId="2ACD19C8" w:rsidR="008F4D76" w:rsidRPr="00F878B4" w:rsidRDefault="008F4D76" w:rsidP="008F4D76">
      <w:pPr>
        <w:pStyle w:val="NormalWeb"/>
        <w:ind w:left="357"/>
        <w:jc w:val="center"/>
        <w:rPr>
          <w:rFonts w:eastAsia="Calibri" w:cstheme="minorHAnsi"/>
          <w:szCs w:val="20"/>
        </w:rPr>
      </w:pPr>
    </w:p>
    <w:p w14:paraId="199DCE09" w14:textId="77777777" w:rsidR="00C90686" w:rsidRDefault="00C90686" w:rsidP="00F307BC">
      <w:pPr>
        <w:pStyle w:val="Heading1"/>
        <w:rPr>
          <w:rFonts w:cstheme="minorHAnsi"/>
          <w:szCs w:val="20"/>
        </w:rPr>
      </w:pPr>
      <w:r>
        <w:rPr>
          <w:rFonts w:cstheme="minorHAnsi"/>
          <w:szCs w:val="20"/>
        </w:rPr>
        <w:br w:type="page"/>
      </w:r>
    </w:p>
    <w:p w14:paraId="08CAB4C7" w14:textId="7935A23C" w:rsidR="00A8366B" w:rsidRPr="00FC2211" w:rsidRDefault="00A8366B" w:rsidP="00F307BC">
      <w:pPr>
        <w:pStyle w:val="Heading1"/>
        <w:rPr>
          <w:rFonts w:cstheme="minorHAnsi"/>
          <w:szCs w:val="20"/>
        </w:rPr>
      </w:pPr>
      <w:r w:rsidRPr="00FC2211">
        <w:rPr>
          <w:rFonts w:cstheme="minorHAnsi"/>
          <w:szCs w:val="20"/>
        </w:rPr>
        <w:lastRenderedPageBreak/>
        <w:t>1</w:t>
      </w:r>
      <w:r w:rsidR="00E85B45">
        <w:rPr>
          <w:rFonts w:cstheme="minorHAnsi"/>
          <w:szCs w:val="20"/>
        </w:rPr>
        <w:t>4</w:t>
      </w:r>
      <w:r w:rsidRPr="00FC2211">
        <w:rPr>
          <w:rFonts w:cstheme="minorHAnsi"/>
          <w:szCs w:val="20"/>
        </w:rPr>
        <w:t>.   BANK LOAN</w:t>
      </w:r>
      <w:r w:rsidR="00B93FBC" w:rsidRPr="00FC2211">
        <w:rPr>
          <w:rFonts w:cstheme="minorHAnsi"/>
          <w:szCs w:val="20"/>
        </w:rPr>
        <w:t xml:space="preserve"> PAYABLE</w:t>
      </w:r>
    </w:p>
    <w:p w14:paraId="0452DAA4" w14:textId="77777777" w:rsidR="0074654D" w:rsidRPr="00FC2211" w:rsidRDefault="0074654D" w:rsidP="0074654D"/>
    <w:p w14:paraId="367A8BD0" w14:textId="56ADD7A2" w:rsidR="0074654D" w:rsidRDefault="0074654D" w:rsidP="0074654D">
      <w:pPr>
        <w:ind w:left="426"/>
        <w:rPr>
          <w:rFonts w:eastAsia="Calibri" w:cstheme="minorHAnsi"/>
          <w:szCs w:val="20"/>
        </w:rPr>
      </w:pPr>
      <w:r w:rsidRPr="00FC2211">
        <w:rPr>
          <w:rFonts w:eastAsia="Calibri" w:cstheme="minorHAnsi"/>
          <w:szCs w:val="20"/>
        </w:rPr>
        <w:t xml:space="preserve">On </w:t>
      </w:r>
      <w:r w:rsidR="005C2695" w:rsidRPr="00FC2211">
        <w:rPr>
          <w:rFonts w:eastAsia="Calibri" w:cstheme="minorHAnsi"/>
          <w:szCs w:val="20"/>
        </w:rPr>
        <w:t>September</w:t>
      </w:r>
      <w:r w:rsidRPr="00FC2211">
        <w:rPr>
          <w:rFonts w:eastAsia="Calibri" w:cstheme="minorHAnsi"/>
          <w:szCs w:val="20"/>
        </w:rPr>
        <w:t xml:space="preserve"> </w:t>
      </w:r>
      <w:r w:rsidR="005C2695" w:rsidRPr="00FC2211">
        <w:rPr>
          <w:rFonts w:eastAsia="Calibri" w:cstheme="minorHAnsi"/>
          <w:szCs w:val="20"/>
        </w:rPr>
        <w:t>14</w:t>
      </w:r>
      <w:r w:rsidRPr="00FC2211">
        <w:rPr>
          <w:rFonts w:eastAsia="Calibri" w:cstheme="minorHAnsi"/>
          <w:szCs w:val="20"/>
        </w:rPr>
        <w:t>, 202</w:t>
      </w:r>
      <w:r w:rsidR="005C2695" w:rsidRPr="00FC2211">
        <w:rPr>
          <w:rFonts w:eastAsia="Calibri" w:cstheme="minorHAnsi"/>
          <w:szCs w:val="20"/>
        </w:rPr>
        <w:t>3</w:t>
      </w:r>
      <w:r w:rsidRPr="00FC2211">
        <w:rPr>
          <w:rFonts w:eastAsia="Calibri" w:cstheme="minorHAnsi"/>
          <w:szCs w:val="20"/>
        </w:rPr>
        <w:t xml:space="preserve">, </w:t>
      </w:r>
      <w:r w:rsidR="00880866" w:rsidRPr="00FC2211">
        <w:rPr>
          <w:rFonts w:eastAsia="Calibri" w:cstheme="minorHAnsi"/>
          <w:szCs w:val="20"/>
        </w:rPr>
        <w:t xml:space="preserve">the Company </w:t>
      </w:r>
      <w:r w:rsidR="00F84200" w:rsidRPr="00FC2211">
        <w:rPr>
          <w:rFonts w:eastAsia="Calibri" w:cstheme="minorHAnsi"/>
          <w:szCs w:val="20"/>
        </w:rPr>
        <w:t>received</w:t>
      </w:r>
      <w:r w:rsidR="00880866" w:rsidRPr="00FC2211">
        <w:rPr>
          <w:rFonts w:eastAsia="Calibri" w:cstheme="minorHAnsi"/>
          <w:szCs w:val="20"/>
        </w:rPr>
        <w:t xml:space="preserve"> </w:t>
      </w:r>
      <w:r w:rsidR="0039161E" w:rsidRPr="00FC2211">
        <w:rPr>
          <w:rFonts w:eastAsia="Calibri" w:cstheme="minorHAnsi"/>
          <w:szCs w:val="20"/>
        </w:rPr>
        <w:t xml:space="preserve">a </w:t>
      </w:r>
      <w:r w:rsidRPr="00FC2211">
        <w:rPr>
          <w:rFonts w:eastAsia="Calibri" w:cstheme="minorHAnsi"/>
          <w:szCs w:val="20"/>
        </w:rPr>
        <w:t xml:space="preserve">secured </w:t>
      </w:r>
      <w:r w:rsidR="00482471" w:rsidRPr="00FC2211">
        <w:rPr>
          <w:rFonts w:eastAsia="Calibri" w:cstheme="minorHAnsi"/>
          <w:szCs w:val="20"/>
        </w:rPr>
        <w:t xml:space="preserve">bank </w:t>
      </w:r>
      <w:r w:rsidR="00D70384" w:rsidRPr="00FC2211">
        <w:rPr>
          <w:rFonts w:eastAsia="Calibri" w:cstheme="minorHAnsi"/>
          <w:szCs w:val="20"/>
        </w:rPr>
        <w:t>loan</w:t>
      </w:r>
      <w:r w:rsidRPr="00FC2211">
        <w:rPr>
          <w:rFonts w:eastAsia="Calibri" w:cstheme="minorHAnsi"/>
          <w:szCs w:val="20"/>
        </w:rPr>
        <w:t xml:space="preserve"> </w:t>
      </w:r>
      <w:r w:rsidR="0039161E" w:rsidRPr="00FC2211">
        <w:rPr>
          <w:rFonts w:eastAsia="Calibri" w:cstheme="minorHAnsi"/>
          <w:szCs w:val="20"/>
        </w:rPr>
        <w:t>amounting to $350,000</w:t>
      </w:r>
      <w:r w:rsidR="00F84200" w:rsidRPr="00FC2211">
        <w:rPr>
          <w:rFonts w:eastAsia="Calibri" w:cstheme="minorHAnsi"/>
          <w:szCs w:val="20"/>
        </w:rPr>
        <w:t xml:space="preserve"> from </w:t>
      </w:r>
      <w:r w:rsidR="00F7064C" w:rsidRPr="00FC2211">
        <w:rPr>
          <w:rFonts w:eastAsia="Calibri" w:cstheme="minorHAnsi"/>
          <w:szCs w:val="20"/>
        </w:rPr>
        <w:t xml:space="preserve">the </w:t>
      </w:r>
      <w:r w:rsidR="00F84200" w:rsidRPr="00FC2211">
        <w:rPr>
          <w:rFonts w:eastAsia="Calibri" w:cstheme="minorHAnsi"/>
          <w:szCs w:val="20"/>
        </w:rPr>
        <w:t>Business Development Bank of Canada (BDC)</w:t>
      </w:r>
      <w:r w:rsidR="00A06FD1" w:rsidRPr="00FC2211">
        <w:rPr>
          <w:rFonts w:eastAsia="Calibri" w:cstheme="minorHAnsi"/>
          <w:szCs w:val="20"/>
        </w:rPr>
        <w:t>. The</w:t>
      </w:r>
      <w:r w:rsidR="00534DB0" w:rsidRPr="00FC2211">
        <w:rPr>
          <w:rFonts w:eastAsia="Calibri" w:cstheme="minorHAnsi"/>
          <w:szCs w:val="20"/>
        </w:rPr>
        <w:t xml:space="preserve"> loan is payable in </w:t>
      </w:r>
      <w:r w:rsidR="00DF3899" w:rsidRPr="00FC2211">
        <w:rPr>
          <w:rFonts w:eastAsia="Calibri" w:cstheme="minorHAnsi"/>
          <w:szCs w:val="20"/>
        </w:rPr>
        <w:t>72</w:t>
      </w:r>
      <w:r w:rsidR="00365643" w:rsidRPr="00FC2211">
        <w:rPr>
          <w:rFonts w:eastAsia="Calibri" w:cstheme="minorHAnsi"/>
          <w:szCs w:val="20"/>
        </w:rPr>
        <w:t xml:space="preserve"> equal</w:t>
      </w:r>
      <w:r w:rsidR="00DF3899" w:rsidRPr="00FC2211">
        <w:rPr>
          <w:rFonts w:eastAsia="Calibri" w:cstheme="minorHAnsi"/>
          <w:szCs w:val="20"/>
        </w:rPr>
        <w:t xml:space="preserve"> monthly installments</w:t>
      </w:r>
      <w:r w:rsidR="005C355E" w:rsidRPr="00FC2211">
        <w:rPr>
          <w:rFonts w:eastAsia="Calibri" w:cstheme="minorHAnsi"/>
          <w:szCs w:val="20"/>
        </w:rPr>
        <w:t xml:space="preserve"> starting July 31, 2024</w:t>
      </w:r>
      <w:r w:rsidR="00F7064C" w:rsidRPr="00FC2211">
        <w:rPr>
          <w:rFonts w:eastAsia="Calibri" w:cstheme="minorHAnsi"/>
          <w:szCs w:val="20"/>
        </w:rPr>
        <w:t>,</w:t>
      </w:r>
      <w:r w:rsidR="005C355E" w:rsidRPr="00FC2211">
        <w:rPr>
          <w:rFonts w:eastAsia="Calibri" w:cstheme="minorHAnsi"/>
          <w:szCs w:val="20"/>
        </w:rPr>
        <w:t xml:space="preserve"> to June 30, 2030</w:t>
      </w:r>
      <w:r w:rsidR="005A23E4" w:rsidRPr="00FC2211">
        <w:rPr>
          <w:rFonts w:eastAsia="Calibri" w:cstheme="minorHAnsi"/>
          <w:szCs w:val="20"/>
        </w:rPr>
        <w:t xml:space="preserve">. The interest </w:t>
      </w:r>
      <w:r w:rsidR="004A1B12" w:rsidRPr="00FC2211">
        <w:rPr>
          <w:rFonts w:eastAsia="Calibri" w:cstheme="minorHAnsi"/>
          <w:szCs w:val="20"/>
        </w:rPr>
        <w:t>on the loan is equivalent to</w:t>
      </w:r>
      <w:r w:rsidR="005A23E4" w:rsidRPr="00FC2211">
        <w:rPr>
          <w:rFonts w:eastAsia="Calibri" w:cstheme="minorHAnsi"/>
          <w:szCs w:val="20"/>
        </w:rPr>
        <w:t xml:space="preserve"> BDC’s </w:t>
      </w:r>
      <w:r w:rsidR="00F045C9" w:rsidRPr="00FC2211">
        <w:rPr>
          <w:rFonts w:eastAsia="Calibri" w:cstheme="minorHAnsi"/>
          <w:szCs w:val="20"/>
        </w:rPr>
        <w:t xml:space="preserve">Floating Base Rate plus a variance of 7.50% per year. During the </w:t>
      </w:r>
      <w:r w:rsidR="006F5253">
        <w:rPr>
          <w:rFonts w:eastAsia="Calibri" w:cstheme="minorHAnsi"/>
          <w:szCs w:val="20"/>
        </w:rPr>
        <w:t>nine</w:t>
      </w:r>
      <w:r w:rsidR="00F045C9" w:rsidRPr="00FC2211">
        <w:rPr>
          <w:rFonts w:eastAsia="Calibri" w:cstheme="minorHAnsi"/>
          <w:szCs w:val="20"/>
        </w:rPr>
        <w:t xml:space="preserve"> months ended </w:t>
      </w:r>
      <w:r w:rsidR="006F5253">
        <w:rPr>
          <w:rFonts w:eastAsia="Calibri" w:cstheme="minorHAnsi"/>
          <w:szCs w:val="20"/>
        </w:rPr>
        <w:t>March 31, 2024</w:t>
      </w:r>
      <w:r w:rsidR="00F045C9" w:rsidRPr="00FC2211">
        <w:rPr>
          <w:rFonts w:eastAsia="Calibri" w:cstheme="minorHAnsi"/>
          <w:szCs w:val="20"/>
        </w:rPr>
        <w:t xml:space="preserve">, the BDC’s </w:t>
      </w:r>
      <w:r w:rsidR="00B31843" w:rsidRPr="00FC2211">
        <w:rPr>
          <w:rFonts w:eastAsia="Calibri" w:cstheme="minorHAnsi"/>
          <w:szCs w:val="20"/>
        </w:rPr>
        <w:t>Flo</w:t>
      </w:r>
      <w:r w:rsidR="001315E9" w:rsidRPr="00FC2211">
        <w:rPr>
          <w:rFonts w:eastAsia="Calibri" w:cstheme="minorHAnsi"/>
          <w:szCs w:val="20"/>
        </w:rPr>
        <w:t xml:space="preserve">ating Base rate is </w:t>
      </w:r>
      <w:r w:rsidR="002E7DC7" w:rsidRPr="00FC2211">
        <w:rPr>
          <w:rFonts w:eastAsia="Calibri" w:cstheme="minorHAnsi"/>
          <w:szCs w:val="20"/>
        </w:rPr>
        <w:t>at 9.3%</w:t>
      </w:r>
      <w:r w:rsidR="00B07F68" w:rsidRPr="00FC2211">
        <w:rPr>
          <w:rFonts w:eastAsia="Calibri" w:cstheme="minorHAnsi"/>
          <w:szCs w:val="20"/>
        </w:rPr>
        <w:t xml:space="preserve"> and the Company incurred</w:t>
      </w:r>
      <w:r w:rsidR="00BC688B" w:rsidRPr="00FC2211">
        <w:rPr>
          <w:rFonts w:eastAsia="Calibri" w:cstheme="minorHAnsi"/>
          <w:szCs w:val="20"/>
        </w:rPr>
        <w:t xml:space="preserve"> $</w:t>
      </w:r>
      <w:r w:rsidR="00894CAA">
        <w:rPr>
          <w:rFonts w:eastAsia="Calibri" w:cstheme="minorHAnsi"/>
          <w:szCs w:val="20"/>
        </w:rPr>
        <w:t>31,857</w:t>
      </w:r>
      <w:r w:rsidR="00B07F68" w:rsidRPr="00FC2211">
        <w:rPr>
          <w:rFonts w:eastAsia="Calibri" w:cstheme="minorHAnsi"/>
          <w:szCs w:val="20"/>
        </w:rPr>
        <w:t xml:space="preserve"> </w:t>
      </w:r>
      <w:r w:rsidR="00BC688B" w:rsidRPr="00FC2211">
        <w:rPr>
          <w:rFonts w:eastAsia="Calibri" w:cstheme="minorHAnsi"/>
          <w:szCs w:val="20"/>
        </w:rPr>
        <w:t xml:space="preserve">in </w:t>
      </w:r>
      <w:r w:rsidR="00B07F68" w:rsidRPr="00FC2211">
        <w:rPr>
          <w:rFonts w:eastAsia="Calibri" w:cstheme="minorHAnsi"/>
          <w:szCs w:val="20"/>
        </w:rPr>
        <w:t>interest</w:t>
      </w:r>
      <w:r w:rsidR="00BC688B" w:rsidRPr="00FC2211">
        <w:rPr>
          <w:rFonts w:eastAsia="Calibri" w:cstheme="minorHAnsi"/>
          <w:szCs w:val="20"/>
        </w:rPr>
        <w:t xml:space="preserve"> expense</w:t>
      </w:r>
      <w:r w:rsidR="00AB54C2" w:rsidRPr="00FC2211">
        <w:rPr>
          <w:rFonts w:eastAsia="Calibri" w:cstheme="minorHAnsi"/>
          <w:szCs w:val="20"/>
        </w:rPr>
        <w:t xml:space="preserve"> (</w:t>
      </w:r>
      <w:r w:rsidR="00894CAA">
        <w:rPr>
          <w:rFonts w:eastAsia="Calibri" w:cstheme="minorHAnsi"/>
          <w:szCs w:val="20"/>
        </w:rPr>
        <w:t>March 31, 2023</w:t>
      </w:r>
      <w:r w:rsidR="00AB54C2" w:rsidRPr="00FC2211">
        <w:rPr>
          <w:rFonts w:eastAsia="Calibri" w:cstheme="minorHAnsi"/>
          <w:szCs w:val="20"/>
        </w:rPr>
        <w:t xml:space="preserve"> - $Nil)</w:t>
      </w:r>
      <w:r w:rsidR="00BC688B" w:rsidRPr="00FC2211">
        <w:rPr>
          <w:rFonts w:eastAsia="Calibri" w:cstheme="minorHAnsi"/>
          <w:szCs w:val="20"/>
        </w:rPr>
        <w:t xml:space="preserve">. The reconciliation of </w:t>
      </w:r>
      <w:r w:rsidR="00F7064C" w:rsidRPr="00FC2211">
        <w:rPr>
          <w:rFonts w:eastAsia="Calibri" w:cstheme="minorHAnsi"/>
          <w:szCs w:val="20"/>
        </w:rPr>
        <w:t xml:space="preserve">the </w:t>
      </w:r>
      <w:r w:rsidR="00BC688B" w:rsidRPr="00FC2211">
        <w:rPr>
          <w:rFonts w:eastAsia="Calibri" w:cstheme="minorHAnsi"/>
          <w:szCs w:val="20"/>
        </w:rPr>
        <w:t xml:space="preserve">opening and closing balances of </w:t>
      </w:r>
      <w:r w:rsidR="00F7064C" w:rsidRPr="00FC2211">
        <w:rPr>
          <w:rFonts w:eastAsia="Calibri" w:cstheme="minorHAnsi"/>
          <w:szCs w:val="20"/>
        </w:rPr>
        <w:t xml:space="preserve">the </w:t>
      </w:r>
      <w:r w:rsidR="00BC688B" w:rsidRPr="00FC2211">
        <w:rPr>
          <w:rFonts w:eastAsia="Calibri" w:cstheme="minorHAnsi"/>
          <w:szCs w:val="20"/>
        </w:rPr>
        <w:t>bank loan follows:</w:t>
      </w:r>
    </w:p>
    <w:p w14:paraId="4BDE9871" w14:textId="77777777" w:rsidR="005207C3" w:rsidRPr="00FC2211" w:rsidRDefault="005207C3" w:rsidP="0074654D">
      <w:pPr>
        <w:ind w:left="426"/>
        <w:rPr>
          <w:rFonts w:eastAsia="Calibri" w:cstheme="minorHAnsi"/>
          <w:szCs w:val="20"/>
        </w:rPr>
      </w:pPr>
    </w:p>
    <w:tbl>
      <w:tblPr>
        <w:tblW w:w="7804" w:type="dxa"/>
        <w:jc w:val="center"/>
        <w:tblLook w:val="04A0" w:firstRow="1" w:lastRow="0" w:firstColumn="1" w:lastColumn="0" w:noHBand="0" w:noVBand="1"/>
      </w:tblPr>
      <w:tblGrid>
        <w:gridCol w:w="3496"/>
        <w:gridCol w:w="1476"/>
        <w:gridCol w:w="1416"/>
        <w:gridCol w:w="1416"/>
      </w:tblGrid>
      <w:tr w:rsidR="00E34022" w:rsidRPr="00E34022" w14:paraId="16AE7023" w14:textId="77777777" w:rsidTr="00AF37B8">
        <w:trPr>
          <w:trHeight w:val="288"/>
          <w:jc w:val="center"/>
        </w:trPr>
        <w:tc>
          <w:tcPr>
            <w:tcW w:w="3496" w:type="dxa"/>
            <w:tcBorders>
              <w:top w:val="nil"/>
              <w:left w:val="nil"/>
              <w:bottom w:val="single" w:sz="12" w:space="0" w:color="auto"/>
              <w:right w:val="nil"/>
            </w:tcBorders>
            <w:shd w:val="clear" w:color="auto" w:fill="auto"/>
            <w:noWrap/>
            <w:vAlign w:val="bottom"/>
            <w:hideMark/>
          </w:tcPr>
          <w:p w14:paraId="795DE357" w14:textId="77777777" w:rsidR="00E34022" w:rsidRPr="00E34022" w:rsidRDefault="00E34022" w:rsidP="00E34022">
            <w:pPr>
              <w:rPr>
                <w:rFonts w:ascii="Calibri" w:hAnsi="Calibri" w:cs="Calibri"/>
                <w:color w:val="000000"/>
                <w:szCs w:val="20"/>
                <w:lang w:val="en-CA" w:eastAsia="en-CA"/>
              </w:rPr>
            </w:pPr>
            <w:r w:rsidRPr="00E34022">
              <w:rPr>
                <w:rFonts w:ascii="Calibri" w:hAnsi="Calibri" w:cs="Calibri"/>
                <w:color w:val="000000"/>
                <w:szCs w:val="20"/>
                <w:lang w:val="en-CA" w:eastAsia="en-CA"/>
              </w:rPr>
              <w:t> </w:t>
            </w:r>
          </w:p>
        </w:tc>
        <w:tc>
          <w:tcPr>
            <w:tcW w:w="1476" w:type="dxa"/>
            <w:tcBorders>
              <w:top w:val="nil"/>
              <w:left w:val="nil"/>
              <w:bottom w:val="single" w:sz="12" w:space="0" w:color="auto"/>
              <w:right w:val="nil"/>
            </w:tcBorders>
            <w:shd w:val="clear" w:color="auto" w:fill="auto"/>
            <w:noWrap/>
            <w:vAlign w:val="bottom"/>
            <w:hideMark/>
          </w:tcPr>
          <w:p w14:paraId="21E78634" w14:textId="77777777" w:rsidR="00E34022" w:rsidRPr="00E34022" w:rsidRDefault="00E34022" w:rsidP="00E34022">
            <w:pPr>
              <w:jc w:val="center"/>
              <w:rPr>
                <w:rFonts w:ascii="Calibri" w:hAnsi="Calibri" w:cs="Calibri"/>
                <w:b/>
                <w:bCs/>
                <w:color w:val="000000"/>
                <w:szCs w:val="20"/>
                <w:lang w:val="en-CA" w:eastAsia="en-CA"/>
              </w:rPr>
            </w:pPr>
            <w:r w:rsidRPr="00E34022">
              <w:rPr>
                <w:rFonts w:ascii="Calibri" w:hAnsi="Calibri" w:cs="Calibri"/>
                <w:b/>
                <w:bCs/>
                <w:color w:val="000000"/>
                <w:szCs w:val="20"/>
                <w:lang w:val="en-CA" w:eastAsia="en-CA"/>
              </w:rPr>
              <w:t>Principal</w:t>
            </w:r>
          </w:p>
        </w:tc>
        <w:tc>
          <w:tcPr>
            <w:tcW w:w="1416" w:type="dxa"/>
            <w:tcBorders>
              <w:top w:val="nil"/>
              <w:left w:val="nil"/>
              <w:bottom w:val="single" w:sz="12" w:space="0" w:color="auto"/>
              <w:right w:val="nil"/>
            </w:tcBorders>
            <w:shd w:val="clear" w:color="auto" w:fill="auto"/>
            <w:noWrap/>
            <w:vAlign w:val="bottom"/>
            <w:hideMark/>
          </w:tcPr>
          <w:p w14:paraId="4A144DA2" w14:textId="77777777" w:rsidR="00E34022" w:rsidRPr="00E34022" w:rsidRDefault="00E34022" w:rsidP="00E34022">
            <w:pPr>
              <w:jc w:val="center"/>
              <w:rPr>
                <w:rFonts w:ascii="Calibri" w:hAnsi="Calibri" w:cs="Calibri"/>
                <w:b/>
                <w:bCs/>
                <w:color w:val="000000"/>
                <w:szCs w:val="20"/>
                <w:lang w:val="en-CA" w:eastAsia="en-CA"/>
              </w:rPr>
            </w:pPr>
            <w:r w:rsidRPr="00E34022">
              <w:rPr>
                <w:rFonts w:ascii="Calibri" w:hAnsi="Calibri" w:cs="Calibri"/>
                <w:b/>
                <w:bCs/>
                <w:color w:val="000000"/>
                <w:szCs w:val="20"/>
                <w:lang w:val="en-CA" w:eastAsia="en-CA"/>
              </w:rPr>
              <w:t>Interest</w:t>
            </w:r>
          </w:p>
        </w:tc>
        <w:tc>
          <w:tcPr>
            <w:tcW w:w="1416" w:type="dxa"/>
            <w:tcBorders>
              <w:top w:val="nil"/>
              <w:left w:val="nil"/>
              <w:bottom w:val="single" w:sz="12" w:space="0" w:color="auto"/>
              <w:right w:val="nil"/>
            </w:tcBorders>
            <w:shd w:val="clear" w:color="auto" w:fill="auto"/>
            <w:noWrap/>
            <w:vAlign w:val="bottom"/>
            <w:hideMark/>
          </w:tcPr>
          <w:p w14:paraId="07F32A67" w14:textId="77777777" w:rsidR="00E34022" w:rsidRPr="00E34022" w:rsidRDefault="00E34022" w:rsidP="00E34022">
            <w:pPr>
              <w:jc w:val="center"/>
              <w:rPr>
                <w:rFonts w:ascii="Calibri" w:hAnsi="Calibri" w:cs="Calibri"/>
                <w:b/>
                <w:bCs/>
                <w:color w:val="000000"/>
                <w:szCs w:val="20"/>
                <w:lang w:val="en-CA" w:eastAsia="en-CA"/>
              </w:rPr>
            </w:pPr>
            <w:r w:rsidRPr="00E34022">
              <w:rPr>
                <w:rFonts w:ascii="Calibri" w:hAnsi="Calibri" w:cs="Calibri"/>
                <w:b/>
                <w:bCs/>
                <w:color w:val="000000"/>
                <w:szCs w:val="20"/>
                <w:lang w:val="en-CA" w:eastAsia="en-CA"/>
              </w:rPr>
              <w:t>Total</w:t>
            </w:r>
          </w:p>
        </w:tc>
      </w:tr>
      <w:tr w:rsidR="00E34022" w:rsidRPr="00E34022" w14:paraId="1378BCFA" w14:textId="77777777" w:rsidTr="00AF37B8">
        <w:trPr>
          <w:trHeight w:val="276"/>
          <w:jc w:val="center"/>
        </w:trPr>
        <w:tc>
          <w:tcPr>
            <w:tcW w:w="3496" w:type="dxa"/>
            <w:tcBorders>
              <w:top w:val="single" w:sz="12" w:space="0" w:color="auto"/>
              <w:left w:val="nil"/>
              <w:bottom w:val="nil"/>
              <w:right w:val="nil"/>
            </w:tcBorders>
            <w:shd w:val="clear" w:color="auto" w:fill="auto"/>
            <w:noWrap/>
            <w:vAlign w:val="bottom"/>
            <w:hideMark/>
          </w:tcPr>
          <w:p w14:paraId="3D10A377" w14:textId="77777777" w:rsidR="00E34022" w:rsidRPr="00E34022" w:rsidRDefault="00E34022" w:rsidP="00E34022">
            <w:pPr>
              <w:rPr>
                <w:rFonts w:ascii="Calibri" w:hAnsi="Calibri" w:cs="Calibri"/>
                <w:color w:val="000000"/>
                <w:szCs w:val="20"/>
                <w:lang w:val="en-CA" w:eastAsia="en-CA"/>
              </w:rPr>
            </w:pPr>
            <w:r w:rsidRPr="00E34022">
              <w:rPr>
                <w:rFonts w:ascii="Calibri" w:hAnsi="Calibri" w:cs="Calibri"/>
                <w:color w:val="000000"/>
                <w:szCs w:val="20"/>
                <w:lang w:val="en-CA" w:eastAsia="en-CA"/>
              </w:rPr>
              <w:t>Balance, June 30, 2023 and 2022</w:t>
            </w:r>
          </w:p>
        </w:tc>
        <w:tc>
          <w:tcPr>
            <w:tcW w:w="1476" w:type="dxa"/>
            <w:tcBorders>
              <w:top w:val="single" w:sz="12" w:space="0" w:color="auto"/>
              <w:left w:val="nil"/>
              <w:bottom w:val="nil"/>
              <w:right w:val="nil"/>
            </w:tcBorders>
            <w:shd w:val="clear" w:color="auto" w:fill="auto"/>
            <w:noWrap/>
            <w:vAlign w:val="bottom"/>
            <w:hideMark/>
          </w:tcPr>
          <w:p w14:paraId="425BE146" w14:textId="3B8B6754" w:rsidR="00E34022" w:rsidRPr="00E34022" w:rsidRDefault="00E34022" w:rsidP="00E34022">
            <w:pPr>
              <w:ind w:right="125"/>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     -   </w:t>
            </w:r>
          </w:p>
        </w:tc>
        <w:tc>
          <w:tcPr>
            <w:tcW w:w="1416" w:type="dxa"/>
            <w:tcBorders>
              <w:top w:val="single" w:sz="12" w:space="0" w:color="auto"/>
              <w:left w:val="nil"/>
              <w:bottom w:val="nil"/>
              <w:right w:val="nil"/>
            </w:tcBorders>
            <w:shd w:val="clear" w:color="auto" w:fill="auto"/>
            <w:noWrap/>
            <w:vAlign w:val="bottom"/>
            <w:hideMark/>
          </w:tcPr>
          <w:p w14:paraId="59DE1A7D" w14:textId="6ACD5498" w:rsidR="00E34022" w:rsidRPr="00E34022" w:rsidRDefault="00E34022" w:rsidP="00E34022">
            <w:pPr>
              <w:ind w:right="125"/>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    -   </w:t>
            </w:r>
          </w:p>
        </w:tc>
        <w:tc>
          <w:tcPr>
            <w:tcW w:w="1416" w:type="dxa"/>
            <w:tcBorders>
              <w:top w:val="single" w:sz="12" w:space="0" w:color="auto"/>
              <w:left w:val="nil"/>
              <w:bottom w:val="nil"/>
              <w:right w:val="nil"/>
            </w:tcBorders>
            <w:shd w:val="clear" w:color="auto" w:fill="auto"/>
            <w:noWrap/>
            <w:vAlign w:val="bottom"/>
            <w:hideMark/>
          </w:tcPr>
          <w:p w14:paraId="38AB0201" w14:textId="3EDBB635" w:rsidR="00E34022" w:rsidRPr="00E34022" w:rsidRDefault="00E34022" w:rsidP="00E34022">
            <w:pPr>
              <w:ind w:right="125"/>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     -   </w:t>
            </w:r>
          </w:p>
        </w:tc>
      </w:tr>
      <w:tr w:rsidR="00E34022" w:rsidRPr="00E34022" w14:paraId="46FE32AF" w14:textId="77777777" w:rsidTr="00E34022">
        <w:trPr>
          <w:trHeight w:val="276"/>
          <w:jc w:val="center"/>
        </w:trPr>
        <w:tc>
          <w:tcPr>
            <w:tcW w:w="3496" w:type="dxa"/>
            <w:tcBorders>
              <w:top w:val="nil"/>
              <w:left w:val="nil"/>
              <w:bottom w:val="nil"/>
              <w:right w:val="nil"/>
            </w:tcBorders>
            <w:shd w:val="clear" w:color="auto" w:fill="auto"/>
            <w:noWrap/>
            <w:vAlign w:val="bottom"/>
            <w:hideMark/>
          </w:tcPr>
          <w:p w14:paraId="19F689C8" w14:textId="77777777" w:rsidR="00E34022" w:rsidRPr="00E34022" w:rsidRDefault="00E34022" w:rsidP="00E34022">
            <w:pPr>
              <w:rPr>
                <w:rFonts w:ascii="Calibri" w:hAnsi="Calibri" w:cs="Calibri"/>
                <w:color w:val="000000"/>
                <w:szCs w:val="20"/>
                <w:lang w:val="en-CA" w:eastAsia="en-CA"/>
              </w:rPr>
            </w:pPr>
            <w:r w:rsidRPr="00E34022">
              <w:rPr>
                <w:rFonts w:ascii="Calibri" w:hAnsi="Calibri" w:cs="Calibri"/>
                <w:color w:val="000000"/>
                <w:szCs w:val="20"/>
                <w:lang w:val="en-CA" w:eastAsia="en-CA"/>
              </w:rPr>
              <w:t>Proceeds</w:t>
            </w:r>
          </w:p>
        </w:tc>
        <w:tc>
          <w:tcPr>
            <w:tcW w:w="1476" w:type="dxa"/>
            <w:tcBorders>
              <w:top w:val="nil"/>
              <w:left w:val="nil"/>
              <w:bottom w:val="nil"/>
              <w:right w:val="nil"/>
            </w:tcBorders>
            <w:shd w:val="clear" w:color="auto" w:fill="auto"/>
            <w:noWrap/>
            <w:vAlign w:val="bottom"/>
            <w:hideMark/>
          </w:tcPr>
          <w:p w14:paraId="221071A9" w14:textId="02B6D80F" w:rsidR="00E34022" w:rsidRPr="00E34022" w:rsidRDefault="00E34022" w:rsidP="00E34022">
            <w:pPr>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350,000 </w:t>
            </w:r>
          </w:p>
        </w:tc>
        <w:tc>
          <w:tcPr>
            <w:tcW w:w="1416" w:type="dxa"/>
            <w:tcBorders>
              <w:top w:val="nil"/>
              <w:left w:val="nil"/>
              <w:bottom w:val="nil"/>
              <w:right w:val="nil"/>
            </w:tcBorders>
            <w:shd w:val="clear" w:color="auto" w:fill="auto"/>
            <w:noWrap/>
            <w:vAlign w:val="bottom"/>
            <w:hideMark/>
          </w:tcPr>
          <w:p w14:paraId="6BE5161E" w14:textId="1C705CE1" w:rsidR="00E34022" w:rsidRPr="00E34022" w:rsidRDefault="00E34022" w:rsidP="00E34022">
            <w:pPr>
              <w:ind w:right="125"/>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bottom"/>
            <w:hideMark/>
          </w:tcPr>
          <w:p w14:paraId="4E8E5FCE" w14:textId="0DE9E8CC" w:rsidR="00E34022" w:rsidRPr="00E34022" w:rsidRDefault="00E34022" w:rsidP="00E34022">
            <w:pPr>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350,000 </w:t>
            </w:r>
          </w:p>
        </w:tc>
      </w:tr>
      <w:tr w:rsidR="00E34022" w:rsidRPr="00E34022" w14:paraId="5732E364" w14:textId="77777777" w:rsidTr="00E34022">
        <w:trPr>
          <w:trHeight w:val="276"/>
          <w:jc w:val="center"/>
        </w:trPr>
        <w:tc>
          <w:tcPr>
            <w:tcW w:w="3496" w:type="dxa"/>
            <w:tcBorders>
              <w:top w:val="nil"/>
              <w:left w:val="nil"/>
              <w:bottom w:val="nil"/>
              <w:right w:val="nil"/>
            </w:tcBorders>
            <w:shd w:val="clear" w:color="auto" w:fill="auto"/>
            <w:noWrap/>
            <w:vAlign w:val="bottom"/>
            <w:hideMark/>
          </w:tcPr>
          <w:p w14:paraId="20EB3D0A" w14:textId="77777777" w:rsidR="00E34022" w:rsidRPr="00E34022" w:rsidRDefault="00E34022" w:rsidP="00E34022">
            <w:pPr>
              <w:rPr>
                <w:rFonts w:ascii="Calibri" w:hAnsi="Calibri" w:cs="Calibri"/>
                <w:color w:val="000000"/>
                <w:szCs w:val="20"/>
                <w:lang w:val="en-CA" w:eastAsia="en-CA"/>
              </w:rPr>
            </w:pPr>
            <w:r w:rsidRPr="00E34022">
              <w:rPr>
                <w:rFonts w:ascii="Calibri" w:hAnsi="Calibri" w:cs="Calibri"/>
                <w:color w:val="000000"/>
                <w:szCs w:val="20"/>
                <w:lang w:val="en-CA" w:eastAsia="en-CA"/>
              </w:rPr>
              <w:t>Interest Expense</w:t>
            </w:r>
          </w:p>
        </w:tc>
        <w:tc>
          <w:tcPr>
            <w:tcW w:w="1476" w:type="dxa"/>
            <w:tcBorders>
              <w:top w:val="nil"/>
              <w:left w:val="nil"/>
              <w:bottom w:val="nil"/>
              <w:right w:val="nil"/>
            </w:tcBorders>
            <w:shd w:val="clear" w:color="auto" w:fill="auto"/>
            <w:noWrap/>
            <w:vAlign w:val="bottom"/>
            <w:hideMark/>
          </w:tcPr>
          <w:p w14:paraId="7B917DD3" w14:textId="77513DA5" w:rsidR="00E34022" w:rsidRPr="00E34022" w:rsidRDefault="00E34022" w:rsidP="00E34022">
            <w:pPr>
              <w:ind w:right="125"/>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bottom"/>
            <w:hideMark/>
          </w:tcPr>
          <w:p w14:paraId="1794F5A6" w14:textId="0896CE2E" w:rsidR="00E34022" w:rsidRPr="00E34022" w:rsidRDefault="00E34022" w:rsidP="00E34022">
            <w:pPr>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31,857 </w:t>
            </w:r>
          </w:p>
        </w:tc>
        <w:tc>
          <w:tcPr>
            <w:tcW w:w="1416" w:type="dxa"/>
            <w:tcBorders>
              <w:top w:val="nil"/>
              <w:left w:val="nil"/>
              <w:bottom w:val="nil"/>
              <w:right w:val="nil"/>
            </w:tcBorders>
            <w:shd w:val="clear" w:color="auto" w:fill="auto"/>
            <w:noWrap/>
            <w:vAlign w:val="bottom"/>
            <w:hideMark/>
          </w:tcPr>
          <w:p w14:paraId="48A0ADA8" w14:textId="61948FE8" w:rsidR="00E34022" w:rsidRPr="00E34022" w:rsidRDefault="00E34022" w:rsidP="00E34022">
            <w:pPr>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31,857 </w:t>
            </w:r>
          </w:p>
        </w:tc>
      </w:tr>
      <w:tr w:rsidR="00E34022" w:rsidRPr="00E34022" w14:paraId="073822EE" w14:textId="77777777" w:rsidTr="00AF37B8">
        <w:trPr>
          <w:trHeight w:val="288"/>
          <w:jc w:val="center"/>
        </w:trPr>
        <w:tc>
          <w:tcPr>
            <w:tcW w:w="3496" w:type="dxa"/>
            <w:tcBorders>
              <w:top w:val="nil"/>
              <w:left w:val="nil"/>
              <w:bottom w:val="single" w:sz="8" w:space="0" w:color="auto"/>
              <w:right w:val="nil"/>
            </w:tcBorders>
            <w:shd w:val="clear" w:color="auto" w:fill="auto"/>
            <w:noWrap/>
            <w:vAlign w:val="bottom"/>
            <w:hideMark/>
          </w:tcPr>
          <w:p w14:paraId="564A599B" w14:textId="77777777" w:rsidR="00E34022" w:rsidRPr="00E34022" w:rsidRDefault="00E34022" w:rsidP="00E34022">
            <w:pPr>
              <w:rPr>
                <w:rFonts w:ascii="Calibri" w:hAnsi="Calibri" w:cs="Calibri"/>
                <w:color w:val="000000"/>
                <w:szCs w:val="20"/>
                <w:lang w:val="en-CA" w:eastAsia="en-CA"/>
              </w:rPr>
            </w:pPr>
            <w:r w:rsidRPr="00E34022">
              <w:rPr>
                <w:rFonts w:ascii="Calibri" w:hAnsi="Calibri" w:cs="Calibri"/>
                <w:color w:val="000000"/>
                <w:szCs w:val="20"/>
                <w:lang w:val="en-CA" w:eastAsia="en-CA"/>
              </w:rPr>
              <w:t>Payment</w:t>
            </w:r>
          </w:p>
        </w:tc>
        <w:tc>
          <w:tcPr>
            <w:tcW w:w="1476" w:type="dxa"/>
            <w:tcBorders>
              <w:top w:val="nil"/>
              <w:left w:val="nil"/>
              <w:bottom w:val="single" w:sz="8" w:space="0" w:color="auto"/>
              <w:right w:val="nil"/>
            </w:tcBorders>
            <w:shd w:val="clear" w:color="auto" w:fill="auto"/>
            <w:noWrap/>
            <w:vAlign w:val="bottom"/>
            <w:hideMark/>
          </w:tcPr>
          <w:p w14:paraId="7D5C66D2" w14:textId="522883B3" w:rsidR="00E34022" w:rsidRPr="00E34022" w:rsidRDefault="00E34022" w:rsidP="00E34022">
            <w:pPr>
              <w:ind w:right="125"/>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   </w:t>
            </w:r>
          </w:p>
        </w:tc>
        <w:tc>
          <w:tcPr>
            <w:tcW w:w="1416" w:type="dxa"/>
            <w:tcBorders>
              <w:top w:val="nil"/>
              <w:left w:val="nil"/>
              <w:bottom w:val="single" w:sz="8" w:space="0" w:color="auto"/>
              <w:right w:val="nil"/>
            </w:tcBorders>
            <w:shd w:val="clear" w:color="auto" w:fill="auto"/>
            <w:noWrap/>
            <w:vAlign w:val="bottom"/>
            <w:hideMark/>
          </w:tcPr>
          <w:p w14:paraId="5CE18C7C" w14:textId="4C8E426B" w:rsidR="00E34022" w:rsidRPr="00E34022" w:rsidRDefault="00E34022" w:rsidP="00E34022">
            <w:pPr>
              <w:ind w:right="-62"/>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(31,857)</w:t>
            </w:r>
          </w:p>
        </w:tc>
        <w:tc>
          <w:tcPr>
            <w:tcW w:w="1416" w:type="dxa"/>
            <w:tcBorders>
              <w:top w:val="nil"/>
              <w:left w:val="nil"/>
              <w:bottom w:val="single" w:sz="8" w:space="0" w:color="auto"/>
              <w:right w:val="nil"/>
            </w:tcBorders>
            <w:shd w:val="clear" w:color="auto" w:fill="auto"/>
            <w:noWrap/>
            <w:vAlign w:val="bottom"/>
            <w:hideMark/>
          </w:tcPr>
          <w:p w14:paraId="53D7572C" w14:textId="1DA7F6FC" w:rsidR="00E34022" w:rsidRPr="00E34022" w:rsidRDefault="00E34022" w:rsidP="00E34022">
            <w:pPr>
              <w:ind w:right="-62"/>
              <w:jc w:val="right"/>
              <w:rPr>
                <w:rFonts w:ascii="Calibri" w:hAnsi="Calibri" w:cs="Calibri"/>
                <w:color w:val="000000"/>
                <w:szCs w:val="20"/>
                <w:lang w:val="en-CA" w:eastAsia="en-CA"/>
              </w:rPr>
            </w:pPr>
            <w:r w:rsidRPr="00E34022">
              <w:rPr>
                <w:rFonts w:ascii="Calibri" w:hAnsi="Calibri" w:cs="Calibri"/>
                <w:color w:val="000000"/>
                <w:szCs w:val="20"/>
                <w:lang w:val="en-CA" w:eastAsia="en-CA"/>
              </w:rPr>
              <w:t xml:space="preserve"> (31,857)</w:t>
            </w:r>
          </w:p>
        </w:tc>
      </w:tr>
      <w:tr w:rsidR="00E34022" w:rsidRPr="00E34022" w14:paraId="6DEBE1BE" w14:textId="77777777" w:rsidTr="00AF37B8">
        <w:trPr>
          <w:trHeight w:val="288"/>
          <w:jc w:val="center"/>
        </w:trPr>
        <w:tc>
          <w:tcPr>
            <w:tcW w:w="3496" w:type="dxa"/>
            <w:tcBorders>
              <w:top w:val="single" w:sz="8" w:space="0" w:color="auto"/>
              <w:left w:val="nil"/>
              <w:bottom w:val="single" w:sz="12" w:space="0" w:color="auto"/>
              <w:right w:val="nil"/>
            </w:tcBorders>
            <w:shd w:val="clear" w:color="auto" w:fill="auto"/>
            <w:noWrap/>
            <w:vAlign w:val="bottom"/>
            <w:hideMark/>
          </w:tcPr>
          <w:p w14:paraId="0FA0C62D" w14:textId="77777777" w:rsidR="00E34022" w:rsidRPr="00E34022" w:rsidRDefault="00E34022" w:rsidP="00E34022">
            <w:pPr>
              <w:rPr>
                <w:rFonts w:ascii="Calibri" w:hAnsi="Calibri" w:cs="Calibri"/>
                <w:b/>
                <w:bCs/>
                <w:color w:val="000000"/>
                <w:szCs w:val="20"/>
                <w:lang w:val="en-CA" w:eastAsia="en-CA"/>
              </w:rPr>
            </w:pPr>
            <w:r w:rsidRPr="00E34022">
              <w:rPr>
                <w:rFonts w:ascii="Calibri" w:hAnsi="Calibri" w:cs="Calibri"/>
                <w:b/>
                <w:bCs/>
                <w:color w:val="000000"/>
                <w:szCs w:val="20"/>
                <w:lang w:val="en-CA" w:eastAsia="en-CA"/>
              </w:rPr>
              <w:t>Balance, March 31, 2024</w:t>
            </w:r>
          </w:p>
        </w:tc>
        <w:tc>
          <w:tcPr>
            <w:tcW w:w="1476" w:type="dxa"/>
            <w:tcBorders>
              <w:top w:val="single" w:sz="8" w:space="0" w:color="auto"/>
              <w:left w:val="nil"/>
              <w:bottom w:val="single" w:sz="12" w:space="0" w:color="auto"/>
              <w:right w:val="nil"/>
            </w:tcBorders>
            <w:shd w:val="clear" w:color="auto" w:fill="auto"/>
            <w:noWrap/>
            <w:vAlign w:val="bottom"/>
            <w:hideMark/>
          </w:tcPr>
          <w:p w14:paraId="25DF6B4A" w14:textId="6D90E5D0" w:rsidR="00E34022" w:rsidRPr="00E34022" w:rsidRDefault="00E34022" w:rsidP="00E34022">
            <w:pPr>
              <w:jc w:val="right"/>
              <w:rPr>
                <w:rFonts w:ascii="Calibri" w:hAnsi="Calibri" w:cs="Calibri"/>
                <w:b/>
                <w:bCs/>
                <w:color w:val="000000"/>
                <w:szCs w:val="20"/>
                <w:lang w:val="en-CA" w:eastAsia="en-CA"/>
              </w:rPr>
            </w:pPr>
            <w:r w:rsidRPr="00E34022">
              <w:rPr>
                <w:rFonts w:ascii="Calibri" w:hAnsi="Calibri" w:cs="Calibri"/>
                <w:b/>
                <w:bCs/>
                <w:color w:val="000000"/>
                <w:szCs w:val="20"/>
                <w:lang w:val="en-CA" w:eastAsia="en-CA"/>
              </w:rPr>
              <w:t xml:space="preserve"> $  350,000 </w:t>
            </w:r>
          </w:p>
        </w:tc>
        <w:tc>
          <w:tcPr>
            <w:tcW w:w="1416" w:type="dxa"/>
            <w:tcBorders>
              <w:top w:val="single" w:sz="8" w:space="0" w:color="auto"/>
              <w:left w:val="nil"/>
              <w:bottom w:val="single" w:sz="12" w:space="0" w:color="auto"/>
              <w:right w:val="nil"/>
            </w:tcBorders>
            <w:shd w:val="clear" w:color="auto" w:fill="auto"/>
            <w:noWrap/>
            <w:vAlign w:val="bottom"/>
            <w:hideMark/>
          </w:tcPr>
          <w:p w14:paraId="0723BF8B" w14:textId="0B704843" w:rsidR="00E34022" w:rsidRPr="00E34022" w:rsidRDefault="00E34022" w:rsidP="00E34022">
            <w:pPr>
              <w:ind w:right="125"/>
              <w:jc w:val="right"/>
              <w:rPr>
                <w:rFonts w:ascii="Calibri" w:hAnsi="Calibri" w:cs="Calibri"/>
                <w:b/>
                <w:bCs/>
                <w:color w:val="000000"/>
                <w:szCs w:val="20"/>
                <w:lang w:val="en-CA" w:eastAsia="en-CA"/>
              </w:rPr>
            </w:pPr>
            <w:r w:rsidRPr="00E34022">
              <w:rPr>
                <w:rFonts w:ascii="Calibri" w:hAnsi="Calibri" w:cs="Calibri"/>
                <w:b/>
                <w:bCs/>
                <w:color w:val="000000"/>
                <w:szCs w:val="20"/>
                <w:lang w:val="en-CA" w:eastAsia="en-CA"/>
              </w:rPr>
              <w:t xml:space="preserve"> $    -   </w:t>
            </w:r>
          </w:p>
        </w:tc>
        <w:tc>
          <w:tcPr>
            <w:tcW w:w="1416" w:type="dxa"/>
            <w:tcBorders>
              <w:top w:val="single" w:sz="8" w:space="0" w:color="auto"/>
              <w:left w:val="nil"/>
              <w:bottom w:val="single" w:sz="12" w:space="0" w:color="auto"/>
              <w:right w:val="nil"/>
            </w:tcBorders>
            <w:shd w:val="clear" w:color="auto" w:fill="auto"/>
            <w:noWrap/>
            <w:vAlign w:val="bottom"/>
            <w:hideMark/>
          </w:tcPr>
          <w:p w14:paraId="0177D9D1" w14:textId="1B61A128" w:rsidR="00E34022" w:rsidRPr="00E34022" w:rsidRDefault="00E34022" w:rsidP="00E34022">
            <w:pPr>
              <w:jc w:val="right"/>
              <w:rPr>
                <w:rFonts w:ascii="Calibri" w:hAnsi="Calibri" w:cs="Calibri"/>
                <w:b/>
                <w:bCs/>
                <w:color w:val="000000"/>
                <w:szCs w:val="20"/>
                <w:lang w:val="en-CA" w:eastAsia="en-CA"/>
              </w:rPr>
            </w:pPr>
            <w:r w:rsidRPr="00E34022">
              <w:rPr>
                <w:rFonts w:ascii="Calibri" w:hAnsi="Calibri" w:cs="Calibri"/>
                <w:b/>
                <w:bCs/>
                <w:color w:val="000000"/>
                <w:szCs w:val="20"/>
                <w:lang w:val="en-CA" w:eastAsia="en-CA"/>
              </w:rPr>
              <w:t xml:space="preserve"> $   350,000 </w:t>
            </w:r>
          </w:p>
        </w:tc>
      </w:tr>
    </w:tbl>
    <w:p w14:paraId="616722F9" w14:textId="77777777" w:rsidR="00735D30" w:rsidRDefault="00735D30" w:rsidP="00F60EA6">
      <w:pPr>
        <w:ind w:left="426"/>
        <w:jc w:val="center"/>
      </w:pPr>
    </w:p>
    <w:p w14:paraId="3CE14C1B" w14:textId="63A90BCA" w:rsidR="000F16FB" w:rsidRPr="00FC2211" w:rsidRDefault="00F307BC" w:rsidP="00F307BC">
      <w:pPr>
        <w:pStyle w:val="Heading1"/>
        <w:rPr>
          <w:rFonts w:cstheme="minorHAnsi"/>
          <w:szCs w:val="20"/>
        </w:rPr>
      </w:pPr>
      <w:r w:rsidRPr="00FC2211">
        <w:rPr>
          <w:rFonts w:cstheme="minorHAnsi"/>
          <w:szCs w:val="20"/>
        </w:rPr>
        <w:t>1</w:t>
      </w:r>
      <w:r w:rsidR="00E14C5D">
        <w:rPr>
          <w:rFonts w:cstheme="minorHAnsi"/>
          <w:szCs w:val="20"/>
        </w:rPr>
        <w:t>5</w:t>
      </w:r>
      <w:r w:rsidRPr="00FC2211">
        <w:rPr>
          <w:rFonts w:cstheme="minorHAnsi"/>
          <w:szCs w:val="20"/>
        </w:rPr>
        <w:t xml:space="preserve">. </w:t>
      </w:r>
      <w:r w:rsidR="00D52B37" w:rsidRPr="00FC2211">
        <w:rPr>
          <w:rFonts w:cstheme="minorHAnsi"/>
          <w:szCs w:val="20"/>
        </w:rPr>
        <w:t xml:space="preserve">  </w:t>
      </w:r>
      <w:r w:rsidR="003F496E" w:rsidRPr="00FC2211">
        <w:rPr>
          <w:rFonts w:cstheme="minorHAnsi"/>
          <w:szCs w:val="20"/>
        </w:rPr>
        <w:t>GOVERNMENT</w:t>
      </w:r>
      <w:r w:rsidR="003F496E" w:rsidRPr="00FC2211">
        <w:rPr>
          <w:rFonts w:cstheme="minorHAnsi"/>
          <w:szCs w:val="20"/>
          <w:lang w:val="en-GB"/>
        </w:rPr>
        <w:t xml:space="preserve"> GRANT</w:t>
      </w:r>
    </w:p>
    <w:p w14:paraId="2A317FED" w14:textId="77777777" w:rsidR="000F16FB" w:rsidRPr="00FC2211" w:rsidRDefault="000F16FB" w:rsidP="000F16FB">
      <w:pPr>
        <w:rPr>
          <w:rFonts w:cstheme="minorHAnsi"/>
          <w:szCs w:val="20"/>
          <w:lang w:val="en-GB"/>
        </w:rPr>
      </w:pPr>
    </w:p>
    <w:p w14:paraId="04D5395A" w14:textId="3652FF54" w:rsidR="00AD666F" w:rsidRPr="00FC2211" w:rsidRDefault="00AD666F" w:rsidP="00AD666F">
      <w:pPr>
        <w:pStyle w:val="NormalWeb"/>
        <w:ind w:left="357"/>
        <w:jc w:val="both"/>
        <w:rPr>
          <w:rFonts w:eastAsia="Calibri" w:cstheme="minorHAnsi"/>
          <w:szCs w:val="20"/>
        </w:rPr>
      </w:pPr>
      <w:r w:rsidRPr="00FC2211">
        <w:rPr>
          <w:rFonts w:eastAsia="Calibri" w:cstheme="minorHAnsi"/>
          <w:szCs w:val="20"/>
        </w:rPr>
        <w:t xml:space="preserve">Due </w:t>
      </w:r>
      <w:r w:rsidR="00EB3813" w:rsidRPr="00FC2211">
        <w:rPr>
          <w:rFonts w:eastAsia="Calibri" w:cstheme="minorHAnsi"/>
          <w:szCs w:val="20"/>
        </w:rPr>
        <w:t xml:space="preserve">to </w:t>
      </w:r>
      <w:r w:rsidRPr="00FC2211">
        <w:rPr>
          <w:rFonts w:eastAsia="Calibri" w:cstheme="minorHAnsi"/>
          <w:szCs w:val="20"/>
        </w:rPr>
        <w:t xml:space="preserve">the global outbreak of </w:t>
      </w:r>
      <w:r w:rsidR="00EB3813" w:rsidRPr="00FC2211">
        <w:rPr>
          <w:rFonts w:eastAsia="Calibri" w:cstheme="minorHAnsi"/>
          <w:szCs w:val="20"/>
        </w:rPr>
        <w:t xml:space="preserve">the </w:t>
      </w:r>
      <w:r w:rsidRPr="00FC2211">
        <w:rPr>
          <w:rFonts w:eastAsia="Calibri" w:cstheme="minorHAnsi"/>
          <w:szCs w:val="20"/>
        </w:rPr>
        <w:t xml:space="preserve">Novel Coronavirus (“COVID-19”), the federal government of Canada introduced the Canada Emergency Business Account (“CEBA”).  CEBA provides </w:t>
      </w:r>
      <w:r w:rsidR="007F5BF5" w:rsidRPr="00FC2211">
        <w:rPr>
          <w:rFonts w:eastAsia="Calibri" w:cstheme="minorHAnsi"/>
          <w:szCs w:val="20"/>
        </w:rPr>
        <w:t xml:space="preserve">eligible businesses </w:t>
      </w:r>
      <w:r w:rsidR="000E7412" w:rsidRPr="00FC2211">
        <w:rPr>
          <w:rFonts w:eastAsia="Calibri" w:cstheme="minorHAnsi"/>
          <w:szCs w:val="20"/>
        </w:rPr>
        <w:t xml:space="preserve">with </w:t>
      </w:r>
      <w:r w:rsidR="007F5BF5" w:rsidRPr="00FC2211">
        <w:rPr>
          <w:rFonts w:eastAsia="Calibri" w:cstheme="minorHAnsi"/>
          <w:szCs w:val="20"/>
        </w:rPr>
        <w:t>an interest-free loan (“CEBA Loan”) of $40,000</w:t>
      </w:r>
      <w:r w:rsidRPr="00FC2211">
        <w:rPr>
          <w:rFonts w:eastAsia="Calibri" w:cstheme="minorHAnsi"/>
          <w:szCs w:val="20"/>
        </w:rPr>
        <w:t>.  The CEBA Loan has an initial term that expires on December 31, 202</w:t>
      </w:r>
      <w:r w:rsidR="00EB3813" w:rsidRPr="00FC2211">
        <w:rPr>
          <w:rFonts w:eastAsia="Calibri" w:cstheme="minorHAnsi"/>
          <w:szCs w:val="20"/>
        </w:rPr>
        <w:t>2</w:t>
      </w:r>
      <w:r w:rsidRPr="00FC2211">
        <w:rPr>
          <w:rFonts w:eastAsia="Calibri" w:cstheme="minorHAnsi"/>
          <w:szCs w:val="20"/>
        </w:rPr>
        <w:t>, throughout which the CEBA Loan remains interest</w:t>
      </w:r>
      <w:r w:rsidR="00EB3813" w:rsidRPr="00FC2211">
        <w:rPr>
          <w:rFonts w:eastAsia="Calibri" w:cstheme="minorHAnsi"/>
          <w:szCs w:val="20"/>
        </w:rPr>
        <w:t>-</w:t>
      </w:r>
      <w:r w:rsidRPr="00FC2211">
        <w:rPr>
          <w:rFonts w:eastAsia="Calibri" w:cstheme="minorHAnsi"/>
          <w:szCs w:val="20"/>
        </w:rPr>
        <w:t>free</w:t>
      </w:r>
      <w:r w:rsidR="007F5BF5" w:rsidRPr="00FC2211">
        <w:rPr>
          <w:rFonts w:eastAsia="Calibri" w:cstheme="minorHAnsi"/>
          <w:szCs w:val="20"/>
        </w:rPr>
        <w:t>—repayment</w:t>
      </w:r>
      <w:r w:rsidRPr="00FC2211">
        <w:rPr>
          <w:rFonts w:eastAsia="Calibri" w:cstheme="minorHAnsi"/>
          <w:szCs w:val="20"/>
        </w:rPr>
        <w:t xml:space="preserve"> of $30,000 by December 31, 20</w:t>
      </w:r>
      <w:r w:rsidR="00EB3813" w:rsidRPr="00FC2211">
        <w:rPr>
          <w:rFonts w:eastAsia="Calibri" w:cstheme="minorHAnsi"/>
          <w:szCs w:val="20"/>
        </w:rPr>
        <w:t>22</w:t>
      </w:r>
      <w:r w:rsidRPr="00FC2211">
        <w:rPr>
          <w:rFonts w:eastAsia="Calibri" w:cstheme="minorHAnsi"/>
          <w:szCs w:val="20"/>
        </w:rPr>
        <w:t xml:space="preserve">, results in a $10,000 loan forgiveness. If the balance is not paid </w:t>
      </w:r>
      <w:r w:rsidR="007F5BF5" w:rsidRPr="00FC2211">
        <w:rPr>
          <w:rFonts w:eastAsia="Calibri" w:cstheme="minorHAnsi"/>
          <w:szCs w:val="20"/>
        </w:rPr>
        <w:t>before</w:t>
      </w:r>
      <w:r w:rsidRPr="00FC2211">
        <w:rPr>
          <w:rFonts w:eastAsia="Calibri" w:cstheme="minorHAnsi"/>
          <w:szCs w:val="20"/>
        </w:rPr>
        <w:t xml:space="preserve"> December 31, 202</w:t>
      </w:r>
      <w:r w:rsidR="00EB3813" w:rsidRPr="00FC2211">
        <w:rPr>
          <w:rFonts w:eastAsia="Calibri" w:cstheme="minorHAnsi"/>
          <w:szCs w:val="20"/>
        </w:rPr>
        <w:t>2</w:t>
      </w:r>
      <w:r w:rsidRPr="00FC2211">
        <w:rPr>
          <w:rFonts w:eastAsia="Calibri" w:cstheme="minorHAnsi"/>
          <w:szCs w:val="20"/>
        </w:rPr>
        <w:t>, the remaining balance will be converted to a 3-year term loan at 5% annual interest, paid monthly</w:t>
      </w:r>
      <w:r w:rsidR="007F5BF5" w:rsidRPr="00FC2211">
        <w:rPr>
          <w:rFonts w:eastAsia="Calibri" w:cstheme="minorHAnsi"/>
          <w:szCs w:val="20"/>
        </w:rPr>
        <w:t>,</w:t>
      </w:r>
      <w:r w:rsidRPr="00FC2211">
        <w:rPr>
          <w:rFonts w:eastAsia="Calibri" w:cstheme="minorHAnsi"/>
          <w:szCs w:val="20"/>
        </w:rPr>
        <w:t xml:space="preserve"> effective January 1, 202</w:t>
      </w:r>
      <w:r w:rsidR="00EB3813" w:rsidRPr="00FC2211">
        <w:rPr>
          <w:rFonts w:eastAsia="Calibri" w:cstheme="minorHAnsi"/>
          <w:szCs w:val="20"/>
        </w:rPr>
        <w:t>3</w:t>
      </w:r>
      <w:r w:rsidRPr="00FC2211">
        <w:rPr>
          <w:rFonts w:eastAsia="Calibri" w:cstheme="minorHAnsi"/>
          <w:szCs w:val="20"/>
        </w:rPr>
        <w:t xml:space="preserve">.  The </w:t>
      </w:r>
      <w:r w:rsidR="007F5BF5" w:rsidRPr="00FC2211">
        <w:rPr>
          <w:rFonts w:eastAsia="Calibri" w:cstheme="minorHAnsi"/>
          <w:szCs w:val="20"/>
        </w:rPr>
        <w:t>entire</w:t>
      </w:r>
      <w:r w:rsidRPr="00FC2211">
        <w:rPr>
          <w:rFonts w:eastAsia="Calibri" w:cstheme="minorHAnsi"/>
          <w:szCs w:val="20"/>
        </w:rPr>
        <w:t xml:space="preserve"> balance must be repaid by December 31, 202</w:t>
      </w:r>
      <w:r w:rsidR="00EB3813" w:rsidRPr="00FC2211">
        <w:rPr>
          <w:rFonts w:eastAsia="Calibri" w:cstheme="minorHAnsi"/>
          <w:szCs w:val="20"/>
        </w:rPr>
        <w:t>5</w:t>
      </w:r>
      <w:r w:rsidRPr="00FC2211">
        <w:rPr>
          <w:rFonts w:eastAsia="Calibri" w:cstheme="minorHAnsi"/>
          <w:szCs w:val="20"/>
        </w:rPr>
        <w:t xml:space="preserve">. On May 6, 2020, INEO Solutions and FG Manufacturing each received $40,000 </w:t>
      </w:r>
      <w:r w:rsidR="00EB3813" w:rsidRPr="00FC2211">
        <w:rPr>
          <w:rFonts w:eastAsia="Calibri" w:cstheme="minorHAnsi"/>
          <w:szCs w:val="20"/>
        </w:rPr>
        <w:t xml:space="preserve">in </w:t>
      </w:r>
      <w:r w:rsidRPr="00FC2211">
        <w:rPr>
          <w:rFonts w:eastAsia="Calibri" w:cstheme="minorHAnsi"/>
          <w:szCs w:val="20"/>
        </w:rPr>
        <w:t xml:space="preserve">loans from the Government as part of the CEBA.  </w:t>
      </w:r>
    </w:p>
    <w:p w14:paraId="0305E83F" w14:textId="77777777" w:rsidR="00AD666F" w:rsidRPr="00FC2211" w:rsidRDefault="00AD666F" w:rsidP="00AD666F">
      <w:pPr>
        <w:pStyle w:val="NormalWeb"/>
        <w:ind w:left="357"/>
        <w:jc w:val="both"/>
        <w:rPr>
          <w:rFonts w:eastAsia="Calibri" w:cstheme="minorHAnsi"/>
          <w:szCs w:val="20"/>
        </w:rPr>
      </w:pPr>
    </w:p>
    <w:p w14:paraId="14AB755B" w14:textId="574FB939" w:rsidR="00AD666F" w:rsidRPr="00FC2211" w:rsidRDefault="00AD666F" w:rsidP="00AD666F">
      <w:pPr>
        <w:pStyle w:val="NormalWeb"/>
        <w:ind w:left="357"/>
        <w:jc w:val="both"/>
        <w:rPr>
          <w:rFonts w:eastAsia="Calibri" w:cstheme="minorHAnsi"/>
          <w:szCs w:val="20"/>
        </w:rPr>
      </w:pPr>
      <w:r w:rsidRPr="00FC2211">
        <w:rPr>
          <w:rFonts w:eastAsia="Calibri" w:cstheme="minorHAnsi"/>
          <w:szCs w:val="20"/>
        </w:rPr>
        <w:t>On December 4, 2020, the federal government of Canada expanded CEBA</w:t>
      </w:r>
      <w:r w:rsidR="00EB3813" w:rsidRPr="00FC2211">
        <w:rPr>
          <w:rFonts w:eastAsia="Calibri" w:cstheme="minorHAnsi"/>
          <w:szCs w:val="20"/>
        </w:rPr>
        <w:t>,</w:t>
      </w:r>
      <w:r w:rsidRPr="00FC2211">
        <w:rPr>
          <w:rFonts w:eastAsia="Calibri" w:cstheme="minorHAnsi"/>
          <w:szCs w:val="20"/>
        </w:rPr>
        <w:t xml:space="preserve"> and eligible businesses facing financial hardship due to the pandemic </w:t>
      </w:r>
      <w:r w:rsidR="007F5BF5" w:rsidRPr="00FC2211">
        <w:rPr>
          <w:rFonts w:eastAsia="Calibri" w:cstheme="minorHAnsi"/>
          <w:szCs w:val="20"/>
        </w:rPr>
        <w:t>could</w:t>
      </w:r>
      <w:r w:rsidRPr="00FC2211">
        <w:rPr>
          <w:rFonts w:eastAsia="Calibri" w:cstheme="minorHAnsi"/>
          <w:szCs w:val="20"/>
        </w:rPr>
        <w:t xml:space="preserve"> access a second loan of up to $20,000.  Half of this additional financing, up to $10,000</w:t>
      </w:r>
      <w:r w:rsidR="007F5BF5" w:rsidRPr="00FC2211">
        <w:rPr>
          <w:rFonts w:eastAsia="Calibri" w:cstheme="minorHAnsi"/>
          <w:szCs w:val="20"/>
        </w:rPr>
        <w:t>,</w:t>
      </w:r>
      <w:r w:rsidRPr="00FC2211">
        <w:rPr>
          <w:rFonts w:eastAsia="Calibri" w:cstheme="minorHAnsi"/>
          <w:szCs w:val="20"/>
        </w:rPr>
        <w:t xml:space="preserve"> will be forgivable if the loan is repaid by December 31, 202</w:t>
      </w:r>
      <w:r w:rsidR="00CE356F" w:rsidRPr="00FC2211">
        <w:rPr>
          <w:rFonts w:eastAsia="Calibri" w:cstheme="minorHAnsi"/>
          <w:szCs w:val="20"/>
        </w:rPr>
        <w:t>2</w:t>
      </w:r>
      <w:r w:rsidRPr="00FC2211">
        <w:rPr>
          <w:rFonts w:eastAsia="Calibri" w:cstheme="minorHAnsi"/>
          <w:szCs w:val="20"/>
        </w:rPr>
        <w:t xml:space="preserve">. If the balance is not paid </w:t>
      </w:r>
      <w:r w:rsidR="007F5BF5" w:rsidRPr="00FC2211">
        <w:rPr>
          <w:rFonts w:eastAsia="Calibri" w:cstheme="minorHAnsi"/>
          <w:szCs w:val="20"/>
        </w:rPr>
        <w:t>before</w:t>
      </w:r>
      <w:r w:rsidRPr="00FC2211">
        <w:rPr>
          <w:rFonts w:eastAsia="Calibri" w:cstheme="minorHAnsi"/>
          <w:szCs w:val="20"/>
        </w:rPr>
        <w:t xml:space="preserve"> December 31, 202</w:t>
      </w:r>
      <w:r w:rsidR="00CE356F" w:rsidRPr="00FC2211">
        <w:rPr>
          <w:rFonts w:eastAsia="Calibri" w:cstheme="minorHAnsi"/>
          <w:szCs w:val="20"/>
        </w:rPr>
        <w:t>2</w:t>
      </w:r>
      <w:r w:rsidRPr="00FC2211">
        <w:rPr>
          <w:rFonts w:eastAsia="Calibri" w:cstheme="minorHAnsi"/>
          <w:szCs w:val="20"/>
        </w:rPr>
        <w:t>, the remaining balance will be converted to a 3-year term loan at 5% annual interest, paid monthly</w:t>
      </w:r>
      <w:r w:rsidR="007F5BF5" w:rsidRPr="00FC2211">
        <w:rPr>
          <w:rFonts w:eastAsia="Calibri" w:cstheme="minorHAnsi"/>
          <w:szCs w:val="20"/>
        </w:rPr>
        <w:t>,</w:t>
      </w:r>
      <w:r w:rsidRPr="00FC2211">
        <w:rPr>
          <w:rFonts w:eastAsia="Calibri" w:cstheme="minorHAnsi"/>
          <w:szCs w:val="20"/>
        </w:rPr>
        <w:t xml:space="preserve"> effective January 1, 2024.  The </w:t>
      </w:r>
      <w:r w:rsidR="007F5BF5" w:rsidRPr="00FC2211">
        <w:rPr>
          <w:rFonts w:eastAsia="Calibri" w:cstheme="minorHAnsi"/>
          <w:szCs w:val="20"/>
        </w:rPr>
        <w:t>entire</w:t>
      </w:r>
      <w:r w:rsidRPr="00FC2211">
        <w:rPr>
          <w:rFonts w:eastAsia="Calibri" w:cstheme="minorHAnsi"/>
          <w:szCs w:val="20"/>
        </w:rPr>
        <w:t xml:space="preserve"> balance must be repaid by December 31, 2026.  On April 7, 2021, INEO Solutions and FG Manufacturing each received an additional $20,000 </w:t>
      </w:r>
      <w:r w:rsidR="00EB3813" w:rsidRPr="00FC2211">
        <w:rPr>
          <w:rFonts w:eastAsia="Calibri" w:cstheme="minorHAnsi"/>
          <w:szCs w:val="20"/>
        </w:rPr>
        <w:t xml:space="preserve">in </w:t>
      </w:r>
      <w:r w:rsidRPr="00FC2211">
        <w:rPr>
          <w:rFonts w:eastAsia="Calibri" w:cstheme="minorHAnsi"/>
          <w:szCs w:val="20"/>
        </w:rPr>
        <w:t xml:space="preserve">loans from the Government as part of CEBA. </w:t>
      </w:r>
    </w:p>
    <w:p w14:paraId="10C1EDF2" w14:textId="77777777" w:rsidR="00AD666F" w:rsidRPr="00FC2211" w:rsidRDefault="00AD666F" w:rsidP="00AD666F">
      <w:pPr>
        <w:pStyle w:val="NormalWeb"/>
        <w:ind w:left="357"/>
        <w:jc w:val="both"/>
        <w:rPr>
          <w:rFonts w:eastAsia="Calibri" w:cstheme="minorHAnsi"/>
          <w:szCs w:val="20"/>
        </w:rPr>
      </w:pPr>
    </w:p>
    <w:p w14:paraId="7AD204C6" w14:textId="11732470" w:rsidR="00AD666F" w:rsidRDefault="007F5BF5" w:rsidP="00AD666F">
      <w:pPr>
        <w:pStyle w:val="NormalWeb"/>
        <w:ind w:left="357"/>
        <w:jc w:val="both"/>
        <w:rPr>
          <w:rFonts w:eastAsia="Calibri" w:cstheme="minorHAnsi"/>
          <w:szCs w:val="20"/>
        </w:rPr>
      </w:pPr>
      <w:r w:rsidRPr="00FC2211">
        <w:rPr>
          <w:rFonts w:eastAsia="Calibri" w:cstheme="minorHAnsi"/>
          <w:szCs w:val="20"/>
        </w:rPr>
        <w:t>Under</w:t>
      </w:r>
      <w:r w:rsidR="00AD666F" w:rsidRPr="00FC2211">
        <w:rPr>
          <w:rFonts w:eastAsia="Calibri" w:cstheme="minorHAnsi"/>
          <w:szCs w:val="20"/>
        </w:rPr>
        <w:t xml:space="preserve"> </w:t>
      </w:r>
      <w:r w:rsidR="00AD666F" w:rsidRPr="00FC2211">
        <w:rPr>
          <w:rFonts w:eastAsia="Calibri" w:cstheme="minorHAnsi"/>
          <w:i/>
          <w:iCs/>
          <w:szCs w:val="20"/>
        </w:rPr>
        <w:t>IAS 20, Accounting for Government Grant and Disclosure of Government Assistance</w:t>
      </w:r>
      <w:r w:rsidR="00AD666F" w:rsidRPr="00FC2211">
        <w:rPr>
          <w:rFonts w:eastAsia="Calibri" w:cstheme="minorHAnsi"/>
          <w:szCs w:val="20"/>
        </w:rPr>
        <w:t xml:space="preserve">, the benefit of a government loan at </w:t>
      </w:r>
      <w:r w:rsidR="00EB3813" w:rsidRPr="00FC2211">
        <w:rPr>
          <w:rFonts w:eastAsia="Calibri" w:cstheme="minorHAnsi"/>
          <w:szCs w:val="20"/>
        </w:rPr>
        <w:t xml:space="preserve">a </w:t>
      </w:r>
      <w:r w:rsidR="00AD666F" w:rsidRPr="00FC2211">
        <w:rPr>
          <w:rFonts w:eastAsia="Calibri" w:cstheme="minorHAnsi"/>
          <w:szCs w:val="20"/>
        </w:rPr>
        <w:t xml:space="preserve">below-market rate is treated as a government grant and measured in accordance with </w:t>
      </w:r>
      <w:r w:rsidR="00AD666F" w:rsidRPr="00FC2211">
        <w:rPr>
          <w:rFonts w:eastAsia="Calibri" w:cstheme="minorHAnsi"/>
          <w:i/>
          <w:iCs/>
          <w:szCs w:val="20"/>
        </w:rPr>
        <w:t>IFRS 9, Financial Instruments</w:t>
      </w:r>
      <w:r w:rsidR="00AD666F" w:rsidRPr="00FC2211">
        <w:rPr>
          <w:rFonts w:eastAsia="Calibri" w:cstheme="minorHAnsi"/>
          <w:szCs w:val="20"/>
        </w:rPr>
        <w:t xml:space="preserve">. The benefit of </w:t>
      </w:r>
      <w:r w:rsidR="00EB3813" w:rsidRPr="00FC2211">
        <w:rPr>
          <w:rFonts w:eastAsia="Calibri" w:cstheme="minorHAnsi"/>
          <w:szCs w:val="20"/>
        </w:rPr>
        <w:t>below-market-rate</w:t>
      </w:r>
      <w:r w:rsidR="00AD666F" w:rsidRPr="00FC2211">
        <w:rPr>
          <w:rFonts w:eastAsia="Calibri" w:cstheme="minorHAnsi"/>
          <w:szCs w:val="20"/>
        </w:rPr>
        <w:t xml:space="preserve"> shall be measured as the difference between the initial carrying value of the loan (being the present value of a similar loan at market rates) and the proceeds received. The Company has estimated the initial carrying value of each initial CEBA loan at $26,880 and additional loans at $15,408, using a discount rate of 15%, which was the estimated rate for a similar loan without the interest-free component.  The difference will be accreted to each CEBA loan liability over the term of the CEBA Loan and offset to other income on the statements of loss and comprehensive loss.</w:t>
      </w:r>
    </w:p>
    <w:p w14:paraId="7A0792F9" w14:textId="77777777" w:rsidR="00C41B40" w:rsidRDefault="00C41B40" w:rsidP="00AD666F">
      <w:pPr>
        <w:pStyle w:val="NormalWeb"/>
        <w:ind w:left="357"/>
        <w:jc w:val="both"/>
        <w:rPr>
          <w:rFonts w:eastAsia="Calibri" w:cstheme="minorHAnsi"/>
          <w:szCs w:val="20"/>
        </w:rPr>
      </w:pPr>
    </w:p>
    <w:p w14:paraId="59DA5A33" w14:textId="77777777" w:rsidR="00C41B40" w:rsidRDefault="00C41B40" w:rsidP="00C41B40">
      <w:pPr>
        <w:pStyle w:val="NormalWeb"/>
        <w:ind w:left="357"/>
        <w:jc w:val="both"/>
        <w:rPr>
          <w:rFonts w:eastAsia="Calibri" w:cstheme="minorHAnsi"/>
          <w:szCs w:val="20"/>
        </w:rPr>
      </w:pPr>
      <w:r w:rsidRPr="00FC2211">
        <w:rPr>
          <w:rFonts w:eastAsia="Calibri" w:cstheme="minorHAnsi"/>
          <w:szCs w:val="20"/>
        </w:rPr>
        <w:t xml:space="preserve">On January 12, 2022, the government extended the loan repayment deadline to December 31, 2023. If the loan balance remains unpaid after December 31, 2023, the outstanding loans will convert to two-year term loans with an interest of 5% per annum commencing on January 1, 2024, with the loans entirely due by December 31, 2025. The Company has estimated the new carrying value of the CEBA loan at $103,381, using a discount rate of 15%, which was the estimated rate for a similar loan without the interest-free component.  Furthermore, the Company has estimated that the loan remeasurement resulted in a gain of $8,620. The difference will be accreted to each CEBA loan liability over the term of the CEBA Loan and offset to other income (expenses) on the statements of loss and comprehensive loss. </w:t>
      </w:r>
    </w:p>
    <w:p w14:paraId="1C2BBC69" w14:textId="77777777" w:rsidR="00C41B40" w:rsidRDefault="00C41B40" w:rsidP="00C41B40">
      <w:pPr>
        <w:pStyle w:val="NormalWeb"/>
        <w:ind w:left="357"/>
        <w:jc w:val="both"/>
        <w:rPr>
          <w:rFonts w:eastAsia="Calibri" w:cstheme="minorHAnsi"/>
          <w:szCs w:val="20"/>
        </w:rPr>
      </w:pPr>
    </w:p>
    <w:p w14:paraId="2C712046" w14:textId="77777777" w:rsidR="00766C8C" w:rsidRPr="00FC2211" w:rsidRDefault="00766C8C" w:rsidP="00766C8C">
      <w:pPr>
        <w:pStyle w:val="Heading1"/>
        <w:rPr>
          <w:rFonts w:cstheme="minorHAnsi"/>
          <w:szCs w:val="20"/>
        </w:rPr>
      </w:pPr>
      <w:r w:rsidRPr="00FC2211">
        <w:rPr>
          <w:rFonts w:cstheme="minorHAnsi"/>
          <w:szCs w:val="20"/>
        </w:rPr>
        <w:lastRenderedPageBreak/>
        <w:t>1</w:t>
      </w:r>
      <w:r>
        <w:rPr>
          <w:rFonts w:cstheme="minorHAnsi"/>
          <w:szCs w:val="20"/>
        </w:rPr>
        <w:t>5</w:t>
      </w:r>
      <w:r w:rsidRPr="00FC2211">
        <w:rPr>
          <w:rFonts w:cstheme="minorHAnsi"/>
          <w:szCs w:val="20"/>
        </w:rPr>
        <w:t>.   GOVERNMENT</w:t>
      </w:r>
      <w:r w:rsidRPr="00FC2211">
        <w:rPr>
          <w:rFonts w:cstheme="minorHAnsi"/>
          <w:szCs w:val="20"/>
          <w:lang w:val="en-GB"/>
        </w:rPr>
        <w:t xml:space="preserve"> GRANT</w:t>
      </w:r>
      <w:r>
        <w:rPr>
          <w:rFonts w:cstheme="minorHAnsi"/>
          <w:szCs w:val="20"/>
          <w:lang w:val="en-GB"/>
        </w:rPr>
        <w:t xml:space="preserve"> (CONTINUED)</w:t>
      </w:r>
    </w:p>
    <w:p w14:paraId="71D51AFD" w14:textId="77777777" w:rsidR="00766C8C" w:rsidRDefault="00766C8C" w:rsidP="00C41B40">
      <w:pPr>
        <w:pStyle w:val="NormalWeb"/>
        <w:ind w:left="357"/>
        <w:jc w:val="both"/>
        <w:rPr>
          <w:rFonts w:eastAsia="Calibri" w:cstheme="minorHAnsi"/>
          <w:szCs w:val="20"/>
        </w:rPr>
      </w:pPr>
    </w:p>
    <w:p w14:paraId="1FE755CC" w14:textId="2F08709E" w:rsidR="00C41B40" w:rsidRPr="00FC2211" w:rsidRDefault="00C41B40" w:rsidP="00C41B40">
      <w:pPr>
        <w:pStyle w:val="NormalWeb"/>
        <w:ind w:left="357"/>
        <w:jc w:val="both"/>
        <w:rPr>
          <w:rFonts w:eastAsia="Calibri" w:cstheme="minorHAnsi"/>
          <w:szCs w:val="20"/>
        </w:rPr>
      </w:pPr>
      <w:r w:rsidRPr="00FC2211">
        <w:rPr>
          <w:rFonts w:eastAsia="Calibri" w:cstheme="minorHAnsi"/>
          <w:szCs w:val="20"/>
        </w:rPr>
        <w:t>On September 14, 2023, the government extended the loan repayment deadline to January 18, 2024. Additionally, repaying the balance of the loan on or before said date will result in loan forgiveness of up to 33% or up to $20,000. Furthermore, CEBA loan holders who submit a refinancing loan application to their financial institution provider by January 18, 2024, requiring a grace period can still qualify for partial loan forgiveness if the outstanding principal of their CEBA loan, plus any applicable interest is repaid by March 28, 2024. The Government of Canada also extended the final loan maturity date from December 31, 2025, to December 31, 2026, with the same interest rate of 5% per annum.</w:t>
      </w:r>
    </w:p>
    <w:p w14:paraId="177153F0" w14:textId="77777777" w:rsidR="000A0966" w:rsidRPr="00FC2211" w:rsidRDefault="000A0966" w:rsidP="00C41B40">
      <w:pPr>
        <w:pStyle w:val="NormalWeb"/>
        <w:ind w:left="357"/>
        <w:jc w:val="both"/>
        <w:rPr>
          <w:rFonts w:eastAsia="Calibri" w:cstheme="minorHAnsi"/>
          <w:szCs w:val="20"/>
        </w:rPr>
      </w:pPr>
    </w:p>
    <w:p w14:paraId="27C0A6DB" w14:textId="190686CF" w:rsidR="00C41B40" w:rsidRPr="00FC2211" w:rsidRDefault="00A27D66" w:rsidP="00C41B40">
      <w:pPr>
        <w:pStyle w:val="NormalWeb"/>
        <w:ind w:left="357"/>
        <w:jc w:val="both"/>
        <w:rPr>
          <w:rFonts w:eastAsia="Calibri" w:cstheme="minorHAnsi"/>
          <w:szCs w:val="20"/>
        </w:rPr>
      </w:pPr>
      <w:r>
        <w:rPr>
          <w:rFonts w:eastAsia="Calibri" w:cstheme="minorHAnsi"/>
          <w:szCs w:val="20"/>
        </w:rPr>
        <w:t xml:space="preserve">The loan was not paid by the Company on January 18, 2024 and the maturity date was automatically extended to December 31, 2026. </w:t>
      </w:r>
      <w:r w:rsidR="00C41B40" w:rsidRPr="00FC2211">
        <w:rPr>
          <w:rFonts w:eastAsia="Calibri" w:cstheme="minorHAnsi"/>
          <w:szCs w:val="20"/>
        </w:rPr>
        <w:t xml:space="preserve">During the </w:t>
      </w:r>
      <w:r w:rsidR="002269DD">
        <w:rPr>
          <w:rFonts w:eastAsia="Calibri" w:cstheme="minorHAnsi"/>
          <w:szCs w:val="20"/>
        </w:rPr>
        <w:t>nine</w:t>
      </w:r>
      <w:r w:rsidR="00C41B40" w:rsidRPr="00FC2211">
        <w:rPr>
          <w:rFonts w:eastAsia="Calibri" w:cstheme="minorHAnsi"/>
          <w:szCs w:val="20"/>
        </w:rPr>
        <w:t xml:space="preserve"> months ended </w:t>
      </w:r>
      <w:r w:rsidR="002269DD">
        <w:rPr>
          <w:rFonts w:eastAsia="Calibri" w:cstheme="minorHAnsi"/>
          <w:szCs w:val="20"/>
        </w:rPr>
        <w:t xml:space="preserve">March </w:t>
      </w:r>
      <w:r w:rsidR="00C41B40" w:rsidRPr="00FC2211">
        <w:rPr>
          <w:rFonts w:eastAsia="Calibri" w:cstheme="minorHAnsi"/>
          <w:szCs w:val="20"/>
        </w:rPr>
        <w:t>31, 202</w:t>
      </w:r>
      <w:r w:rsidR="002269DD">
        <w:rPr>
          <w:rFonts w:eastAsia="Calibri" w:cstheme="minorHAnsi"/>
          <w:szCs w:val="20"/>
        </w:rPr>
        <w:t>4</w:t>
      </w:r>
      <w:r w:rsidR="00C41B40" w:rsidRPr="00FC2211">
        <w:rPr>
          <w:rFonts w:eastAsia="Calibri" w:cstheme="minorHAnsi"/>
          <w:szCs w:val="20"/>
        </w:rPr>
        <w:t>, the total interest expense recognized for the CEBA grants amounted to $9,</w:t>
      </w:r>
      <w:r w:rsidR="00100D88">
        <w:rPr>
          <w:rFonts w:eastAsia="Calibri" w:cstheme="minorHAnsi"/>
          <w:szCs w:val="20"/>
        </w:rPr>
        <w:t>81</w:t>
      </w:r>
      <w:r w:rsidR="001F2EBF">
        <w:rPr>
          <w:rFonts w:eastAsia="Calibri" w:cstheme="minorHAnsi"/>
          <w:szCs w:val="20"/>
        </w:rPr>
        <w:t>6</w:t>
      </w:r>
      <w:r w:rsidR="00C41B40" w:rsidRPr="00FC2211">
        <w:rPr>
          <w:rFonts w:eastAsia="Calibri" w:cstheme="minorHAnsi"/>
          <w:szCs w:val="20"/>
        </w:rPr>
        <w:t xml:space="preserve"> (</w:t>
      </w:r>
      <w:r w:rsidR="00100D88">
        <w:rPr>
          <w:rFonts w:eastAsia="Calibri" w:cstheme="minorHAnsi"/>
          <w:szCs w:val="20"/>
        </w:rPr>
        <w:t>March 31, 2023</w:t>
      </w:r>
      <w:r w:rsidR="00C41B40" w:rsidRPr="00FC2211">
        <w:rPr>
          <w:rFonts w:eastAsia="Calibri" w:cstheme="minorHAnsi"/>
          <w:szCs w:val="20"/>
        </w:rPr>
        <w:t xml:space="preserve"> - $8,618). The reconciliation of opening and closing balances of government grants follows:</w:t>
      </w:r>
    </w:p>
    <w:p w14:paraId="24CDDE0D" w14:textId="77777777" w:rsidR="00C41B40" w:rsidRPr="00FC2211" w:rsidRDefault="00C41B40" w:rsidP="00C41B40">
      <w:pPr>
        <w:pStyle w:val="NormalWeb"/>
        <w:ind w:left="357"/>
        <w:jc w:val="both"/>
        <w:rPr>
          <w:rFonts w:eastAsia="Calibri" w:cstheme="minorHAnsi"/>
          <w:szCs w:val="20"/>
        </w:rPr>
      </w:pPr>
    </w:p>
    <w:tbl>
      <w:tblPr>
        <w:tblW w:w="7930" w:type="dxa"/>
        <w:jc w:val="center"/>
        <w:tblLook w:val="04A0" w:firstRow="1" w:lastRow="0" w:firstColumn="1" w:lastColumn="0" w:noHBand="0" w:noVBand="1"/>
      </w:tblPr>
      <w:tblGrid>
        <w:gridCol w:w="3686"/>
        <w:gridCol w:w="1455"/>
        <w:gridCol w:w="1394"/>
        <w:gridCol w:w="1395"/>
      </w:tblGrid>
      <w:tr w:rsidR="00AF37B8" w:rsidRPr="00AF37B8" w14:paraId="6EAD9789" w14:textId="77777777" w:rsidTr="00E06392">
        <w:trPr>
          <w:trHeight w:val="552"/>
          <w:jc w:val="center"/>
        </w:trPr>
        <w:tc>
          <w:tcPr>
            <w:tcW w:w="3686" w:type="dxa"/>
            <w:tcBorders>
              <w:top w:val="nil"/>
              <w:left w:val="nil"/>
              <w:bottom w:val="nil"/>
              <w:right w:val="nil"/>
            </w:tcBorders>
            <w:shd w:val="clear" w:color="auto" w:fill="auto"/>
            <w:noWrap/>
            <w:vAlign w:val="bottom"/>
            <w:hideMark/>
          </w:tcPr>
          <w:p w14:paraId="4FD25FDA" w14:textId="77777777" w:rsidR="00AF37B8" w:rsidRPr="00AF37B8" w:rsidRDefault="00AF37B8" w:rsidP="00AF37B8">
            <w:pPr>
              <w:rPr>
                <w:rFonts w:ascii="Times New Roman" w:hAnsi="Times New Roman"/>
                <w:sz w:val="24"/>
                <w:szCs w:val="20"/>
                <w:lang w:val="en-CA" w:eastAsia="en-CA"/>
              </w:rPr>
            </w:pPr>
          </w:p>
        </w:tc>
        <w:tc>
          <w:tcPr>
            <w:tcW w:w="1455" w:type="dxa"/>
            <w:tcBorders>
              <w:top w:val="nil"/>
              <w:left w:val="nil"/>
              <w:bottom w:val="single" w:sz="12" w:space="0" w:color="auto"/>
              <w:right w:val="nil"/>
            </w:tcBorders>
            <w:shd w:val="clear" w:color="auto" w:fill="auto"/>
            <w:vAlign w:val="bottom"/>
            <w:hideMark/>
          </w:tcPr>
          <w:p w14:paraId="54B40C61" w14:textId="77777777" w:rsidR="00AF37B8" w:rsidRPr="00AF37B8" w:rsidRDefault="00AF37B8" w:rsidP="00AF37B8">
            <w:pPr>
              <w:jc w:val="center"/>
              <w:rPr>
                <w:rFonts w:ascii="Calibri" w:hAnsi="Calibri" w:cs="Calibri"/>
                <w:b/>
                <w:bCs/>
                <w:color w:val="000000"/>
                <w:szCs w:val="20"/>
                <w:lang w:val="en-CA" w:eastAsia="en-CA"/>
              </w:rPr>
            </w:pPr>
            <w:r w:rsidRPr="00AF37B8">
              <w:rPr>
                <w:rFonts w:ascii="Calibri" w:hAnsi="Calibri" w:cs="Calibri"/>
                <w:b/>
                <w:bCs/>
                <w:color w:val="000000"/>
                <w:szCs w:val="20"/>
                <w:lang w:val="en-CA" w:eastAsia="en-CA"/>
              </w:rPr>
              <w:t>Principal</w:t>
            </w:r>
          </w:p>
        </w:tc>
        <w:tc>
          <w:tcPr>
            <w:tcW w:w="1394" w:type="dxa"/>
            <w:tcBorders>
              <w:top w:val="nil"/>
              <w:left w:val="nil"/>
              <w:bottom w:val="single" w:sz="12" w:space="0" w:color="auto"/>
              <w:right w:val="nil"/>
            </w:tcBorders>
            <w:shd w:val="clear" w:color="auto" w:fill="auto"/>
            <w:vAlign w:val="bottom"/>
            <w:hideMark/>
          </w:tcPr>
          <w:p w14:paraId="1A4BCB71" w14:textId="77777777" w:rsidR="00AF37B8" w:rsidRPr="00AF37B8" w:rsidRDefault="00AF37B8" w:rsidP="00AF37B8">
            <w:pPr>
              <w:jc w:val="center"/>
              <w:rPr>
                <w:rFonts w:ascii="Calibri" w:hAnsi="Calibri" w:cs="Calibri"/>
                <w:b/>
                <w:bCs/>
                <w:color w:val="000000"/>
                <w:szCs w:val="20"/>
                <w:lang w:val="en-CA" w:eastAsia="en-CA"/>
              </w:rPr>
            </w:pPr>
            <w:r w:rsidRPr="00AF37B8">
              <w:rPr>
                <w:rFonts w:ascii="Calibri" w:hAnsi="Calibri" w:cs="Calibri"/>
                <w:b/>
                <w:bCs/>
                <w:color w:val="000000"/>
                <w:szCs w:val="20"/>
                <w:lang w:val="en-CA" w:eastAsia="en-CA"/>
              </w:rPr>
              <w:t>Accrued Interest</w:t>
            </w:r>
          </w:p>
        </w:tc>
        <w:tc>
          <w:tcPr>
            <w:tcW w:w="1395" w:type="dxa"/>
            <w:tcBorders>
              <w:top w:val="nil"/>
              <w:left w:val="nil"/>
              <w:bottom w:val="single" w:sz="12" w:space="0" w:color="auto"/>
              <w:right w:val="nil"/>
            </w:tcBorders>
            <w:shd w:val="clear" w:color="auto" w:fill="auto"/>
            <w:vAlign w:val="bottom"/>
            <w:hideMark/>
          </w:tcPr>
          <w:p w14:paraId="68C87E99" w14:textId="77777777" w:rsidR="00AF37B8" w:rsidRPr="00AF37B8" w:rsidRDefault="00AF37B8" w:rsidP="00AF37B8">
            <w:pPr>
              <w:jc w:val="center"/>
              <w:rPr>
                <w:rFonts w:ascii="Calibri" w:hAnsi="Calibri" w:cs="Calibri"/>
                <w:b/>
                <w:bCs/>
                <w:color w:val="000000"/>
                <w:szCs w:val="20"/>
                <w:lang w:val="en-CA" w:eastAsia="en-CA"/>
              </w:rPr>
            </w:pPr>
            <w:r w:rsidRPr="00AF37B8">
              <w:rPr>
                <w:rFonts w:ascii="Calibri" w:hAnsi="Calibri" w:cs="Calibri"/>
                <w:b/>
                <w:bCs/>
                <w:color w:val="000000"/>
                <w:szCs w:val="20"/>
                <w:lang w:val="en-CA" w:eastAsia="en-CA"/>
              </w:rPr>
              <w:t>Total</w:t>
            </w:r>
          </w:p>
        </w:tc>
      </w:tr>
      <w:tr w:rsidR="00AF37B8" w:rsidRPr="00AF37B8" w14:paraId="0484CAA4" w14:textId="77777777" w:rsidTr="00E06392">
        <w:trPr>
          <w:trHeight w:val="276"/>
          <w:jc w:val="center"/>
        </w:trPr>
        <w:tc>
          <w:tcPr>
            <w:tcW w:w="3686" w:type="dxa"/>
            <w:tcBorders>
              <w:top w:val="nil"/>
              <w:left w:val="nil"/>
              <w:bottom w:val="nil"/>
              <w:right w:val="nil"/>
            </w:tcBorders>
            <w:shd w:val="clear" w:color="auto" w:fill="auto"/>
            <w:noWrap/>
            <w:vAlign w:val="bottom"/>
            <w:hideMark/>
          </w:tcPr>
          <w:p w14:paraId="149B4873" w14:textId="77777777" w:rsidR="00AF37B8" w:rsidRPr="00AF37B8" w:rsidRDefault="00AF37B8" w:rsidP="00AF37B8">
            <w:pPr>
              <w:rPr>
                <w:rFonts w:ascii="Calibri" w:hAnsi="Calibri" w:cs="Calibri"/>
                <w:color w:val="000000"/>
                <w:szCs w:val="20"/>
                <w:lang w:val="en-CA" w:eastAsia="en-CA"/>
              </w:rPr>
            </w:pPr>
            <w:r w:rsidRPr="00AF37B8">
              <w:rPr>
                <w:rFonts w:ascii="Calibri" w:hAnsi="Calibri" w:cs="Calibri"/>
                <w:color w:val="000000"/>
                <w:szCs w:val="20"/>
                <w:lang w:val="en-CA" w:eastAsia="en-CA"/>
              </w:rPr>
              <w:t>Balance, June 30, 2022</w:t>
            </w:r>
          </w:p>
        </w:tc>
        <w:tc>
          <w:tcPr>
            <w:tcW w:w="1455" w:type="dxa"/>
            <w:tcBorders>
              <w:top w:val="single" w:sz="12" w:space="0" w:color="auto"/>
              <w:left w:val="nil"/>
              <w:bottom w:val="nil"/>
              <w:right w:val="nil"/>
            </w:tcBorders>
            <w:shd w:val="clear" w:color="auto" w:fill="auto"/>
            <w:noWrap/>
            <w:vAlign w:val="bottom"/>
            <w:hideMark/>
          </w:tcPr>
          <w:p w14:paraId="243729FD" w14:textId="1DCCC061" w:rsidR="00AF37B8" w:rsidRPr="00AF37B8" w:rsidRDefault="00AF37B8" w:rsidP="00AF37B8">
            <w:pPr>
              <w:jc w:val="right"/>
              <w:rPr>
                <w:rFonts w:ascii="Calibri" w:hAnsi="Calibri" w:cs="Calibri"/>
                <w:color w:val="000000"/>
                <w:szCs w:val="20"/>
                <w:lang w:val="en-CA" w:eastAsia="en-CA"/>
              </w:rPr>
            </w:pPr>
            <w:r w:rsidRPr="00AF37B8">
              <w:rPr>
                <w:rFonts w:ascii="Calibri" w:hAnsi="Calibri" w:cs="Calibri"/>
                <w:color w:val="000000"/>
                <w:szCs w:val="20"/>
                <w:lang w:val="en-CA" w:eastAsia="en-CA"/>
              </w:rPr>
              <w:t xml:space="preserve"> $  111,382 </w:t>
            </w:r>
          </w:p>
        </w:tc>
        <w:tc>
          <w:tcPr>
            <w:tcW w:w="1394" w:type="dxa"/>
            <w:tcBorders>
              <w:top w:val="single" w:sz="12" w:space="0" w:color="auto"/>
              <w:left w:val="nil"/>
              <w:bottom w:val="nil"/>
              <w:right w:val="nil"/>
            </w:tcBorders>
            <w:shd w:val="clear" w:color="auto" w:fill="auto"/>
            <w:noWrap/>
            <w:vAlign w:val="bottom"/>
            <w:hideMark/>
          </w:tcPr>
          <w:p w14:paraId="735289F3" w14:textId="6C7AA8F1" w:rsidR="00AF37B8" w:rsidRPr="00AF37B8" w:rsidRDefault="00AF37B8" w:rsidP="00AF37B8">
            <w:pPr>
              <w:jc w:val="right"/>
              <w:rPr>
                <w:rFonts w:ascii="Calibri" w:hAnsi="Calibri" w:cs="Calibri"/>
                <w:color w:val="000000"/>
                <w:szCs w:val="20"/>
                <w:lang w:val="en-CA" w:eastAsia="en-CA"/>
              </w:rPr>
            </w:pPr>
            <w:r w:rsidRPr="00AF37B8">
              <w:rPr>
                <w:rFonts w:ascii="Calibri" w:hAnsi="Calibri" w:cs="Calibri"/>
                <w:color w:val="000000"/>
                <w:szCs w:val="20"/>
                <w:lang w:val="en-CA" w:eastAsia="en-CA"/>
              </w:rPr>
              <w:t xml:space="preserve"> $    -   </w:t>
            </w:r>
          </w:p>
        </w:tc>
        <w:tc>
          <w:tcPr>
            <w:tcW w:w="1395" w:type="dxa"/>
            <w:tcBorders>
              <w:top w:val="single" w:sz="12" w:space="0" w:color="auto"/>
              <w:left w:val="nil"/>
              <w:bottom w:val="nil"/>
              <w:right w:val="nil"/>
            </w:tcBorders>
            <w:shd w:val="clear" w:color="auto" w:fill="auto"/>
            <w:noWrap/>
            <w:vAlign w:val="bottom"/>
            <w:hideMark/>
          </w:tcPr>
          <w:p w14:paraId="40833493" w14:textId="5782DBFF" w:rsidR="00AF37B8" w:rsidRPr="00AF37B8" w:rsidRDefault="00AF37B8" w:rsidP="00AF37B8">
            <w:pPr>
              <w:jc w:val="right"/>
              <w:rPr>
                <w:rFonts w:ascii="Calibri" w:hAnsi="Calibri" w:cs="Calibri"/>
                <w:color w:val="000000"/>
                <w:szCs w:val="20"/>
                <w:lang w:val="en-CA" w:eastAsia="en-CA"/>
              </w:rPr>
            </w:pPr>
            <w:r w:rsidRPr="00AF37B8">
              <w:rPr>
                <w:rFonts w:ascii="Calibri" w:hAnsi="Calibri" w:cs="Calibri"/>
                <w:color w:val="000000"/>
                <w:szCs w:val="20"/>
                <w:lang w:val="en-CA" w:eastAsia="en-CA"/>
              </w:rPr>
              <w:t xml:space="preserve"> $  111,382 </w:t>
            </w:r>
          </w:p>
        </w:tc>
      </w:tr>
      <w:tr w:rsidR="00AF37B8" w:rsidRPr="00AF37B8" w14:paraId="264D528F" w14:textId="77777777" w:rsidTr="00AF37B8">
        <w:trPr>
          <w:trHeight w:val="276"/>
          <w:jc w:val="center"/>
        </w:trPr>
        <w:tc>
          <w:tcPr>
            <w:tcW w:w="3686" w:type="dxa"/>
            <w:tcBorders>
              <w:top w:val="nil"/>
              <w:left w:val="nil"/>
              <w:bottom w:val="nil"/>
              <w:right w:val="nil"/>
            </w:tcBorders>
            <w:shd w:val="clear" w:color="auto" w:fill="auto"/>
            <w:noWrap/>
            <w:vAlign w:val="bottom"/>
            <w:hideMark/>
          </w:tcPr>
          <w:p w14:paraId="755EA3E2" w14:textId="77777777" w:rsidR="00AF37B8" w:rsidRPr="00AF37B8" w:rsidRDefault="00AF37B8" w:rsidP="00AF37B8">
            <w:pPr>
              <w:rPr>
                <w:rFonts w:ascii="Calibri" w:hAnsi="Calibri" w:cs="Calibri"/>
                <w:color w:val="000000"/>
                <w:szCs w:val="20"/>
                <w:lang w:val="en-CA" w:eastAsia="en-CA"/>
              </w:rPr>
            </w:pPr>
            <w:r w:rsidRPr="00AF37B8">
              <w:rPr>
                <w:rFonts w:ascii="Calibri" w:hAnsi="Calibri" w:cs="Calibri"/>
                <w:color w:val="000000"/>
                <w:szCs w:val="20"/>
                <w:lang w:val="en-CA" w:eastAsia="en-CA"/>
              </w:rPr>
              <w:t>Interest amortization</w:t>
            </w:r>
          </w:p>
        </w:tc>
        <w:tc>
          <w:tcPr>
            <w:tcW w:w="1455" w:type="dxa"/>
            <w:tcBorders>
              <w:top w:val="nil"/>
              <w:left w:val="nil"/>
              <w:bottom w:val="nil"/>
              <w:right w:val="nil"/>
            </w:tcBorders>
            <w:shd w:val="clear" w:color="auto" w:fill="auto"/>
            <w:noWrap/>
            <w:vAlign w:val="bottom"/>
            <w:hideMark/>
          </w:tcPr>
          <w:p w14:paraId="4AC1F8AE" w14:textId="683D96BD" w:rsidR="00AF37B8" w:rsidRPr="00AF37B8" w:rsidRDefault="00AF37B8" w:rsidP="00AF37B8">
            <w:pPr>
              <w:jc w:val="right"/>
              <w:rPr>
                <w:rFonts w:ascii="Calibri" w:hAnsi="Calibri" w:cs="Calibri"/>
                <w:color w:val="000000"/>
                <w:szCs w:val="20"/>
                <w:lang w:val="en-CA" w:eastAsia="en-CA"/>
              </w:rPr>
            </w:pPr>
            <w:r w:rsidRPr="00AF37B8">
              <w:rPr>
                <w:rFonts w:ascii="Calibri" w:hAnsi="Calibri" w:cs="Calibri"/>
                <w:color w:val="000000"/>
                <w:szCs w:val="20"/>
                <w:lang w:val="en-CA" w:eastAsia="en-CA"/>
              </w:rPr>
              <w:t xml:space="preserve">       8,618 </w:t>
            </w:r>
          </w:p>
        </w:tc>
        <w:tc>
          <w:tcPr>
            <w:tcW w:w="1394" w:type="dxa"/>
            <w:tcBorders>
              <w:top w:val="nil"/>
              <w:left w:val="nil"/>
              <w:bottom w:val="nil"/>
              <w:right w:val="nil"/>
            </w:tcBorders>
            <w:shd w:val="clear" w:color="auto" w:fill="auto"/>
            <w:noWrap/>
            <w:vAlign w:val="bottom"/>
            <w:hideMark/>
          </w:tcPr>
          <w:p w14:paraId="0E6E147D" w14:textId="1AEC0B4F" w:rsidR="00AF37B8" w:rsidRPr="00AF37B8" w:rsidRDefault="00AF37B8" w:rsidP="00AF37B8">
            <w:pPr>
              <w:jc w:val="right"/>
              <w:rPr>
                <w:rFonts w:ascii="Calibri" w:hAnsi="Calibri" w:cs="Calibri"/>
                <w:color w:val="000000"/>
                <w:szCs w:val="20"/>
                <w:lang w:val="en-CA" w:eastAsia="en-CA"/>
              </w:rPr>
            </w:pPr>
            <w:r w:rsidRPr="00AF37B8">
              <w:rPr>
                <w:rFonts w:ascii="Calibri" w:hAnsi="Calibri" w:cs="Calibri"/>
                <w:color w:val="000000"/>
                <w:szCs w:val="20"/>
                <w:lang w:val="en-CA" w:eastAsia="en-CA"/>
              </w:rPr>
              <w:t xml:space="preserve">      -   </w:t>
            </w:r>
          </w:p>
        </w:tc>
        <w:tc>
          <w:tcPr>
            <w:tcW w:w="1395" w:type="dxa"/>
            <w:tcBorders>
              <w:top w:val="nil"/>
              <w:left w:val="nil"/>
              <w:bottom w:val="nil"/>
              <w:right w:val="nil"/>
            </w:tcBorders>
            <w:shd w:val="clear" w:color="auto" w:fill="auto"/>
            <w:noWrap/>
            <w:vAlign w:val="bottom"/>
            <w:hideMark/>
          </w:tcPr>
          <w:p w14:paraId="3014BAC1" w14:textId="38B01E30" w:rsidR="00AF37B8" w:rsidRPr="00AF37B8" w:rsidRDefault="00AF37B8" w:rsidP="00AF37B8">
            <w:pPr>
              <w:jc w:val="right"/>
              <w:rPr>
                <w:rFonts w:ascii="Calibri" w:hAnsi="Calibri" w:cs="Calibri"/>
                <w:color w:val="000000"/>
                <w:szCs w:val="20"/>
                <w:lang w:val="en-CA" w:eastAsia="en-CA"/>
              </w:rPr>
            </w:pPr>
            <w:r w:rsidRPr="00AF37B8">
              <w:rPr>
                <w:rFonts w:ascii="Calibri" w:hAnsi="Calibri" w:cs="Calibri"/>
                <w:color w:val="000000"/>
                <w:szCs w:val="20"/>
                <w:lang w:val="en-CA" w:eastAsia="en-CA"/>
              </w:rPr>
              <w:t xml:space="preserve">    8,618 </w:t>
            </w:r>
          </w:p>
        </w:tc>
      </w:tr>
      <w:tr w:rsidR="00AF37B8" w:rsidRPr="00AF37B8" w14:paraId="6CE92A86" w14:textId="77777777" w:rsidTr="00AF37B8">
        <w:trPr>
          <w:trHeight w:val="276"/>
          <w:jc w:val="center"/>
        </w:trPr>
        <w:tc>
          <w:tcPr>
            <w:tcW w:w="3686" w:type="dxa"/>
            <w:tcBorders>
              <w:top w:val="nil"/>
              <w:left w:val="nil"/>
              <w:bottom w:val="nil"/>
              <w:right w:val="nil"/>
            </w:tcBorders>
            <w:shd w:val="clear" w:color="auto" w:fill="auto"/>
            <w:noWrap/>
            <w:vAlign w:val="bottom"/>
            <w:hideMark/>
          </w:tcPr>
          <w:p w14:paraId="7F65069F" w14:textId="77777777" w:rsidR="00AF37B8" w:rsidRPr="00AF37B8" w:rsidRDefault="00AF37B8" w:rsidP="00AF37B8">
            <w:pPr>
              <w:rPr>
                <w:rFonts w:ascii="Calibri" w:hAnsi="Calibri" w:cs="Calibri"/>
                <w:color w:val="000000"/>
                <w:szCs w:val="20"/>
                <w:lang w:val="en-CA" w:eastAsia="en-CA"/>
              </w:rPr>
            </w:pPr>
            <w:r w:rsidRPr="00AF37B8">
              <w:rPr>
                <w:rFonts w:ascii="Calibri" w:hAnsi="Calibri" w:cs="Calibri"/>
                <w:color w:val="000000"/>
                <w:szCs w:val="20"/>
                <w:lang w:val="en-CA" w:eastAsia="en-CA"/>
              </w:rPr>
              <w:t>Discount on loan due to remeasurement</w:t>
            </w:r>
          </w:p>
        </w:tc>
        <w:tc>
          <w:tcPr>
            <w:tcW w:w="1455" w:type="dxa"/>
            <w:tcBorders>
              <w:top w:val="nil"/>
              <w:left w:val="nil"/>
              <w:bottom w:val="nil"/>
              <w:right w:val="nil"/>
            </w:tcBorders>
            <w:shd w:val="clear" w:color="auto" w:fill="auto"/>
            <w:noWrap/>
            <w:vAlign w:val="bottom"/>
            <w:hideMark/>
          </w:tcPr>
          <w:p w14:paraId="61BBF753" w14:textId="52FD1C68" w:rsidR="00AF37B8" w:rsidRPr="00AF37B8" w:rsidRDefault="00AF37B8" w:rsidP="00AF37B8">
            <w:pPr>
              <w:jc w:val="right"/>
              <w:rPr>
                <w:rFonts w:ascii="Calibri" w:hAnsi="Calibri" w:cs="Calibri"/>
                <w:color w:val="000000"/>
                <w:szCs w:val="20"/>
                <w:lang w:val="en-CA" w:eastAsia="en-CA"/>
              </w:rPr>
            </w:pPr>
            <w:r w:rsidRPr="00AF37B8">
              <w:rPr>
                <w:rFonts w:ascii="Calibri" w:hAnsi="Calibri" w:cs="Calibri"/>
                <w:color w:val="000000"/>
                <w:szCs w:val="20"/>
                <w:lang w:val="en-CA" w:eastAsia="en-CA"/>
              </w:rPr>
              <w:t xml:space="preserve"> (8,620)</w:t>
            </w:r>
          </w:p>
        </w:tc>
        <w:tc>
          <w:tcPr>
            <w:tcW w:w="1394" w:type="dxa"/>
            <w:tcBorders>
              <w:top w:val="nil"/>
              <w:left w:val="nil"/>
              <w:bottom w:val="nil"/>
              <w:right w:val="nil"/>
            </w:tcBorders>
            <w:shd w:val="clear" w:color="auto" w:fill="auto"/>
            <w:noWrap/>
            <w:vAlign w:val="bottom"/>
            <w:hideMark/>
          </w:tcPr>
          <w:p w14:paraId="030C04D8" w14:textId="5337B372" w:rsidR="00AF37B8" w:rsidRPr="00AF37B8" w:rsidRDefault="00AF37B8" w:rsidP="00AF37B8">
            <w:pPr>
              <w:jc w:val="right"/>
              <w:rPr>
                <w:rFonts w:ascii="Calibri" w:hAnsi="Calibri" w:cs="Calibri"/>
                <w:color w:val="000000"/>
                <w:szCs w:val="20"/>
                <w:lang w:val="en-CA" w:eastAsia="en-CA"/>
              </w:rPr>
            </w:pPr>
            <w:r w:rsidRPr="00AF37B8">
              <w:rPr>
                <w:rFonts w:ascii="Calibri" w:hAnsi="Calibri" w:cs="Calibri"/>
                <w:color w:val="000000"/>
                <w:szCs w:val="20"/>
                <w:lang w:val="en-CA" w:eastAsia="en-CA"/>
              </w:rPr>
              <w:t xml:space="preserve">       -   </w:t>
            </w:r>
          </w:p>
        </w:tc>
        <w:tc>
          <w:tcPr>
            <w:tcW w:w="1395" w:type="dxa"/>
            <w:tcBorders>
              <w:top w:val="nil"/>
              <w:left w:val="nil"/>
              <w:bottom w:val="nil"/>
              <w:right w:val="nil"/>
            </w:tcBorders>
            <w:shd w:val="clear" w:color="auto" w:fill="auto"/>
            <w:noWrap/>
            <w:vAlign w:val="bottom"/>
            <w:hideMark/>
          </w:tcPr>
          <w:p w14:paraId="7F229633" w14:textId="523EA731" w:rsidR="00AF37B8" w:rsidRPr="00AF37B8" w:rsidRDefault="00AF37B8" w:rsidP="00AF37B8">
            <w:pPr>
              <w:jc w:val="right"/>
              <w:rPr>
                <w:rFonts w:ascii="Calibri" w:hAnsi="Calibri" w:cs="Calibri"/>
                <w:color w:val="000000"/>
                <w:szCs w:val="20"/>
                <w:lang w:val="en-CA" w:eastAsia="en-CA"/>
              </w:rPr>
            </w:pPr>
            <w:r w:rsidRPr="00AF37B8">
              <w:rPr>
                <w:rFonts w:ascii="Calibri" w:hAnsi="Calibri" w:cs="Calibri"/>
                <w:color w:val="000000"/>
                <w:szCs w:val="20"/>
                <w:lang w:val="en-CA" w:eastAsia="en-CA"/>
              </w:rPr>
              <w:t xml:space="preserve"> (8,620)</w:t>
            </w:r>
          </w:p>
        </w:tc>
      </w:tr>
      <w:tr w:rsidR="00AF37B8" w:rsidRPr="00AF37B8" w14:paraId="5C8634E1" w14:textId="77777777" w:rsidTr="00AF37B8">
        <w:trPr>
          <w:trHeight w:val="276"/>
          <w:jc w:val="center"/>
        </w:trPr>
        <w:tc>
          <w:tcPr>
            <w:tcW w:w="3686" w:type="dxa"/>
            <w:tcBorders>
              <w:top w:val="nil"/>
              <w:left w:val="nil"/>
              <w:bottom w:val="nil"/>
              <w:right w:val="nil"/>
            </w:tcBorders>
            <w:shd w:val="clear" w:color="auto" w:fill="auto"/>
            <w:noWrap/>
            <w:vAlign w:val="bottom"/>
            <w:hideMark/>
          </w:tcPr>
          <w:p w14:paraId="48113B29" w14:textId="77777777" w:rsidR="00AF37B8" w:rsidRPr="00AF37B8" w:rsidRDefault="00AF37B8" w:rsidP="00AF37B8">
            <w:pPr>
              <w:rPr>
                <w:rFonts w:ascii="Calibri" w:hAnsi="Calibri" w:cs="Calibri"/>
                <w:color w:val="000000"/>
                <w:szCs w:val="20"/>
                <w:lang w:val="en-CA" w:eastAsia="en-CA"/>
              </w:rPr>
            </w:pPr>
            <w:r w:rsidRPr="00AF37B8">
              <w:rPr>
                <w:rFonts w:ascii="Calibri" w:hAnsi="Calibri" w:cs="Calibri"/>
                <w:color w:val="000000"/>
                <w:szCs w:val="20"/>
                <w:lang w:val="en-CA" w:eastAsia="en-CA"/>
              </w:rPr>
              <w:t>Balance, June 30, 2023</w:t>
            </w:r>
          </w:p>
        </w:tc>
        <w:tc>
          <w:tcPr>
            <w:tcW w:w="1455" w:type="dxa"/>
            <w:tcBorders>
              <w:top w:val="single" w:sz="4" w:space="0" w:color="auto"/>
              <w:left w:val="nil"/>
              <w:bottom w:val="single" w:sz="4" w:space="0" w:color="auto"/>
              <w:right w:val="nil"/>
            </w:tcBorders>
            <w:shd w:val="clear" w:color="auto" w:fill="auto"/>
            <w:noWrap/>
            <w:vAlign w:val="bottom"/>
            <w:hideMark/>
          </w:tcPr>
          <w:p w14:paraId="58175DB3" w14:textId="66987B7E"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111,380 </w:t>
            </w:r>
          </w:p>
        </w:tc>
        <w:tc>
          <w:tcPr>
            <w:tcW w:w="1394" w:type="dxa"/>
            <w:tcBorders>
              <w:top w:val="single" w:sz="4" w:space="0" w:color="auto"/>
              <w:left w:val="nil"/>
              <w:bottom w:val="single" w:sz="4" w:space="0" w:color="auto"/>
              <w:right w:val="nil"/>
            </w:tcBorders>
            <w:shd w:val="clear" w:color="auto" w:fill="auto"/>
            <w:noWrap/>
            <w:vAlign w:val="bottom"/>
            <w:hideMark/>
          </w:tcPr>
          <w:p w14:paraId="137272A6" w14:textId="02C67555"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       -   </w:t>
            </w:r>
          </w:p>
        </w:tc>
        <w:tc>
          <w:tcPr>
            <w:tcW w:w="1395" w:type="dxa"/>
            <w:tcBorders>
              <w:top w:val="single" w:sz="4" w:space="0" w:color="auto"/>
              <w:left w:val="nil"/>
              <w:bottom w:val="single" w:sz="4" w:space="0" w:color="auto"/>
              <w:right w:val="nil"/>
            </w:tcBorders>
            <w:shd w:val="clear" w:color="auto" w:fill="auto"/>
            <w:noWrap/>
            <w:vAlign w:val="bottom"/>
            <w:hideMark/>
          </w:tcPr>
          <w:p w14:paraId="28A4FCE2" w14:textId="128FE837"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   111,380 </w:t>
            </w:r>
          </w:p>
        </w:tc>
      </w:tr>
      <w:tr w:rsidR="00AF37B8" w:rsidRPr="00AF37B8" w14:paraId="26142ECC" w14:textId="77777777" w:rsidTr="00AF37B8">
        <w:trPr>
          <w:trHeight w:val="276"/>
          <w:jc w:val="center"/>
        </w:trPr>
        <w:tc>
          <w:tcPr>
            <w:tcW w:w="3686" w:type="dxa"/>
            <w:tcBorders>
              <w:top w:val="nil"/>
              <w:left w:val="nil"/>
              <w:bottom w:val="nil"/>
              <w:right w:val="nil"/>
            </w:tcBorders>
            <w:shd w:val="clear" w:color="auto" w:fill="auto"/>
            <w:noWrap/>
            <w:vAlign w:val="bottom"/>
            <w:hideMark/>
          </w:tcPr>
          <w:p w14:paraId="23A78038" w14:textId="77777777" w:rsidR="00AF37B8" w:rsidRPr="00AF37B8" w:rsidRDefault="00AF37B8" w:rsidP="00AF37B8">
            <w:pPr>
              <w:rPr>
                <w:rFonts w:ascii="Calibri" w:hAnsi="Calibri" w:cs="Calibri"/>
                <w:color w:val="000000"/>
                <w:szCs w:val="20"/>
                <w:lang w:val="en-CA" w:eastAsia="en-CA"/>
              </w:rPr>
            </w:pPr>
            <w:r w:rsidRPr="00AF37B8">
              <w:rPr>
                <w:rFonts w:ascii="Calibri" w:hAnsi="Calibri" w:cs="Calibri"/>
                <w:color w:val="000000"/>
                <w:szCs w:val="20"/>
                <w:lang w:val="en-CA" w:eastAsia="en-CA"/>
              </w:rPr>
              <w:t>Interest amortization</w:t>
            </w:r>
          </w:p>
        </w:tc>
        <w:tc>
          <w:tcPr>
            <w:tcW w:w="1455" w:type="dxa"/>
            <w:tcBorders>
              <w:top w:val="nil"/>
              <w:left w:val="nil"/>
              <w:bottom w:val="nil"/>
              <w:right w:val="nil"/>
            </w:tcBorders>
            <w:shd w:val="clear" w:color="auto" w:fill="auto"/>
            <w:noWrap/>
            <w:vAlign w:val="bottom"/>
            <w:hideMark/>
          </w:tcPr>
          <w:p w14:paraId="6BEEAE12" w14:textId="35CC5183"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  8,620 </w:t>
            </w:r>
          </w:p>
        </w:tc>
        <w:tc>
          <w:tcPr>
            <w:tcW w:w="1394" w:type="dxa"/>
            <w:tcBorders>
              <w:top w:val="nil"/>
              <w:left w:val="nil"/>
              <w:bottom w:val="nil"/>
              <w:right w:val="nil"/>
            </w:tcBorders>
            <w:shd w:val="clear" w:color="auto" w:fill="auto"/>
            <w:noWrap/>
            <w:vAlign w:val="bottom"/>
            <w:hideMark/>
          </w:tcPr>
          <w:p w14:paraId="3E98DE8D" w14:textId="7A5FDCA9"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      -   </w:t>
            </w:r>
          </w:p>
        </w:tc>
        <w:tc>
          <w:tcPr>
            <w:tcW w:w="1395" w:type="dxa"/>
            <w:tcBorders>
              <w:top w:val="nil"/>
              <w:left w:val="nil"/>
              <w:bottom w:val="nil"/>
              <w:right w:val="nil"/>
            </w:tcBorders>
            <w:shd w:val="clear" w:color="auto" w:fill="auto"/>
            <w:noWrap/>
            <w:vAlign w:val="bottom"/>
            <w:hideMark/>
          </w:tcPr>
          <w:p w14:paraId="099EA45D" w14:textId="4AA149F0"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8,620 </w:t>
            </w:r>
          </w:p>
        </w:tc>
      </w:tr>
      <w:tr w:rsidR="00AF37B8" w:rsidRPr="00AF37B8" w14:paraId="140EC99B" w14:textId="77777777" w:rsidTr="00E06392">
        <w:trPr>
          <w:trHeight w:val="276"/>
          <w:jc w:val="center"/>
        </w:trPr>
        <w:tc>
          <w:tcPr>
            <w:tcW w:w="3686" w:type="dxa"/>
            <w:tcBorders>
              <w:top w:val="nil"/>
              <w:left w:val="nil"/>
              <w:bottom w:val="nil"/>
              <w:right w:val="nil"/>
            </w:tcBorders>
            <w:shd w:val="clear" w:color="auto" w:fill="auto"/>
            <w:noWrap/>
            <w:vAlign w:val="bottom"/>
            <w:hideMark/>
          </w:tcPr>
          <w:p w14:paraId="6F54059F" w14:textId="77777777" w:rsidR="00AF37B8" w:rsidRPr="00AF37B8" w:rsidRDefault="00AF37B8" w:rsidP="00AF37B8">
            <w:pPr>
              <w:rPr>
                <w:rFonts w:ascii="Calibri" w:hAnsi="Calibri" w:cs="Calibri"/>
                <w:color w:val="000000"/>
                <w:szCs w:val="20"/>
                <w:lang w:val="en-CA" w:eastAsia="en-CA"/>
              </w:rPr>
            </w:pPr>
            <w:r w:rsidRPr="00AF37B8">
              <w:rPr>
                <w:rFonts w:ascii="Calibri" w:hAnsi="Calibri" w:cs="Calibri"/>
                <w:color w:val="000000"/>
                <w:szCs w:val="20"/>
                <w:lang w:val="en-CA" w:eastAsia="en-CA"/>
              </w:rPr>
              <w:t>Accrued interest</w:t>
            </w:r>
          </w:p>
        </w:tc>
        <w:tc>
          <w:tcPr>
            <w:tcW w:w="1455" w:type="dxa"/>
            <w:tcBorders>
              <w:top w:val="nil"/>
              <w:left w:val="nil"/>
              <w:bottom w:val="single" w:sz="4" w:space="0" w:color="auto"/>
              <w:right w:val="nil"/>
            </w:tcBorders>
            <w:shd w:val="clear" w:color="auto" w:fill="auto"/>
            <w:noWrap/>
            <w:vAlign w:val="bottom"/>
            <w:hideMark/>
          </w:tcPr>
          <w:p w14:paraId="0568A9D7" w14:textId="1187A777"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         -   </w:t>
            </w:r>
          </w:p>
        </w:tc>
        <w:tc>
          <w:tcPr>
            <w:tcW w:w="1394" w:type="dxa"/>
            <w:tcBorders>
              <w:top w:val="nil"/>
              <w:left w:val="nil"/>
              <w:bottom w:val="single" w:sz="4" w:space="0" w:color="auto"/>
              <w:right w:val="nil"/>
            </w:tcBorders>
            <w:shd w:val="clear" w:color="auto" w:fill="auto"/>
            <w:noWrap/>
            <w:vAlign w:val="bottom"/>
            <w:hideMark/>
          </w:tcPr>
          <w:p w14:paraId="1B484100" w14:textId="289E507C"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1,196 </w:t>
            </w:r>
          </w:p>
        </w:tc>
        <w:tc>
          <w:tcPr>
            <w:tcW w:w="1395" w:type="dxa"/>
            <w:tcBorders>
              <w:top w:val="nil"/>
              <w:left w:val="nil"/>
              <w:bottom w:val="single" w:sz="4" w:space="0" w:color="auto"/>
              <w:right w:val="nil"/>
            </w:tcBorders>
            <w:shd w:val="clear" w:color="auto" w:fill="auto"/>
            <w:noWrap/>
            <w:vAlign w:val="bottom"/>
            <w:hideMark/>
          </w:tcPr>
          <w:p w14:paraId="3DF250B3" w14:textId="5C8265C9"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1,196 </w:t>
            </w:r>
          </w:p>
        </w:tc>
      </w:tr>
      <w:tr w:rsidR="00AF37B8" w:rsidRPr="00AF37B8" w14:paraId="1286045F" w14:textId="77777777" w:rsidTr="00E06392">
        <w:trPr>
          <w:trHeight w:val="288"/>
          <w:jc w:val="center"/>
        </w:trPr>
        <w:tc>
          <w:tcPr>
            <w:tcW w:w="3686" w:type="dxa"/>
            <w:tcBorders>
              <w:top w:val="nil"/>
              <w:left w:val="nil"/>
              <w:bottom w:val="nil"/>
              <w:right w:val="nil"/>
            </w:tcBorders>
            <w:shd w:val="clear" w:color="auto" w:fill="auto"/>
            <w:noWrap/>
            <w:vAlign w:val="bottom"/>
            <w:hideMark/>
          </w:tcPr>
          <w:p w14:paraId="16590C56" w14:textId="77777777" w:rsidR="00AF37B8" w:rsidRPr="00AF37B8" w:rsidRDefault="00AF37B8" w:rsidP="00AF37B8">
            <w:pPr>
              <w:rPr>
                <w:rFonts w:ascii="Calibri" w:hAnsi="Calibri" w:cs="Calibri"/>
                <w:color w:val="000000"/>
                <w:szCs w:val="20"/>
                <w:lang w:val="en-CA" w:eastAsia="en-CA"/>
              </w:rPr>
            </w:pPr>
            <w:r w:rsidRPr="00AF37B8">
              <w:rPr>
                <w:rFonts w:ascii="Calibri" w:hAnsi="Calibri" w:cs="Calibri"/>
                <w:color w:val="000000"/>
                <w:szCs w:val="20"/>
                <w:lang w:val="en-CA" w:eastAsia="en-CA"/>
              </w:rPr>
              <w:t>Balance, March 31, 2024</w:t>
            </w:r>
          </w:p>
        </w:tc>
        <w:tc>
          <w:tcPr>
            <w:tcW w:w="1455" w:type="dxa"/>
            <w:tcBorders>
              <w:top w:val="single" w:sz="4" w:space="0" w:color="auto"/>
              <w:left w:val="nil"/>
              <w:bottom w:val="single" w:sz="12" w:space="0" w:color="auto"/>
              <w:right w:val="nil"/>
            </w:tcBorders>
            <w:shd w:val="clear" w:color="auto" w:fill="auto"/>
            <w:noWrap/>
            <w:vAlign w:val="bottom"/>
            <w:hideMark/>
          </w:tcPr>
          <w:p w14:paraId="713B0E97" w14:textId="3E7B3A2B"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 $  120,000 </w:t>
            </w:r>
          </w:p>
        </w:tc>
        <w:tc>
          <w:tcPr>
            <w:tcW w:w="1394" w:type="dxa"/>
            <w:tcBorders>
              <w:top w:val="single" w:sz="4" w:space="0" w:color="auto"/>
              <w:left w:val="nil"/>
              <w:bottom w:val="single" w:sz="12" w:space="0" w:color="auto"/>
              <w:right w:val="nil"/>
            </w:tcBorders>
            <w:shd w:val="clear" w:color="auto" w:fill="auto"/>
            <w:noWrap/>
            <w:vAlign w:val="bottom"/>
            <w:hideMark/>
          </w:tcPr>
          <w:p w14:paraId="01AB9E69" w14:textId="11516669"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 $</w:t>
            </w:r>
            <w:r>
              <w:rPr>
                <w:rFonts w:ascii="Calibri" w:hAnsi="Calibri" w:cs="Calibri"/>
                <w:b/>
                <w:bCs/>
                <w:color w:val="000000"/>
                <w:szCs w:val="20"/>
                <w:lang w:val="en-CA" w:eastAsia="en-CA"/>
              </w:rPr>
              <w:t xml:space="preserve"> </w:t>
            </w:r>
            <w:r w:rsidRPr="00AF37B8">
              <w:rPr>
                <w:rFonts w:ascii="Calibri" w:hAnsi="Calibri" w:cs="Calibri"/>
                <w:b/>
                <w:bCs/>
                <w:color w:val="000000"/>
                <w:szCs w:val="20"/>
                <w:lang w:val="en-CA" w:eastAsia="en-CA"/>
              </w:rPr>
              <w:t xml:space="preserve">1,196 </w:t>
            </w:r>
          </w:p>
        </w:tc>
        <w:tc>
          <w:tcPr>
            <w:tcW w:w="1395" w:type="dxa"/>
            <w:tcBorders>
              <w:top w:val="single" w:sz="4" w:space="0" w:color="auto"/>
              <w:left w:val="nil"/>
              <w:bottom w:val="single" w:sz="12" w:space="0" w:color="auto"/>
              <w:right w:val="nil"/>
            </w:tcBorders>
            <w:shd w:val="clear" w:color="auto" w:fill="auto"/>
            <w:noWrap/>
            <w:vAlign w:val="bottom"/>
            <w:hideMark/>
          </w:tcPr>
          <w:p w14:paraId="2FE8D6D2" w14:textId="7AD2937F" w:rsidR="00AF37B8" w:rsidRPr="00AF37B8" w:rsidRDefault="00AF37B8" w:rsidP="00AF37B8">
            <w:pPr>
              <w:jc w:val="right"/>
              <w:rPr>
                <w:rFonts w:ascii="Calibri" w:hAnsi="Calibri" w:cs="Calibri"/>
                <w:b/>
                <w:bCs/>
                <w:color w:val="000000"/>
                <w:szCs w:val="20"/>
                <w:lang w:val="en-CA" w:eastAsia="en-CA"/>
              </w:rPr>
            </w:pPr>
            <w:r w:rsidRPr="00AF37B8">
              <w:rPr>
                <w:rFonts w:ascii="Calibri" w:hAnsi="Calibri" w:cs="Calibri"/>
                <w:b/>
                <w:bCs/>
                <w:color w:val="000000"/>
                <w:szCs w:val="20"/>
                <w:lang w:val="en-CA" w:eastAsia="en-CA"/>
              </w:rPr>
              <w:t xml:space="preserve"> $  121,196 </w:t>
            </w:r>
          </w:p>
        </w:tc>
      </w:tr>
    </w:tbl>
    <w:p w14:paraId="476DC98F" w14:textId="1E92D1CD" w:rsidR="00C41B40" w:rsidRPr="00FC2211" w:rsidRDefault="00C41B40" w:rsidP="00E00D72">
      <w:pPr>
        <w:pStyle w:val="NormalWeb"/>
        <w:ind w:left="357"/>
        <w:jc w:val="center"/>
        <w:rPr>
          <w:rFonts w:eastAsia="Calibri" w:cstheme="minorHAnsi"/>
          <w:szCs w:val="20"/>
        </w:rPr>
      </w:pPr>
    </w:p>
    <w:p w14:paraId="4CB15BC5" w14:textId="4F5A010A" w:rsidR="00D67793" w:rsidRPr="00FC2211" w:rsidRDefault="00C41B40" w:rsidP="002A6C55">
      <w:pPr>
        <w:pStyle w:val="Heading1"/>
        <w:rPr>
          <w:rFonts w:cstheme="minorHAnsi"/>
          <w:szCs w:val="20"/>
          <w:lang w:val="en-GB"/>
        </w:rPr>
      </w:pPr>
      <w:r>
        <w:rPr>
          <w:rFonts w:cstheme="minorHAnsi"/>
          <w:szCs w:val="20"/>
          <w:lang w:val="en-GB"/>
        </w:rPr>
        <w:t>16</w:t>
      </w:r>
      <w:r w:rsidR="002A6C55" w:rsidRPr="00FC2211">
        <w:rPr>
          <w:rFonts w:cstheme="minorHAnsi"/>
          <w:szCs w:val="20"/>
          <w:lang w:val="en-GB"/>
        </w:rPr>
        <w:t xml:space="preserve">.   </w:t>
      </w:r>
      <w:r w:rsidR="00D67793" w:rsidRPr="00FC2211">
        <w:rPr>
          <w:rFonts w:cstheme="minorHAnsi"/>
          <w:szCs w:val="20"/>
          <w:lang w:val="en-GB"/>
        </w:rPr>
        <w:t xml:space="preserve">SHARE CAPITAL </w:t>
      </w:r>
      <w:r w:rsidR="3043DB80" w:rsidRPr="00FC2211">
        <w:rPr>
          <w:rFonts w:cstheme="minorHAnsi"/>
          <w:szCs w:val="20"/>
          <w:lang w:val="en-GB"/>
        </w:rPr>
        <w:t>AND RESERVES</w:t>
      </w:r>
    </w:p>
    <w:p w14:paraId="4B1A76CC" w14:textId="77777777" w:rsidR="00D67793" w:rsidRPr="00FC2211" w:rsidRDefault="00D67793" w:rsidP="00A56DD7">
      <w:pPr>
        <w:pStyle w:val="NormalCalibri"/>
        <w:spacing w:before="0" w:line="230" w:lineRule="auto"/>
        <w:ind w:left="360"/>
        <w:jc w:val="right"/>
        <w:rPr>
          <w:rFonts w:asciiTheme="minorHAnsi" w:hAnsiTheme="minorHAnsi" w:cstheme="minorHAnsi"/>
          <w:b/>
          <w:sz w:val="20"/>
          <w:szCs w:val="20"/>
        </w:rPr>
      </w:pPr>
    </w:p>
    <w:p w14:paraId="514C4EF8" w14:textId="77777777" w:rsidR="00D67793" w:rsidRPr="00FC2211" w:rsidRDefault="00D67793" w:rsidP="00D67793">
      <w:pPr>
        <w:pStyle w:val="NormalCalibri"/>
        <w:spacing w:before="0" w:line="230" w:lineRule="auto"/>
        <w:ind w:left="360"/>
        <w:rPr>
          <w:rFonts w:asciiTheme="minorHAnsi" w:hAnsiTheme="minorHAnsi" w:cstheme="minorHAnsi"/>
          <w:b/>
          <w:sz w:val="20"/>
          <w:szCs w:val="20"/>
        </w:rPr>
      </w:pPr>
      <w:r w:rsidRPr="00FC2211">
        <w:rPr>
          <w:rFonts w:asciiTheme="minorHAnsi" w:hAnsiTheme="minorHAnsi" w:cstheme="minorHAnsi"/>
          <w:b/>
          <w:sz w:val="20"/>
          <w:szCs w:val="20"/>
        </w:rPr>
        <w:t>Authorized share capital</w:t>
      </w:r>
    </w:p>
    <w:p w14:paraId="777E5848" w14:textId="77777777" w:rsidR="00D67793" w:rsidRPr="00FC2211" w:rsidRDefault="00D67793">
      <w:pPr>
        <w:rPr>
          <w:rFonts w:cstheme="minorHAnsi"/>
          <w:szCs w:val="20"/>
        </w:rPr>
      </w:pPr>
    </w:p>
    <w:p w14:paraId="450DBA57" w14:textId="6E410F8A" w:rsidR="003B5B0C" w:rsidRPr="00FC2211" w:rsidRDefault="00D67793" w:rsidP="00D659A2">
      <w:pPr>
        <w:tabs>
          <w:tab w:val="left" w:pos="357"/>
        </w:tabs>
        <w:ind w:left="357"/>
        <w:rPr>
          <w:rFonts w:cstheme="minorHAnsi"/>
          <w:szCs w:val="20"/>
        </w:rPr>
      </w:pPr>
      <w:r w:rsidRPr="00FC2211">
        <w:rPr>
          <w:rFonts w:cstheme="minorHAnsi"/>
          <w:szCs w:val="20"/>
        </w:rPr>
        <w:t xml:space="preserve">The </w:t>
      </w:r>
      <w:r w:rsidR="007F5BF5" w:rsidRPr="00FC2211">
        <w:rPr>
          <w:rFonts w:cstheme="minorHAnsi"/>
          <w:szCs w:val="20"/>
        </w:rPr>
        <w:t>Company's authorized share capital</w:t>
      </w:r>
      <w:r w:rsidRPr="00FC2211">
        <w:rPr>
          <w:rFonts w:cstheme="minorHAnsi"/>
          <w:szCs w:val="20"/>
        </w:rPr>
        <w:t xml:space="preserve"> consists of an unlimited number of common shares without par value.</w:t>
      </w:r>
    </w:p>
    <w:p w14:paraId="3AB282EF" w14:textId="77777777" w:rsidR="00991777" w:rsidRPr="00FC2211" w:rsidRDefault="00991777" w:rsidP="00D67793">
      <w:pPr>
        <w:tabs>
          <w:tab w:val="left" w:pos="357"/>
        </w:tabs>
        <w:ind w:left="357"/>
        <w:rPr>
          <w:rFonts w:cstheme="minorHAnsi"/>
          <w:szCs w:val="20"/>
        </w:rPr>
      </w:pPr>
    </w:p>
    <w:p w14:paraId="6D55D0CE" w14:textId="77777777" w:rsidR="00991777" w:rsidRPr="00FC2211" w:rsidRDefault="00991777" w:rsidP="00E46359">
      <w:pPr>
        <w:pStyle w:val="NormalCalibri"/>
        <w:spacing w:before="0" w:line="230" w:lineRule="auto"/>
        <w:ind w:left="360"/>
        <w:rPr>
          <w:rFonts w:asciiTheme="minorHAnsi" w:hAnsiTheme="minorHAnsi" w:cstheme="minorHAnsi"/>
          <w:b/>
          <w:sz w:val="20"/>
          <w:szCs w:val="20"/>
        </w:rPr>
      </w:pPr>
      <w:r w:rsidRPr="00FC2211">
        <w:rPr>
          <w:rFonts w:asciiTheme="minorHAnsi" w:hAnsiTheme="minorHAnsi" w:cstheme="minorHAnsi"/>
          <w:b/>
          <w:sz w:val="20"/>
          <w:szCs w:val="20"/>
        </w:rPr>
        <w:t>Shares held in escrow</w:t>
      </w:r>
    </w:p>
    <w:p w14:paraId="103861B4" w14:textId="77777777" w:rsidR="00991777" w:rsidRPr="00FC2211" w:rsidRDefault="00991777" w:rsidP="00991777">
      <w:pPr>
        <w:rPr>
          <w:rFonts w:cs="Calibri"/>
          <w:b/>
          <w:szCs w:val="20"/>
        </w:rPr>
      </w:pPr>
    </w:p>
    <w:p w14:paraId="01E8CB7C" w14:textId="1369AD97" w:rsidR="0012696B" w:rsidRPr="00FC2211" w:rsidRDefault="0012696B" w:rsidP="0012696B">
      <w:pPr>
        <w:pStyle w:val="NormalWeb"/>
        <w:ind w:left="357"/>
        <w:jc w:val="both"/>
        <w:rPr>
          <w:rFonts w:eastAsia="Calibri" w:cstheme="minorHAnsi"/>
          <w:szCs w:val="20"/>
        </w:rPr>
      </w:pPr>
      <w:r w:rsidRPr="00FC2211">
        <w:rPr>
          <w:rFonts w:eastAsia="Calibri" w:cstheme="minorHAnsi"/>
          <w:szCs w:val="20"/>
        </w:rPr>
        <w:t xml:space="preserve">On January 24, 2023, all common shares held in escrow were released to shareholders. As of </w:t>
      </w:r>
      <w:r w:rsidR="001F2EBF">
        <w:rPr>
          <w:rFonts w:eastAsia="Calibri" w:cstheme="minorHAnsi"/>
          <w:szCs w:val="20"/>
        </w:rPr>
        <w:t>March 31</w:t>
      </w:r>
      <w:r w:rsidRPr="00FC2211">
        <w:rPr>
          <w:rFonts w:eastAsia="Calibri" w:cstheme="minorHAnsi"/>
          <w:szCs w:val="20"/>
        </w:rPr>
        <w:t>, 202</w:t>
      </w:r>
      <w:r w:rsidR="001F2EBF">
        <w:rPr>
          <w:rFonts w:eastAsia="Calibri" w:cstheme="minorHAnsi"/>
          <w:szCs w:val="20"/>
        </w:rPr>
        <w:t>4</w:t>
      </w:r>
      <w:r w:rsidRPr="00FC2211">
        <w:rPr>
          <w:rFonts w:eastAsia="Calibri" w:cstheme="minorHAnsi"/>
          <w:szCs w:val="20"/>
        </w:rPr>
        <w:t>, nil shares were held in escrow. (</w:t>
      </w:r>
      <w:r w:rsidR="00162168" w:rsidRPr="00FC2211">
        <w:rPr>
          <w:rFonts w:eastAsia="Calibri" w:cstheme="minorHAnsi"/>
          <w:szCs w:val="20"/>
        </w:rPr>
        <w:t>June</w:t>
      </w:r>
      <w:r w:rsidRPr="00FC2211">
        <w:rPr>
          <w:rFonts w:eastAsia="Calibri" w:cstheme="minorHAnsi"/>
          <w:szCs w:val="20"/>
        </w:rPr>
        <w:t xml:space="preserve"> 30, 202</w:t>
      </w:r>
      <w:r w:rsidR="00162168" w:rsidRPr="00FC2211">
        <w:rPr>
          <w:rFonts w:eastAsia="Calibri" w:cstheme="minorHAnsi"/>
          <w:szCs w:val="20"/>
        </w:rPr>
        <w:t>3</w:t>
      </w:r>
      <w:r w:rsidRPr="00FC2211">
        <w:rPr>
          <w:rFonts w:eastAsia="Calibri" w:cstheme="minorHAnsi"/>
          <w:szCs w:val="20"/>
        </w:rPr>
        <w:t xml:space="preserve"> – </w:t>
      </w:r>
      <w:r w:rsidR="00162168" w:rsidRPr="00FC2211">
        <w:rPr>
          <w:rFonts w:eastAsia="Calibri" w:cstheme="minorHAnsi"/>
          <w:szCs w:val="20"/>
        </w:rPr>
        <w:t>nil</w:t>
      </w:r>
      <w:r w:rsidRPr="00FC2211">
        <w:rPr>
          <w:rFonts w:eastAsia="Calibri" w:cstheme="minorHAnsi"/>
          <w:szCs w:val="20"/>
        </w:rPr>
        <w:t xml:space="preserve"> shares held in escrow).</w:t>
      </w:r>
    </w:p>
    <w:p w14:paraId="73C2CF33" w14:textId="77777777" w:rsidR="0023211A" w:rsidRPr="00FC2211" w:rsidRDefault="0023211A" w:rsidP="00055F02">
      <w:pPr>
        <w:pStyle w:val="NormalCalibri"/>
        <w:spacing w:before="0" w:line="230" w:lineRule="auto"/>
        <w:ind w:left="213" w:firstLine="144"/>
        <w:rPr>
          <w:rFonts w:asciiTheme="minorHAnsi" w:hAnsiTheme="minorHAnsi" w:cstheme="minorHAnsi"/>
          <w:b/>
          <w:sz w:val="20"/>
          <w:szCs w:val="20"/>
        </w:rPr>
      </w:pPr>
      <w:bookmarkStart w:id="5" w:name="_Hlk77767094"/>
    </w:p>
    <w:p w14:paraId="50CA8C62" w14:textId="3F853158" w:rsidR="00D67793" w:rsidRPr="00FC2211" w:rsidRDefault="0023211A" w:rsidP="00055F02">
      <w:pPr>
        <w:pStyle w:val="NormalCalibri"/>
        <w:spacing w:before="0" w:line="230" w:lineRule="auto"/>
        <w:ind w:left="213" w:firstLine="144"/>
        <w:rPr>
          <w:rFonts w:asciiTheme="minorHAnsi" w:hAnsiTheme="minorHAnsi" w:cstheme="minorHAnsi"/>
          <w:b/>
          <w:sz w:val="20"/>
          <w:szCs w:val="20"/>
        </w:rPr>
      </w:pPr>
      <w:r w:rsidRPr="00FC2211">
        <w:rPr>
          <w:rFonts w:asciiTheme="minorHAnsi" w:hAnsiTheme="minorHAnsi" w:cstheme="minorHAnsi"/>
          <w:b/>
          <w:sz w:val="20"/>
          <w:szCs w:val="20"/>
        </w:rPr>
        <w:t>I</w:t>
      </w:r>
      <w:r w:rsidR="00D67793" w:rsidRPr="00FC2211">
        <w:rPr>
          <w:rFonts w:asciiTheme="minorHAnsi" w:hAnsiTheme="minorHAnsi" w:cstheme="minorHAnsi"/>
          <w:b/>
          <w:sz w:val="20"/>
          <w:szCs w:val="20"/>
        </w:rPr>
        <w:t>ssued share capital</w:t>
      </w:r>
    </w:p>
    <w:p w14:paraId="423F7077" w14:textId="77777777" w:rsidR="00692011" w:rsidRPr="00FC2211" w:rsidRDefault="00692011" w:rsidP="002B36BD">
      <w:pPr>
        <w:pStyle w:val="NormalCalibri"/>
        <w:spacing w:before="0" w:line="230" w:lineRule="auto"/>
        <w:ind w:left="426"/>
        <w:rPr>
          <w:rFonts w:asciiTheme="minorHAnsi" w:hAnsiTheme="minorHAnsi" w:cstheme="minorHAnsi"/>
          <w:b/>
          <w:sz w:val="20"/>
          <w:szCs w:val="20"/>
        </w:rPr>
      </w:pPr>
    </w:p>
    <w:p w14:paraId="740E901A" w14:textId="550D008F" w:rsidR="00692011" w:rsidRPr="00FC2211" w:rsidRDefault="007202C5" w:rsidP="007202C5">
      <w:pPr>
        <w:pStyle w:val="NormalWeb"/>
        <w:ind w:left="357"/>
        <w:jc w:val="both"/>
        <w:rPr>
          <w:rFonts w:eastAsia="Calibri" w:cstheme="minorHAnsi"/>
          <w:szCs w:val="20"/>
        </w:rPr>
      </w:pPr>
      <w:r w:rsidRPr="00FC2211">
        <w:rPr>
          <w:rFonts w:eastAsia="Calibri" w:cstheme="minorHAnsi"/>
          <w:szCs w:val="20"/>
        </w:rPr>
        <w:t xml:space="preserve">The Company had no capital stock transactions during the period ended </w:t>
      </w:r>
      <w:r w:rsidR="00F939B2">
        <w:rPr>
          <w:rFonts w:eastAsia="Calibri" w:cstheme="minorHAnsi"/>
          <w:szCs w:val="20"/>
        </w:rPr>
        <w:t>March 31, 2024</w:t>
      </w:r>
      <w:r w:rsidR="00B811F3" w:rsidRPr="00FC2211">
        <w:rPr>
          <w:rFonts w:eastAsia="Calibri" w:cstheme="minorHAnsi"/>
          <w:szCs w:val="20"/>
        </w:rPr>
        <w:t>.</w:t>
      </w:r>
    </w:p>
    <w:p w14:paraId="508ABCD4" w14:textId="77777777" w:rsidR="003B14A3" w:rsidRDefault="003B14A3" w:rsidP="00D659A2">
      <w:pPr>
        <w:pStyle w:val="NormalCalibri"/>
        <w:spacing w:before="0" w:line="230" w:lineRule="auto"/>
        <w:ind w:left="213" w:firstLine="144"/>
        <w:rPr>
          <w:rFonts w:asciiTheme="minorHAnsi" w:hAnsiTheme="minorHAnsi" w:cstheme="minorHAnsi"/>
          <w:bCs/>
          <w:sz w:val="20"/>
          <w:szCs w:val="20"/>
          <w:u w:val="single"/>
        </w:rPr>
        <w:sectPr w:rsidR="003B14A3" w:rsidSect="00A71F06">
          <w:pgSz w:w="11906" w:h="16838" w:code="9"/>
          <w:pgMar w:top="1440" w:right="1440" w:bottom="1440" w:left="1440" w:header="272" w:footer="454" w:gutter="0"/>
          <w:cols w:space="720"/>
          <w:docGrid w:linePitch="360"/>
        </w:sectPr>
      </w:pPr>
    </w:p>
    <w:p w14:paraId="6F4E213D" w14:textId="77777777" w:rsidR="003B14A3" w:rsidRPr="00FC2211" w:rsidRDefault="003B14A3" w:rsidP="00C52D7F">
      <w:pPr>
        <w:pStyle w:val="Heading1"/>
        <w:spacing w:before="120"/>
        <w:rPr>
          <w:rFonts w:cstheme="minorHAnsi"/>
          <w:szCs w:val="20"/>
          <w:lang w:val="en-GB"/>
        </w:rPr>
      </w:pPr>
      <w:r w:rsidRPr="00FC2211">
        <w:rPr>
          <w:rFonts w:cstheme="minorHAnsi"/>
          <w:szCs w:val="20"/>
          <w:lang w:val="en-GB"/>
        </w:rPr>
        <w:lastRenderedPageBreak/>
        <w:t>1</w:t>
      </w:r>
      <w:r>
        <w:rPr>
          <w:rFonts w:cstheme="minorHAnsi"/>
          <w:szCs w:val="20"/>
          <w:lang w:val="en-GB"/>
        </w:rPr>
        <w:t>6</w:t>
      </w:r>
      <w:r w:rsidRPr="00FC2211">
        <w:rPr>
          <w:rFonts w:cstheme="minorHAnsi"/>
          <w:szCs w:val="20"/>
          <w:lang w:val="en-GB"/>
        </w:rPr>
        <w:t>.   SHARE CAPITAL AND RESERVES (CONTINUED)</w:t>
      </w:r>
    </w:p>
    <w:p w14:paraId="77F6C259" w14:textId="77777777" w:rsidR="003B14A3" w:rsidRDefault="003B14A3" w:rsidP="00D659A2">
      <w:pPr>
        <w:pStyle w:val="NormalCalibri"/>
        <w:spacing w:before="0" w:line="230" w:lineRule="auto"/>
        <w:ind w:left="213" w:firstLine="144"/>
        <w:rPr>
          <w:rFonts w:asciiTheme="minorHAnsi" w:hAnsiTheme="minorHAnsi" w:cstheme="minorHAnsi"/>
          <w:bCs/>
          <w:sz w:val="20"/>
          <w:szCs w:val="20"/>
          <w:u w:val="single"/>
        </w:rPr>
      </w:pPr>
    </w:p>
    <w:p w14:paraId="77B8A7A2" w14:textId="067CAC9D" w:rsidR="00DC44FC" w:rsidRPr="00FC2211" w:rsidRDefault="00DC44FC" w:rsidP="00D659A2">
      <w:pPr>
        <w:pStyle w:val="NormalCalibri"/>
        <w:spacing w:before="0" w:line="230" w:lineRule="auto"/>
        <w:ind w:left="213" w:firstLine="144"/>
        <w:rPr>
          <w:rFonts w:asciiTheme="minorHAnsi" w:hAnsiTheme="minorHAnsi" w:cstheme="minorHAnsi"/>
          <w:bCs/>
          <w:sz w:val="20"/>
          <w:szCs w:val="20"/>
        </w:rPr>
      </w:pPr>
      <w:r w:rsidRPr="00FC2211">
        <w:rPr>
          <w:rFonts w:asciiTheme="minorHAnsi" w:hAnsiTheme="minorHAnsi" w:cstheme="minorHAnsi"/>
          <w:bCs/>
          <w:sz w:val="20"/>
          <w:szCs w:val="20"/>
          <w:u w:val="single"/>
        </w:rPr>
        <w:t xml:space="preserve">During the </w:t>
      </w:r>
      <w:r w:rsidR="00417438" w:rsidRPr="00FC2211">
        <w:rPr>
          <w:rFonts w:asciiTheme="minorHAnsi" w:hAnsiTheme="minorHAnsi" w:cstheme="minorHAnsi"/>
          <w:bCs/>
          <w:sz w:val="20"/>
          <w:szCs w:val="20"/>
          <w:u w:val="single"/>
        </w:rPr>
        <w:t>year ended</w:t>
      </w:r>
      <w:r w:rsidRPr="00FC2211">
        <w:rPr>
          <w:rFonts w:asciiTheme="minorHAnsi" w:hAnsiTheme="minorHAnsi" w:cstheme="minorHAnsi"/>
          <w:bCs/>
          <w:sz w:val="20"/>
          <w:szCs w:val="20"/>
          <w:u w:val="single"/>
        </w:rPr>
        <w:t xml:space="preserve"> </w:t>
      </w:r>
      <w:r w:rsidR="00417438" w:rsidRPr="00FC2211">
        <w:rPr>
          <w:rFonts w:asciiTheme="minorHAnsi" w:hAnsiTheme="minorHAnsi" w:cstheme="minorHAnsi"/>
          <w:bCs/>
          <w:sz w:val="20"/>
          <w:szCs w:val="20"/>
          <w:u w:val="single"/>
        </w:rPr>
        <w:t>June 30, 202</w:t>
      </w:r>
      <w:r w:rsidR="00D659A2" w:rsidRPr="00FC2211">
        <w:rPr>
          <w:rFonts w:asciiTheme="minorHAnsi" w:hAnsiTheme="minorHAnsi" w:cstheme="minorHAnsi"/>
          <w:bCs/>
          <w:sz w:val="20"/>
          <w:szCs w:val="20"/>
          <w:u w:val="single"/>
        </w:rPr>
        <w:t>3,</w:t>
      </w:r>
      <w:r w:rsidR="00FB780D" w:rsidRPr="00FC2211">
        <w:rPr>
          <w:rFonts w:asciiTheme="minorHAnsi" w:hAnsiTheme="minorHAnsi" w:cstheme="minorHAnsi"/>
          <w:bCs/>
          <w:sz w:val="20"/>
          <w:szCs w:val="20"/>
          <w:u w:val="single"/>
        </w:rPr>
        <w:t xml:space="preserve"> </w:t>
      </w:r>
      <w:r w:rsidRPr="00FC2211">
        <w:rPr>
          <w:rFonts w:asciiTheme="minorHAnsi" w:hAnsiTheme="minorHAnsi" w:cstheme="minorHAnsi"/>
          <w:bCs/>
          <w:sz w:val="20"/>
          <w:szCs w:val="20"/>
          <w:u w:val="single"/>
        </w:rPr>
        <w:t>the Company had the following capital stock transactions</w:t>
      </w:r>
      <w:r w:rsidRPr="00FC2211">
        <w:rPr>
          <w:rFonts w:asciiTheme="minorHAnsi" w:hAnsiTheme="minorHAnsi" w:cstheme="minorHAnsi"/>
          <w:bCs/>
          <w:sz w:val="20"/>
          <w:szCs w:val="20"/>
        </w:rPr>
        <w:t>:</w:t>
      </w:r>
    </w:p>
    <w:p w14:paraId="43E01939" w14:textId="77777777" w:rsidR="00D659A2" w:rsidRPr="00FC2211" w:rsidRDefault="00D659A2" w:rsidP="00D659A2">
      <w:pPr>
        <w:pStyle w:val="NormalCalibri"/>
        <w:spacing w:before="0" w:line="230" w:lineRule="auto"/>
        <w:ind w:left="213" w:firstLine="144"/>
        <w:rPr>
          <w:rFonts w:asciiTheme="minorHAnsi" w:hAnsiTheme="minorHAnsi" w:cstheme="minorHAnsi"/>
          <w:bCs/>
          <w:sz w:val="20"/>
          <w:szCs w:val="20"/>
        </w:rPr>
      </w:pPr>
    </w:p>
    <w:p w14:paraId="65B736D7" w14:textId="74935944" w:rsidR="00B811F3" w:rsidRPr="00FC2211" w:rsidRDefault="00D659A2" w:rsidP="00A70EA9">
      <w:pPr>
        <w:pStyle w:val="NormalWeb"/>
        <w:ind w:left="357"/>
        <w:jc w:val="both"/>
        <w:rPr>
          <w:rFonts w:eastAsia="Calibri" w:cstheme="minorHAnsi"/>
          <w:szCs w:val="20"/>
        </w:rPr>
      </w:pPr>
      <w:r w:rsidRPr="00FC2211">
        <w:rPr>
          <w:rFonts w:eastAsia="Calibri" w:cstheme="minorHAnsi"/>
          <w:szCs w:val="20"/>
        </w:rPr>
        <w:t>On November 17, 2022, the Company completed a brokered short-form prospectus offering (the ‘</w:t>
      </w:r>
      <w:r w:rsidR="00735811" w:rsidRPr="00FC2211">
        <w:rPr>
          <w:rFonts w:eastAsia="Calibri" w:cstheme="minorHAnsi"/>
          <w:szCs w:val="20"/>
        </w:rPr>
        <w:t>Offering’</w:t>
      </w:r>
      <w:r w:rsidRPr="00FC2211">
        <w:rPr>
          <w:rFonts w:eastAsia="Calibri" w:cstheme="minorHAnsi"/>
          <w:szCs w:val="20"/>
        </w:rPr>
        <w:t xml:space="preserve">), </w:t>
      </w:r>
      <w:r w:rsidR="00FE791A" w:rsidRPr="00FC2211">
        <w:rPr>
          <w:rFonts w:eastAsia="Calibri" w:cstheme="minorHAnsi"/>
          <w:szCs w:val="20"/>
        </w:rPr>
        <w:t>issuing</w:t>
      </w:r>
      <w:r w:rsidRPr="00FC2211">
        <w:rPr>
          <w:rFonts w:eastAsia="Calibri" w:cstheme="minorHAnsi"/>
          <w:szCs w:val="20"/>
        </w:rPr>
        <w:t xml:space="preserve"> 14,525,000 units </w:t>
      </w:r>
      <w:r w:rsidR="00FE791A" w:rsidRPr="00FC2211">
        <w:rPr>
          <w:rFonts w:eastAsia="Calibri" w:cstheme="minorHAnsi"/>
          <w:szCs w:val="20"/>
        </w:rPr>
        <w:t>for</w:t>
      </w:r>
      <w:r w:rsidRPr="00FC2211">
        <w:rPr>
          <w:rFonts w:eastAsia="Calibri" w:cstheme="minorHAnsi"/>
          <w:szCs w:val="20"/>
        </w:rPr>
        <w:t xml:space="preserve"> $0.12 per unit for aggregate proceeds of $1,743,000. Each unit consisted of one common share and one-half of one common share purchase warrant. Each warrant will entitle the holder to acquire one common share of the Company at an exercise price of $0.19 per common share for a period of 36 months from the date of issuance. The warrants were allocated a value of $nil using the residual value allocation method. </w:t>
      </w:r>
      <w:r w:rsidR="00390FE0" w:rsidRPr="00FC2211">
        <w:rPr>
          <w:rFonts w:eastAsia="Calibri" w:cstheme="minorHAnsi"/>
          <w:szCs w:val="20"/>
        </w:rPr>
        <w:t>In connection with the Offering, the Company incurred $</w:t>
      </w:r>
      <w:r w:rsidR="00427D00" w:rsidRPr="00FC2211">
        <w:rPr>
          <w:rFonts w:eastAsia="Calibri" w:cstheme="minorHAnsi"/>
          <w:szCs w:val="20"/>
        </w:rPr>
        <w:t>419,029</w:t>
      </w:r>
      <w:r w:rsidR="00FE3C88" w:rsidRPr="00FC2211">
        <w:rPr>
          <w:rFonts w:eastAsia="Calibri" w:cstheme="minorHAnsi"/>
          <w:szCs w:val="20"/>
        </w:rPr>
        <w:t xml:space="preserve"> in share issuance</w:t>
      </w:r>
      <w:r w:rsidR="003872C2" w:rsidRPr="00FC2211">
        <w:rPr>
          <w:rFonts w:eastAsia="Calibri" w:cstheme="minorHAnsi"/>
          <w:szCs w:val="20"/>
        </w:rPr>
        <w:t xml:space="preserve"> cost and issued </w:t>
      </w:r>
      <w:r w:rsidR="007D1366" w:rsidRPr="00FC2211">
        <w:rPr>
          <w:rFonts w:eastAsia="Calibri" w:cstheme="minorHAnsi"/>
          <w:szCs w:val="20"/>
        </w:rPr>
        <w:t xml:space="preserve">923,721 broker </w:t>
      </w:r>
      <w:r w:rsidR="00084604" w:rsidRPr="00FC2211">
        <w:rPr>
          <w:rFonts w:eastAsia="Calibri" w:cstheme="minorHAnsi"/>
          <w:szCs w:val="20"/>
        </w:rPr>
        <w:t xml:space="preserve">warrants </w:t>
      </w:r>
      <w:r w:rsidR="007D1366" w:rsidRPr="00FC2211">
        <w:rPr>
          <w:rFonts w:eastAsia="Calibri" w:cstheme="minorHAnsi"/>
          <w:szCs w:val="20"/>
        </w:rPr>
        <w:t xml:space="preserve">with a fair value of $61,503. </w:t>
      </w:r>
      <w:r w:rsidR="00E21E88" w:rsidRPr="00FC2211">
        <w:rPr>
          <w:rFonts w:cstheme="minorHAnsi"/>
          <w:szCs w:val="20"/>
        </w:rPr>
        <w:t>The broker warrants were valued using the Black Scholes option pricing model with the following assumptions: volatility rate of 83</w:t>
      </w:r>
      <w:r w:rsidR="000E5301" w:rsidRPr="00FC2211">
        <w:rPr>
          <w:rFonts w:cstheme="minorHAnsi"/>
          <w:szCs w:val="20"/>
        </w:rPr>
        <w:t>.04</w:t>
      </w:r>
      <w:r w:rsidR="00E21E88" w:rsidRPr="00FC2211">
        <w:rPr>
          <w:rFonts w:cstheme="minorHAnsi"/>
          <w:szCs w:val="20"/>
        </w:rPr>
        <w:t xml:space="preserve">%, risk-free rate of 3.86%, weighted average life of 3 years. </w:t>
      </w:r>
      <w:r w:rsidR="007D1366" w:rsidRPr="00FC2211">
        <w:rPr>
          <w:rFonts w:eastAsia="Calibri" w:cstheme="minorHAnsi"/>
          <w:szCs w:val="20"/>
        </w:rPr>
        <w:t>Each broker warrant entitles the holder to purchase one common sh</w:t>
      </w:r>
      <w:r w:rsidR="0027152A" w:rsidRPr="00FC2211">
        <w:rPr>
          <w:rFonts w:eastAsia="Calibri" w:cstheme="minorHAnsi"/>
          <w:szCs w:val="20"/>
        </w:rPr>
        <w:t xml:space="preserve">are at </w:t>
      </w:r>
      <w:r w:rsidR="00814F6A" w:rsidRPr="00FC2211">
        <w:rPr>
          <w:rFonts w:eastAsia="Calibri" w:cstheme="minorHAnsi"/>
          <w:szCs w:val="20"/>
        </w:rPr>
        <w:t xml:space="preserve">a </w:t>
      </w:r>
      <w:r w:rsidR="0027152A" w:rsidRPr="00FC2211">
        <w:rPr>
          <w:rFonts w:eastAsia="Calibri" w:cstheme="minorHAnsi"/>
          <w:szCs w:val="20"/>
        </w:rPr>
        <w:t>price of $0.12 per share for a period of three years.</w:t>
      </w:r>
      <w:r w:rsidR="00FE3C88" w:rsidRPr="00FC2211">
        <w:rPr>
          <w:rFonts w:eastAsia="Calibri" w:cstheme="minorHAnsi"/>
          <w:szCs w:val="20"/>
        </w:rPr>
        <w:t xml:space="preserve"> </w:t>
      </w:r>
      <w:r w:rsidRPr="00FC2211">
        <w:rPr>
          <w:rFonts w:eastAsia="Calibri" w:cstheme="minorHAnsi"/>
          <w:szCs w:val="20"/>
        </w:rPr>
        <w:t xml:space="preserve"> The Company also issued 1,428,571 bonus shares in connection with a non-brokered private placement of the $1,000,000 unsecured promissory note. The bonus shares have</w:t>
      </w:r>
      <w:r w:rsidR="00EB3813" w:rsidRPr="00FC2211">
        <w:rPr>
          <w:rFonts w:eastAsia="Calibri" w:cstheme="minorHAnsi"/>
          <w:szCs w:val="20"/>
        </w:rPr>
        <w:t xml:space="preserve"> a</w:t>
      </w:r>
      <w:r w:rsidRPr="00FC2211">
        <w:rPr>
          <w:rFonts w:eastAsia="Calibri" w:cstheme="minorHAnsi"/>
          <w:szCs w:val="20"/>
        </w:rPr>
        <w:t xml:space="preserve"> fair value of </w:t>
      </w:r>
      <w:r w:rsidR="00A336D4" w:rsidRPr="00FC2211">
        <w:rPr>
          <w:rFonts w:eastAsia="Calibri" w:cstheme="minorHAnsi"/>
          <w:szCs w:val="20"/>
        </w:rPr>
        <w:t>$171,42</w:t>
      </w:r>
      <w:r w:rsidR="008D09FD" w:rsidRPr="00FC2211">
        <w:rPr>
          <w:rFonts w:eastAsia="Calibri" w:cstheme="minorHAnsi"/>
          <w:szCs w:val="20"/>
        </w:rPr>
        <w:t>8</w:t>
      </w:r>
      <w:r w:rsidRPr="00FC2211">
        <w:rPr>
          <w:rFonts w:eastAsia="Calibri" w:cstheme="minorHAnsi"/>
          <w:szCs w:val="20"/>
        </w:rPr>
        <w:t xml:space="preserve"> and were considered debt issuance cost</w:t>
      </w:r>
      <w:r w:rsidR="00EB3813" w:rsidRPr="00FC2211">
        <w:rPr>
          <w:rFonts w:eastAsia="Calibri" w:cstheme="minorHAnsi"/>
          <w:szCs w:val="20"/>
        </w:rPr>
        <w:t>s</w:t>
      </w:r>
      <w:r w:rsidRPr="00FC2211">
        <w:rPr>
          <w:rFonts w:eastAsia="Calibri" w:cstheme="minorHAnsi"/>
          <w:szCs w:val="20"/>
        </w:rPr>
        <w:t xml:space="preserve"> (Note 1</w:t>
      </w:r>
      <w:r w:rsidR="00EB3813" w:rsidRPr="00FC2211">
        <w:rPr>
          <w:rFonts w:eastAsia="Calibri" w:cstheme="minorHAnsi"/>
          <w:szCs w:val="20"/>
        </w:rPr>
        <w:t>2</w:t>
      </w:r>
      <w:r w:rsidRPr="00FC2211">
        <w:rPr>
          <w:rFonts w:eastAsia="Calibri" w:cstheme="minorHAnsi"/>
          <w:szCs w:val="20"/>
        </w:rPr>
        <w:t>).</w:t>
      </w:r>
      <w:bookmarkEnd w:id="5"/>
    </w:p>
    <w:p w14:paraId="58504CCA" w14:textId="77777777" w:rsidR="003657B2" w:rsidRPr="00FC2211" w:rsidRDefault="003657B2" w:rsidP="00A70EA9">
      <w:pPr>
        <w:pStyle w:val="NormalWeb"/>
        <w:ind w:left="357"/>
        <w:jc w:val="both"/>
        <w:rPr>
          <w:rFonts w:eastAsia="Calibri" w:cstheme="minorHAnsi"/>
          <w:szCs w:val="20"/>
        </w:rPr>
      </w:pPr>
    </w:p>
    <w:p w14:paraId="5635AF42" w14:textId="3EA8481D" w:rsidR="00BD328D" w:rsidRPr="00FC2211" w:rsidRDefault="001E1C44" w:rsidP="00735C8F">
      <w:pPr>
        <w:widowControl w:val="0"/>
        <w:autoSpaceDE w:val="0"/>
        <w:autoSpaceDN w:val="0"/>
        <w:ind w:left="360" w:firstLine="14"/>
        <w:jc w:val="both"/>
        <w:outlineLvl w:val="1"/>
        <w:rPr>
          <w:rFonts w:cstheme="minorHAnsi"/>
          <w:szCs w:val="20"/>
        </w:rPr>
      </w:pPr>
      <w:r w:rsidRPr="00FC2211">
        <w:rPr>
          <w:rFonts w:cstheme="minorHAnsi"/>
          <w:szCs w:val="20"/>
        </w:rPr>
        <w:t xml:space="preserve">The Company has adopted a stock option plan </w:t>
      </w:r>
      <w:r w:rsidR="00FE791A" w:rsidRPr="00FC2211">
        <w:rPr>
          <w:rFonts w:cstheme="minorHAnsi"/>
          <w:szCs w:val="20"/>
        </w:rPr>
        <w:t>that</w:t>
      </w:r>
      <w:r w:rsidRPr="00FC2211">
        <w:rPr>
          <w:rFonts w:cstheme="minorHAnsi"/>
          <w:szCs w:val="20"/>
        </w:rPr>
        <w:t xml:space="preserve"> allows the Company to issue options to certain directors, officers, employees</w:t>
      </w:r>
      <w:r w:rsidR="00EB3813" w:rsidRPr="00FC2211">
        <w:rPr>
          <w:rFonts w:cstheme="minorHAnsi"/>
          <w:szCs w:val="20"/>
        </w:rPr>
        <w:t>,</w:t>
      </w:r>
      <w:r w:rsidRPr="00FC2211">
        <w:rPr>
          <w:rFonts w:cstheme="minorHAnsi"/>
          <w:szCs w:val="20"/>
        </w:rPr>
        <w:t xml:space="preserve"> and consultants to acquire up to 10% of the issued and outstanding common stock. The exercise price of each option cannot be less than the market price of the Company's stock as calculated on the date of grant. The options can be granted for a maximum term of 10 years. </w:t>
      </w:r>
      <w:r w:rsidR="00D268C7" w:rsidRPr="00FC2211">
        <w:rPr>
          <w:rFonts w:cstheme="minorHAnsi"/>
          <w:szCs w:val="20"/>
        </w:rPr>
        <w:t>Stock options granted under the plan vest immediately subject to vesting terms</w:t>
      </w:r>
      <w:r w:rsidR="00C83304" w:rsidRPr="00FC2211">
        <w:rPr>
          <w:rFonts w:cstheme="minorHAnsi"/>
          <w:szCs w:val="20"/>
        </w:rPr>
        <w:t>,</w:t>
      </w:r>
      <w:r w:rsidR="00D268C7" w:rsidRPr="00FC2211">
        <w:rPr>
          <w:rFonts w:cstheme="minorHAnsi"/>
          <w:szCs w:val="20"/>
        </w:rPr>
        <w:t xml:space="preserve"> which may be imposed at the </w:t>
      </w:r>
      <w:r w:rsidR="00C83304" w:rsidRPr="00FC2211">
        <w:rPr>
          <w:rFonts w:cstheme="minorHAnsi"/>
          <w:szCs w:val="20"/>
        </w:rPr>
        <w:t>directors' discretion</w:t>
      </w:r>
      <w:r w:rsidR="00D268C7" w:rsidRPr="00FC2211">
        <w:rPr>
          <w:rFonts w:cstheme="minorHAnsi"/>
          <w:szCs w:val="20"/>
        </w:rPr>
        <w:t>.</w:t>
      </w:r>
    </w:p>
    <w:p w14:paraId="02ED88E1" w14:textId="77777777" w:rsidR="00000274" w:rsidRPr="00FC2211" w:rsidRDefault="00000274" w:rsidP="0096323B">
      <w:pPr>
        <w:widowControl w:val="0"/>
        <w:autoSpaceDE w:val="0"/>
        <w:autoSpaceDN w:val="0"/>
        <w:ind w:left="360" w:firstLine="14"/>
        <w:outlineLvl w:val="1"/>
        <w:rPr>
          <w:rFonts w:eastAsia="Calibri" w:cstheme="minorHAnsi"/>
          <w:b/>
          <w:bCs/>
          <w:szCs w:val="20"/>
        </w:rPr>
      </w:pPr>
    </w:p>
    <w:p w14:paraId="6B5F1D14" w14:textId="5B96143B" w:rsidR="00A5259E" w:rsidRPr="00FC2211" w:rsidRDefault="006F5AD1" w:rsidP="0096323B">
      <w:pPr>
        <w:widowControl w:val="0"/>
        <w:autoSpaceDE w:val="0"/>
        <w:autoSpaceDN w:val="0"/>
        <w:ind w:left="360" w:firstLine="14"/>
        <w:outlineLvl w:val="1"/>
        <w:rPr>
          <w:rFonts w:cstheme="minorHAnsi"/>
          <w:szCs w:val="20"/>
        </w:rPr>
      </w:pPr>
      <w:r w:rsidRPr="00FC2211">
        <w:rPr>
          <w:rFonts w:cstheme="minorHAnsi"/>
          <w:szCs w:val="20"/>
        </w:rPr>
        <w:t xml:space="preserve">The </w:t>
      </w:r>
      <w:r w:rsidR="00C65AE8" w:rsidRPr="00FC2211">
        <w:rPr>
          <w:rFonts w:cstheme="minorHAnsi"/>
          <w:szCs w:val="20"/>
        </w:rPr>
        <w:t xml:space="preserve">summary of </w:t>
      </w:r>
      <w:r w:rsidRPr="00FC2211">
        <w:rPr>
          <w:rFonts w:cstheme="minorHAnsi"/>
          <w:szCs w:val="20"/>
        </w:rPr>
        <w:t xml:space="preserve">changes in stock options during the </w:t>
      </w:r>
      <w:r w:rsidR="00D70332">
        <w:rPr>
          <w:rFonts w:cstheme="minorHAnsi"/>
          <w:szCs w:val="20"/>
        </w:rPr>
        <w:t>nine</w:t>
      </w:r>
      <w:r w:rsidR="00EE7FC9" w:rsidRPr="00FC2211">
        <w:rPr>
          <w:rFonts w:cstheme="minorHAnsi"/>
          <w:szCs w:val="20"/>
        </w:rPr>
        <w:t xml:space="preserve"> months</w:t>
      </w:r>
      <w:r w:rsidR="00FC316D" w:rsidRPr="00FC2211">
        <w:rPr>
          <w:rFonts w:cstheme="minorHAnsi"/>
          <w:szCs w:val="20"/>
        </w:rPr>
        <w:t xml:space="preserve"> </w:t>
      </w:r>
      <w:r w:rsidRPr="00FC2211">
        <w:rPr>
          <w:rFonts w:cstheme="minorHAnsi"/>
          <w:szCs w:val="20"/>
        </w:rPr>
        <w:t xml:space="preserve">ended </w:t>
      </w:r>
      <w:r w:rsidR="00D70332">
        <w:rPr>
          <w:rFonts w:cstheme="minorHAnsi"/>
          <w:szCs w:val="20"/>
        </w:rPr>
        <w:t>March 31, 2024</w:t>
      </w:r>
      <w:r w:rsidR="0096323B" w:rsidRPr="00FC2211">
        <w:rPr>
          <w:rFonts w:cstheme="minorHAnsi"/>
          <w:szCs w:val="20"/>
        </w:rPr>
        <w:t>,</w:t>
      </w:r>
      <w:r w:rsidR="00FB780D" w:rsidRPr="00FC2211">
        <w:rPr>
          <w:rFonts w:cstheme="minorHAnsi"/>
          <w:szCs w:val="20"/>
        </w:rPr>
        <w:t xml:space="preserve"> </w:t>
      </w:r>
      <w:r w:rsidRPr="00FC2211">
        <w:rPr>
          <w:rFonts w:cstheme="minorHAnsi"/>
          <w:szCs w:val="20"/>
        </w:rPr>
        <w:t>and</w:t>
      </w:r>
      <w:r w:rsidR="00D95B93" w:rsidRPr="00FC2211">
        <w:rPr>
          <w:rFonts w:cstheme="minorHAnsi"/>
          <w:szCs w:val="20"/>
        </w:rPr>
        <w:t xml:space="preserve"> </w:t>
      </w:r>
      <w:r w:rsidR="00EE7FC9" w:rsidRPr="00FC2211">
        <w:rPr>
          <w:rFonts w:cstheme="minorHAnsi"/>
          <w:szCs w:val="20"/>
        </w:rPr>
        <w:t xml:space="preserve">the year ended June 30, </w:t>
      </w:r>
      <w:r w:rsidR="0096323B" w:rsidRPr="00FC2211">
        <w:rPr>
          <w:rFonts w:cstheme="minorHAnsi"/>
          <w:szCs w:val="20"/>
        </w:rPr>
        <w:t>202</w:t>
      </w:r>
      <w:r w:rsidR="003A773A" w:rsidRPr="00FC2211">
        <w:rPr>
          <w:rFonts w:cstheme="minorHAnsi"/>
          <w:szCs w:val="20"/>
        </w:rPr>
        <w:t>3</w:t>
      </w:r>
      <w:r w:rsidR="008D7AD8" w:rsidRPr="00FC2211">
        <w:rPr>
          <w:rFonts w:cstheme="minorHAnsi"/>
          <w:szCs w:val="20"/>
        </w:rPr>
        <w:t>,</w:t>
      </w:r>
      <w:r w:rsidRPr="00FC2211">
        <w:rPr>
          <w:rFonts w:cstheme="minorHAnsi"/>
          <w:szCs w:val="20"/>
        </w:rPr>
        <w:t xml:space="preserve"> are as follows:</w:t>
      </w:r>
    </w:p>
    <w:p w14:paraId="5AFF29AA" w14:textId="77777777" w:rsidR="00B92AB3" w:rsidRPr="00FC2211" w:rsidRDefault="00B92AB3" w:rsidP="0096323B">
      <w:pPr>
        <w:widowControl w:val="0"/>
        <w:autoSpaceDE w:val="0"/>
        <w:autoSpaceDN w:val="0"/>
        <w:ind w:left="360" w:firstLine="14"/>
        <w:outlineLvl w:val="1"/>
        <w:rPr>
          <w:rFonts w:eastAsia="Calibri" w:cstheme="minorHAnsi"/>
          <w:b/>
          <w:bCs/>
          <w:szCs w:val="20"/>
        </w:rPr>
      </w:pPr>
    </w:p>
    <w:tbl>
      <w:tblPr>
        <w:tblW w:w="8669" w:type="dxa"/>
        <w:jc w:val="center"/>
        <w:tblLook w:val="04A0" w:firstRow="1" w:lastRow="0" w:firstColumn="1" w:lastColumn="0" w:noHBand="0" w:noVBand="1"/>
      </w:tblPr>
      <w:tblGrid>
        <w:gridCol w:w="2977"/>
        <w:gridCol w:w="1481"/>
        <w:gridCol w:w="1395"/>
        <w:gridCol w:w="1419"/>
        <w:gridCol w:w="1397"/>
      </w:tblGrid>
      <w:tr w:rsidR="00843186" w:rsidRPr="00843186" w14:paraId="49552AE9" w14:textId="77777777" w:rsidTr="006564CA">
        <w:trPr>
          <w:trHeight w:val="288"/>
          <w:jc w:val="center"/>
        </w:trPr>
        <w:tc>
          <w:tcPr>
            <w:tcW w:w="2977" w:type="dxa"/>
            <w:tcBorders>
              <w:top w:val="nil"/>
              <w:left w:val="nil"/>
              <w:bottom w:val="single" w:sz="12" w:space="0" w:color="auto"/>
              <w:right w:val="nil"/>
            </w:tcBorders>
            <w:shd w:val="clear" w:color="000000" w:fill="FFFFFF"/>
            <w:noWrap/>
            <w:vAlign w:val="center"/>
            <w:hideMark/>
          </w:tcPr>
          <w:p w14:paraId="3BDF2687" w14:textId="77777777" w:rsidR="00843186" w:rsidRPr="00843186" w:rsidRDefault="00843186" w:rsidP="00843186">
            <w:pPr>
              <w:rPr>
                <w:rFonts w:ascii="Calibri" w:hAnsi="Calibri" w:cs="Calibri"/>
                <w:color w:val="000000"/>
                <w:szCs w:val="20"/>
                <w:lang w:val="en-CA" w:eastAsia="en-CA"/>
              </w:rPr>
            </w:pPr>
            <w:r w:rsidRPr="00843186">
              <w:rPr>
                <w:rFonts w:ascii="Calibri" w:hAnsi="Calibri" w:cs="Calibri"/>
                <w:color w:val="000000"/>
                <w:szCs w:val="20"/>
                <w:lang w:val="en-CA" w:eastAsia="en-CA"/>
              </w:rPr>
              <w:t> </w:t>
            </w:r>
          </w:p>
        </w:tc>
        <w:tc>
          <w:tcPr>
            <w:tcW w:w="2876" w:type="dxa"/>
            <w:gridSpan w:val="2"/>
            <w:tcBorders>
              <w:top w:val="nil"/>
              <w:left w:val="nil"/>
              <w:bottom w:val="single" w:sz="12" w:space="0" w:color="auto"/>
              <w:right w:val="nil"/>
            </w:tcBorders>
            <w:shd w:val="clear" w:color="000000" w:fill="FFFFFF"/>
            <w:noWrap/>
            <w:vAlign w:val="center"/>
            <w:hideMark/>
          </w:tcPr>
          <w:p w14:paraId="7AD5DFBB" w14:textId="77777777" w:rsidR="00843186" w:rsidRPr="00843186" w:rsidRDefault="00843186" w:rsidP="00843186">
            <w:pPr>
              <w:jc w:val="center"/>
              <w:rPr>
                <w:rFonts w:ascii="Calibri" w:hAnsi="Calibri" w:cs="Calibri"/>
                <w:b/>
                <w:bCs/>
                <w:color w:val="000000"/>
                <w:szCs w:val="20"/>
                <w:lang w:val="en-CA" w:eastAsia="en-CA"/>
              </w:rPr>
            </w:pPr>
            <w:r w:rsidRPr="00843186">
              <w:rPr>
                <w:rFonts w:ascii="Calibri" w:hAnsi="Calibri" w:cs="Calibri"/>
                <w:b/>
                <w:bCs/>
                <w:color w:val="000000"/>
                <w:szCs w:val="20"/>
                <w:lang w:val="en-CA" w:eastAsia="en-CA"/>
              </w:rPr>
              <w:t>March 31, 2024</w:t>
            </w:r>
          </w:p>
        </w:tc>
        <w:tc>
          <w:tcPr>
            <w:tcW w:w="2816" w:type="dxa"/>
            <w:gridSpan w:val="2"/>
            <w:tcBorders>
              <w:top w:val="nil"/>
              <w:left w:val="nil"/>
              <w:bottom w:val="single" w:sz="12" w:space="0" w:color="auto"/>
              <w:right w:val="nil"/>
            </w:tcBorders>
            <w:shd w:val="clear" w:color="000000" w:fill="FFFFFF"/>
            <w:noWrap/>
            <w:vAlign w:val="center"/>
            <w:hideMark/>
          </w:tcPr>
          <w:p w14:paraId="79F50F34" w14:textId="77777777" w:rsidR="00843186" w:rsidRPr="00843186" w:rsidRDefault="00843186" w:rsidP="00843186">
            <w:pPr>
              <w:jc w:val="center"/>
              <w:rPr>
                <w:rFonts w:ascii="Calibri" w:hAnsi="Calibri" w:cs="Calibri"/>
                <w:color w:val="000000"/>
                <w:szCs w:val="20"/>
                <w:lang w:val="en-CA" w:eastAsia="en-CA"/>
              </w:rPr>
            </w:pPr>
            <w:r w:rsidRPr="00843186">
              <w:rPr>
                <w:rFonts w:ascii="Calibri" w:hAnsi="Calibri" w:cs="Calibri"/>
                <w:color w:val="000000"/>
                <w:szCs w:val="20"/>
                <w:lang w:val="en-CA" w:eastAsia="en-CA"/>
              </w:rPr>
              <w:t>June 30, 2023</w:t>
            </w:r>
          </w:p>
        </w:tc>
      </w:tr>
      <w:tr w:rsidR="00843186" w:rsidRPr="00843186" w14:paraId="2DB7B3F5" w14:textId="77777777" w:rsidTr="006564CA">
        <w:trPr>
          <w:trHeight w:val="840"/>
          <w:jc w:val="center"/>
        </w:trPr>
        <w:tc>
          <w:tcPr>
            <w:tcW w:w="2977" w:type="dxa"/>
            <w:tcBorders>
              <w:top w:val="single" w:sz="12" w:space="0" w:color="auto"/>
              <w:left w:val="nil"/>
              <w:bottom w:val="single" w:sz="8" w:space="0" w:color="auto"/>
              <w:right w:val="nil"/>
            </w:tcBorders>
            <w:shd w:val="clear" w:color="000000" w:fill="FFFFFF"/>
            <w:vAlign w:val="center"/>
            <w:hideMark/>
          </w:tcPr>
          <w:p w14:paraId="635C1192" w14:textId="0EA5A827" w:rsidR="00843186" w:rsidRPr="00843186" w:rsidRDefault="00843186" w:rsidP="00843186">
            <w:pPr>
              <w:jc w:val="center"/>
              <w:rPr>
                <w:rFonts w:ascii="Calibri" w:hAnsi="Calibri" w:cs="Calibri"/>
                <w:b/>
                <w:bCs/>
                <w:color w:val="000000"/>
                <w:szCs w:val="20"/>
                <w:lang w:val="en-CA" w:eastAsia="en-CA"/>
              </w:rPr>
            </w:pPr>
          </w:p>
        </w:tc>
        <w:tc>
          <w:tcPr>
            <w:tcW w:w="1481" w:type="dxa"/>
            <w:tcBorders>
              <w:top w:val="single" w:sz="12" w:space="0" w:color="auto"/>
              <w:left w:val="nil"/>
              <w:bottom w:val="single" w:sz="8" w:space="0" w:color="auto"/>
              <w:right w:val="nil"/>
            </w:tcBorders>
            <w:shd w:val="clear" w:color="000000" w:fill="FFFFFF"/>
            <w:vAlign w:val="center"/>
            <w:hideMark/>
          </w:tcPr>
          <w:p w14:paraId="5E1B0194" w14:textId="77777777" w:rsidR="00843186" w:rsidRPr="00843186" w:rsidRDefault="00843186" w:rsidP="00843186">
            <w:pPr>
              <w:jc w:val="center"/>
              <w:rPr>
                <w:rFonts w:ascii="Calibri" w:hAnsi="Calibri" w:cs="Calibri"/>
                <w:b/>
                <w:bCs/>
                <w:color w:val="000000"/>
                <w:szCs w:val="20"/>
                <w:lang w:val="en-CA" w:eastAsia="en-CA"/>
              </w:rPr>
            </w:pPr>
            <w:r w:rsidRPr="00843186">
              <w:rPr>
                <w:rFonts w:ascii="Calibri" w:hAnsi="Calibri" w:cs="Calibri"/>
                <w:b/>
                <w:bCs/>
                <w:color w:val="000000"/>
                <w:szCs w:val="20"/>
                <w:lang w:val="en-CA" w:eastAsia="en-CA"/>
              </w:rPr>
              <w:t>Number of options</w:t>
            </w:r>
          </w:p>
        </w:tc>
        <w:tc>
          <w:tcPr>
            <w:tcW w:w="1395" w:type="dxa"/>
            <w:tcBorders>
              <w:top w:val="single" w:sz="12" w:space="0" w:color="auto"/>
              <w:left w:val="nil"/>
              <w:bottom w:val="single" w:sz="8" w:space="0" w:color="auto"/>
              <w:right w:val="nil"/>
            </w:tcBorders>
            <w:shd w:val="clear" w:color="000000" w:fill="FFFFFF"/>
            <w:vAlign w:val="center"/>
            <w:hideMark/>
          </w:tcPr>
          <w:p w14:paraId="4D18680D" w14:textId="77777777" w:rsidR="00843186" w:rsidRPr="00843186" w:rsidRDefault="00843186" w:rsidP="00843186">
            <w:pPr>
              <w:jc w:val="center"/>
              <w:rPr>
                <w:rFonts w:ascii="Calibri" w:hAnsi="Calibri" w:cs="Calibri"/>
                <w:b/>
                <w:bCs/>
                <w:color w:val="000000"/>
                <w:szCs w:val="20"/>
                <w:lang w:val="en-CA" w:eastAsia="en-CA"/>
              </w:rPr>
            </w:pPr>
            <w:r w:rsidRPr="00843186">
              <w:rPr>
                <w:rFonts w:ascii="Calibri" w:hAnsi="Calibri" w:cs="Calibri"/>
                <w:b/>
                <w:bCs/>
                <w:color w:val="000000"/>
                <w:szCs w:val="20"/>
                <w:lang w:val="en-CA" w:eastAsia="en-CA"/>
              </w:rPr>
              <w:t>Weighted average exercise price</w:t>
            </w:r>
          </w:p>
        </w:tc>
        <w:tc>
          <w:tcPr>
            <w:tcW w:w="1419" w:type="dxa"/>
            <w:tcBorders>
              <w:top w:val="single" w:sz="12" w:space="0" w:color="auto"/>
              <w:left w:val="nil"/>
              <w:bottom w:val="single" w:sz="8" w:space="0" w:color="auto"/>
              <w:right w:val="nil"/>
            </w:tcBorders>
            <w:shd w:val="clear" w:color="000000" w:fill="FFFFFF"/>
            <w:vAlign w:val="center"/>
            <w:hideMark/>
          </w:tcPr>
          <w:p w14:paraId="3C5C9A08" w14:textId="77777777" w:rsidR="00843186" w:rsidRPr="00843186" w:rsidRDefault="00843186" w:rsidP="00843186">
            <w:pPr>
              <w:jc w:val="center"/>
              <w:rPr>
                <w:rFonts w:ascii="Calibri" w:hAnsi="Calibri" w:cs="Calibri"/>
                <w:color w:val="000000"/>
                <w:szCs w:val="20"/>
                <w:lang w:val="en-CA" w:eastAsia="en-CA"/>
              </w:rPr>
            </w:pPr>
            <w:r w:rsidRPr="00843186">
              <w:rPr>
                <w:rFonts w:ascii="Calibri" w:hAnsi="Calibri" w:cs="Calibri"/>
                <w:color w:val="000000"/>
                <w:szCs w:val="20"/>
                <w:lang w:val="en-CA" w:eastAsia="en-CA"/>
              </w:rPr>
              <w:t>Number of options</w:t>
            </w:r>
          </w:p>
        </w:tc>
        <w:tc>
          <w:tcPr>
            <w:tcW w:w="1397" w:type="dxa"/>
            <w:tcBorders>
              <w:top w:val="single" w:sz="12" w:space="0" w:color="auto"/>
              <w:left w:val="nil"/>
              <w:bottom w:val="single" w:sz="8" w:space="0" w:color="auto"/>
              <w:right w:val="nil"/>
            </w:tcBorders>
            <w:shd w:val="clear" w:color="000000" w:fill="FFFFFF"/>
            <w:vAlign w:val="center"/>
            <w:hideMark/>
          </w:tcPr>
          <w:p w14:paraId="478E008B" w14:textId="77777777" w:rsidR="00843186" w:rsidRPr="00843186" w:rsidRDefault="00843186" w:rsidP="00843186">
            <w:pPr>
              <w:jc w:val="center"/>
              <w:rPr>
                <w:rFonts w:ascii="Calibri" w:hAnsi="Calibri" w:cs="Calibri"/>
                <w:color w:val="000000"/>
                <w:szCs w:val="20"/>
                <w:lang w:val="en-CA" w:eastAsia="en-CA"/>
              </w:rPr>
            </w:pPr>
            <w:r w:rsidRPr="00843186">
              <w:rPr>
                <w:rFonts w:ascii="Calibri" w:hAnsi="Calibri" w:cs="Calibri"/>
                <w:color w:val="000000"/>
                <w:szCs w:val="20"/>
                <w:lang w:val="en-CA" w:eastAsia="en-CA"/>
              </w:rPr>
              <w:t>Weighted average exercise price</w:t>
            </w:r>
          </w:p>
        </w:tc>
      </w:tr>
      <w:tr w:rsidR="00843186" w:rsidRPr="00843186" w14:paraId="0A30F9F9" w14:textId="77777777" w:rsidTr="006564CA">
        <w:trPr>
          <w:trHeight w:val="276"/>
          <w:jc w:val="center"/>
        </w:trPr>
        <w:tc>
          <w:tcPr>
            <w:tcW w:w="2977" w:type="dxa"/>
            <w:tcBorders>
              <w:top w:val="nil"/>
              <w:left w:val="nil"/>
              <w:bottom w:val="nil"/>
              <w:right w:val="nil"/>
            </w:tcBorders>
            <w:shd w:val="clear" w:color="000000" w:fill="FFFFFF"/>
            <w:noWrap/>
            <w:vAlign w:val="center"/>
            <w:hideMark/>
          </w:tcPr>
          <w:p w14:paraId="7B7F8136" w14:textId="77777777" w:rsidR="00843186" w:rsidRPr="00843186" w:rsidRDefault="00843186" w:rsidP="00843186">
            <w:pPr>
              <w:rPr>
                <w:rFonts w:ascii="Calibri" w:hAnsi="Calibri" w:cs="Calibri"/>
                <w:color w:val="000000"/>
                <w:szCs w:val="20"/>
                <w:lang w:val="en-CA" w:eastAsia="en-CA"/>
              </w:rPr>
            </w:pPr>
            <w:r w:rsidRPr="00843186">
              <w:rPr>
                <w:rFonts w:ascii="Calibri" w:hAnsi="Calibri" w:cs="Calibri"/>
                <w:color w:val="000000"/>
                <w:szCs w:val="20"/>
                <w:lang w:val="en-CA" w:eastAsia="en-CA"/>
              </w:rPr>
              <w:t>Options outstanding, beginning</w:t>
            </w:r>
          </w:p>
        </w:tc>
        <w:tc>
          <w:tcPr>
            <w:tcW w:w="1481" w:type="dxa"/>
            <w:tcBorders>
              <w:top w:val="nil"/>
              <w:left w:val="nil"/>
              <w:bottom w:val="nil"/>
              <w:right w:val="nil"/>
            </w:tcBorders>
            <w:shd w:val="clear" w:color="000000" w:fill="FFFFFF"/>
            <w:noWrap/>
            <w:vAlign w:val="center"/>
            <w:hideMark/>
          </w:tcPr>
          <w:p w14:paraId="658CF232" w14:textId="5947D69C" w:rsidR="00843186" w:rsidRPr="00843186" w:rsidRDefault="00843186" w:rsidP="00843186">
            <w:pPr>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  6,930,863 </w:t>
            </w:r>
          </w:p>
        </w:tc>
        <w:tc>
          <w:tcPr>
            <w:tcW w:w="1395" w:type="dxa"/>
            <w:tcBorders>
              <w:top w:val="nil"/>
              <w:left w:val="nil"/>
              <w:bottom w:val="nil"/>
              <w:right w:val="nil"/>
            </w:tcBorders>
            <w:shd w:val="clear" w:color="000000" w:fill="FFFFFF"/>
            <w:noWrap/>
            <w:vAlign w:val="center"/>
            <w:hideMark/>
          </w:tcPr>
          <w:p w14:paraId="6B34527C" w14:textId="784DA88A" w:rsidR="00843186" w:rsidRPr="00843186" w:rsidRDefault="00843186" w:rsidP="00843186">
            <w:pPr>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 $  0.204 </w:t>
            </w:r>
          </w:p>
        </w:tc>
        <w:tc>
          <w:tcPr>
            <w:tcW w:w="1419" w:type="dxa"/>
            <w:tcBorders>
              <w:top w:val="nil"/>
              <w:left w:val="nil"/>
              <w:bottom w:val="nil"/>
              <w:right w:val="nil"/>
            </w:tcBorders>
            <w:shd w:val="clear" w:color="000000" w:fill="FFFFFF"/>
            <w:noWrap/>
            <w:vAlign w:val="center"/>
            <w:hideMark/>
          </w:tcPr>
          <w:p w14:paraId="514D5595" w14:textId="431F0373" w:rsidR="00843186" w:rsidRPr="00843186" w:rsidRDefault="00843186" w:rsidP="00843186">
            <w:pPr>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4,350,863 </w:t>
            </w:r>
          </w:p>
        </w:tc>
        <w:tc>
          <w:tcPr>
            <w:tcW w:w="1397" w:type="dxa"/>
            <w:tcBorders>
              <w:top w:val="nil"/>
              <w:left w:val="nil"/>
              <w:bottom w:val="nil"/>
              <w:right w:val="nil"/>
            </w:tcBorders>
            <w:shd w:val="clear" w:color="000000" w:fill="FFFFFF"/>
            <w:noWrap/>
            <w:vAlign w:val="center"/>
            <w:hideMark/>
          </w:tcPr>
          <w:p w14:paraId="1ED91CC2" w14:textId="1996EFC1" w:rsidR="00843186" w:rsidRPr="00843186" w:rsidRDefault="00843186" w:rsidP="00843186">
            <w:pPr>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$ 0.262 </w:t>
            </w:r>
          </w:p>
        </w:tc>
      </w:tr>
      <w:tr w:rsidR="00843186" w:rsidRPr="00843186" w14:paraId="04A1509A" w14:textId="77777777" w:rsidTr="006564CA">
        <w:trPr>
          <w:trHeight w:val="276"/>
          <w:jc w:val="center"/>
        </w:trPr>
        <w:tc>
          <w:tcPr>
            <w:tcW w:w="2977" w:type="dxa"/>
            <w:tcBorders>
              <w:top w:val="nil"/>
              <w:left w:val="nil"/>
              <w:bottom w:val="nil"/>
              <w:right w:val="nil"/>
            </w:tcBorders>
            <w:shd w:val="clear" w:color="000000" w:fill="FFFFFF"/>
            <w:noWrap/>
            <w:vAlign w:val="center"/>
            <w:hideMark/>
          </w:tcPr>
          <w:p w14:paraId="13F2817A" w14:textId="77777777" w:rsidR="00843186" w:rsidRPr="00843186" w:rsidRDefault="00843186" w:rsidP="00843186">
            <w:pPr>
              <w:rPr>
                <w:rFonts w:ascii="Calibri" w:hAnsi="Calibri" w:cs="Calibri"/>
                <w:color w:val="000000"/>
                <w:szCs w:val="20"/>
                <w:lang w:val="en-CA" w:eastAsia="en-CA"/>
              </w:rPr>
            </w:pPr>
            <w:r w:rsidRPr="00843186">
              <w:rPr>
                <w:rFonts w:ascii="Calibri" w:hAnsi="Calibri" w:cs="Calibri"/>
                <w:color w:val="000000"/>
                <w:szCs w:val="20"/>
                <w:lang w:val="en-CA" w:eastAsia="en-CA"/>
              </w:rPr>
              <w:t>Options granted</w:t>
            </w:r>
          </w:p>
        </w:tc>
        <w:tc>
          <w:tcPr>
            <w:tcW w:w="1481" w:type="dxa"/>
            <w:tcBorders>
              <w:top w:val="nil"/>
              <w:left w:val="nil"/>
              <w:bottom w:val="nil"/>
              <w:right w:val="nil"/>
            </w:tcBorders>
            <w:shd w:val="clear" w:color="000000" w:fill="FFFFFF"/>
            <w:noWrap/>
            <w:vAlign w:val="center"/>
            <w:hideMark/>
          </w:tcPr>
          <w:p w14:paraId="595DEBC0" w14:textId="749D8017" w:rsidR="00843186" w:rsidRPr="00843186" w:rsidRDefault="00843186" w:rsidP="00843186">
            <w:pPr>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  815,000 </w:t>
            </w:r>
          </w:p>
        </w:tc>
        <w:tc>
          <w:tcPr>
            <w:tcW w:w="1395" w:type="dxa"/>
            <w:tcBorders>
              <w:top w:val="nil"/>
              <w:left w:val="nil"/>
              <w:bottom w:val="nil"/>
              <w:right w:val="nil"/>
            </w:tcBorders>
            <w:shd w:val="clear" w:color="000000" w:fill="FFFFFF"/>
            <w:noWrap/>
            <w:vAlign w:val="center"/>
            <w:hideMark/>
          </w:tcPr>
          <w:p w14:paraId="032A1B11" w14:textId="05D5C2C4" w:rsidR="00843186" w:rsidRPr="00843186" w:rsidRDefault="00843186" w:rsidP="00843186">
            <w:pPr>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0.050 </w:t>
            </w:r>
          </w:p>
        </w:tc>
        <w:tc>
          <w:tcPr>
            <w:tcW w:w="1419" w:type="dxa"/>
            <w:tcBorders>
              <w:top w:val="nil"/>
              <w:left w:val="nil"/>
              <w:bottom w:val="nil"/>
              <w:right w:val="nil"/>
            </w:tcBorders>
            <w:shd w:val="clear" w:color="000000" w:fill="FFFFFF"/>
            <w:noWrap/>
            <w:vAlign w:val="center"/>
            <w:hideMark/>
          </w:tcPr>
          <w:p w14:paraId="015D0763" w14:textId="7DC83CE9" w:rsidR="00843186" w:rsidRPr="00843186" w:rsidRDefault="00843186" w:rsidP="00843186">
            <w:pPr>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2,855,000 </w:t>
            </w:r>
          </w:p>
        </w:tc>
        <w:tc>
          <w:tcPr>
            <w:tcW w:w="1397" w:type="dxa"/>
            <w:tcBorders>
              <w:top w:val="nil"/>
              <w:left w:val="nil"/>
              <w:bottom w:val="nil"/>
              <w:right w:val="nil"/>
            </w:tcBorders>
            <w:shd w:val="clear" w:color="000000" w:fill="FFFFFF"/>
            <w:noWrap/>
            <w:vAlign w:val="center"/>
            <w:hideMark/>
          </w:tcPr>
          <w:p w14:paraId="68F11AE2" w14:textId="4E78725D" w:rsidR="00843186" w:rsidRPr="00843186" w:rsidRDefault="00843186" w:rsidP="00843186">
            <w:pPr>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0.120 </w:t>
            </w:r>
          </w:p>
        </w:tc>
      </w:tr>
      <w:tr w:rsidR="00843186" w:rsidRPr="00843186" w14:paraId="1349CB3E" w14:textId="77777777" w:rsidTr="006564CA">
        <w:trPr>
          <w:trHeight w:val="276"/>
          <w:jc w:val="center"/>
        </w:trPr>
        <w:tc>
          <w:tcPr>
            <w:tcW w:w="2977" w:type="dxa"/>
            <w:tcBorders>
              <w:top w:val="nil"/>
              <w:left w:val="nil"/>
              <w:bottom w:val="nil"/>
              <w:right w:val="nil"/>
            </w:tcBorders>
            <w:shd w:val="clear" w:color="000000" w:fill="FFFFFF"/>
            <w:noWrap/>
            <w:vAlign w:val="center"/>
            <w:hideMark/>
          </w:tcPr>
          <w:p w14:paraId="3B9DD805" w14:textId="77777777" w:rsidR="00843186" w:rsidRPr="00843186" w:rsidRDefault="00843186" w:rsidP="00843186">
            <w:pPr>
              <w:rPr>
                <w:rFonts w:ascii="Calibri" w:hAnsi="Calibri" w:cs="Calibri"/>
                <w:color w:val="000000"/>
                <w:szCs w:val="20"/>
                <w:lang w:val="en-CA" w:eastAsia="en-CA"/>
              </w:rPr>
            </w:pPr>
            <w:r w:rsidRPr="00843186">
              <w:rPr>
                <w:rFonts w:ascii="Calibri" w:hAnsi="Calibri" w:cs="Calibri"/>
                <w:color w:val="000000"/>
                <w:szCs w:val="20"/>
                <w:lang w:val="en-CA" w:eastAsia="en-CA"/>
              </w:rPr>
              <w:t>Options forfeited</w:t>
            </w:r>
          </w:p>
        </w:tc>
        <w:tc>
          <w:tcPr>
            <w:tcW w:w="1481" w:type="dxa"/>
            <w:tcBorders>
              <w:top w:val="nil"/>
              <w:left w:val="nil"/>
              <w:bottom w:val="nil"/>
              <w:right w:val="nil"/>
            </w:tcBorders>
            <w:shd w:val="clear" w:color="000000" w:fill="FFFFFF"/>
            <w:noWrap/>
            <w:vAlign w:val="center"/>
            <w:hideMark/>
          </w:tcPr>
          <w:p w14:paraId="31751ADF" w14:textId="5647B237" w:rsidR="00843186" w:rsidRPr="00843186" w:rsidRDefault="00843186" w:rsidP="00F23C8B">
            <w:pPr>
              <w:ind w:right="-62"/>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 (270,000)</w:t>
            </w:r>
          </w:p>
        </w:tc>
        <w:tc>
          <w:tcPr>
            <w:tcW w:w="1395" w:type="dxa"/>
            <w:tcBorders>
              <w:top w:val="nil"/>
              <w:left w:val="nil"/>
              <w:bottom w:val="nil"/>
              <w:right w:val="nil"/>
            </w:tcBorders>
            <w:shd w:val="clear" w:color="000000" w:fill="FFFFFF"/>
            <w:noWrap/>
            <w:vAlign w:val="center"/>
            <w:hideMark/>
          </w:tcPr>
          <w:p w14:paraId="7494BBCB" w14:textId="178CBA08" w:rsidR="00843186" w:rsidRPr="00843186" w:rsidRDefault="00843186" w:rsidP="00843186">
            <w:pPr>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0.233 </w:t>
            </w:r>
          </w:p>
        </w:tc>
        <w:tc>
          <w:tcPr>
            <w:tcW w:w="1419" w:type="dxa"/>
            <w:tcBorders>
              <w:top w:val="nil"/>
              <w:left w:val="nil"/>
              <w:bottom w:val="nil"/>
              <w:right w:val="nil"/>
            </w:tcBorders>
            <w:shd w:val="clear" w:color="000000" w:fill="FFFFFF"/>
            <w:noWrap/>
            <w:vAlign w:val="center"/>
            <w:hideMark/>
          </w:tcPr>
          <w:p w14:paraId="08F55256" w14:textId="0CC9746A" w:rsidR="00843186" w:rsidRPr="00843186" w:rsidRDefault="00843186" w:rsidP="00F23C8B">
            <w:pPr>
              <w:ind w:right="-62"/>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(275,000)</w:t>
            </w:r>
          </w:p>
        </w:tc>
        <w:tc>
          <w:tcPr>
            <w:tcW w:w="1397" w:type="dxa"/>
            <w:tcBorders>
              <w:top w:val="nil"/>
              <w:left w:val="nil"/>
              <w:bottom w:val="nil"/>
              <w:right w:val="nil"/>
            </w:tcBorders>
            <w:shd w:val="clear" w:color="000000" w:fill="FFFFFF"/>
            <w:noWrap/>
            <w:vAlign w:val="center"/>
            <w:hideMark/>
          </w:tcPr>
          <w:p w14:paraId="46645CD2" w14:textId="672CF77A" w:rsidR="00843186" w:rsidRPr="00843186" w:rsidRDefault="00843186" w:rsidP="00843186">
            <w:pPr>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0.260 </w:t>
            </w:r>
          </w:p>
        </w:tc>
      </w:tr>
      <w:tr w:rsidR="00843186" w:rsidRPr="00843186" w14:paraId="2ED5C493" w14:textId="77777777" w:rsidTr="006564CA">
        <w:trPr>
          <w:trHeight w:val="276"/>
          <w:jc w:val="center"/>
        </w:trPr>
        <w:tc>
          <w:tcPr>
            <w:tcW w:w="2977" w:type="dxa"/>
            <w:tcBorders>
              <w:top w:val="single" w:sz="4" w:space="0" w:color="auto"/>
              <w:left w:val="nil"/>
              <w:bottom w:val="single" w:sz="4" w:space="0" w:color="auto"/>
              <w:right w:val="nil"/>
            </w:tcBorders>
            <w:shd w:val="clear" w:color="000000" w:fill="FFFFFF"/>
            <w:noWrap/>
            <w:vAlign w:val="center"/>
            <w:hideMark/>
          </w:tcPr>
          <w:p w14:paraId="1106D308" w14:textId="77777777" w:rsidR="00843186" w:rsidRPr="00843186" w:rsidRDefault="00843186" w:rsidP="00843186">
            <w:pPr>
              <w:rPr>
                <w:rFonts w:ascii="Calibri" w:hAnsi="Calibri" w:cs="Calibri"/>
                <w:color w:val="000000"/>
                <w:szCs w:val="20"/>
                <w:lang w:val="en-CA" w:eastAsia="en-CA"/>
              </w:rPr>
            </w:pPr>
            <w:r w:rsidRPr="00843186">
              <w:rPr>
                <w:rFonts w:ascii="Calibri" w:hAnsi="Calibri" w:cs="Calibri"/>
                <w:color w:val="000000"/>
                <w:szCs w:val="20"/>
                <w:lang w:val="en-CA" w:eastAsia="en-CA"/>
              </w:rPr>
              <w:t>Options outstanding, ending</w:t>
            </w:r>
          </w:p>
        </w:tc>
        <w:tc>
          <w:tcPr>
            <w:tcW w:w="1481" w:type="dxa"/>
            <w:tcBorders>
              <w:top w:val="single" w:sz="4" w:space="0" w:color="auto"/>
              <w:left w:val="nil"/>
              <w:bottom w:val="single" w:sz="4" w:space="0" w:color="auto"/>
              <w:right w:val="nil"/>
            </w:tcBorders>
            <w:shd w:val="clear" w:color="000000" w:fill="FFFFFF"/>
            <w:noWrap/>
            <w:vAlign w:val="center"/>
            <w:hideMark/>
          </w:tcPr>
          <w:p w14:paraId="4DDA94A6" w14:textId="232896C6" w:rsidR="00843186" w:rsidRPr="00843186" w:rsidRDefault="00843186" w:rsidP="00843186">
            <w:pPr>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  7,475,863 </w:t>
            </w:r>
          </w:p>
        </w:tc>
        <w:tc>
          <w:tcPr>
            <w:tcW w:w="1395" w:type="dxa"/>
            <w:tcBorders>
              <w:top w:val="single" w:sz="4" w:space="0" w:color="auto"/>
              <w:left w:val="nil"/>
              <w:bottom w:val="single" w:sz="4" w:space="0" w:color="auto"/>
              <w:right w:val="nil"/>
            </w:tcBorders>
            <w:shd w:val="clear" w:color="000000" w:fill="FFFFFF"/>
            <w:noWrap/>
            <w:vAlign w:val="center"/>
            <w:hideMark/>
          </w:tcPr>
          <w:p w14:paraId="55858DBA" w14:textId="5FB885B0" w:rsidR="00843186" w:rsidRPr="00843186" w:rsidRDefault="00843186" w:rsidP="00843186">
            <w:pPr>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 $  0.187 </w:t>
            </w:r>
          </w:p>
        </w:tc>
        <w:tc>
          <w:tcPr>
            <w:tcW w:w="1419" w:type="dxa"/>
            <w:tcBorders>
              <w:top w:val="single" w:sz="4" w:space="0" w:color="auto"/>
              <w:left w:val="nil"/>
              <w:bottom w:val="single" w:sz="4" w:space="0" w:color="auto"/>
              <w:right w:val="nil"/>
            </w:tcBorders>
            <w:shd w:val="clear" w:color="000000" w:fill="FFFFFF"/>
            <w:noWrap/>
            <w:vAlign w:val="center"/>
            <w:hideMark/>
          </w:tcPr>
          <w:p w14:paraId="7F9B0836" w14:textId="2E326E26" w:rsidR="00843186" w:rsidRPr="00843186" w:rsidRDefault="00843186" w:rsidP="00843186">
            <w:pPr>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6,930,863 </w:t>
            </w:r>
          </w:p>
        </w:tc>
        <w:tc>
          <w:tcPr>
            <w:tcW w:w="1397" w:type="dxa"/>
            <w:tcBorders>
              <w:top w:val="single" w:sz="4" w:space="0" w:color="auto"/>
              <w:left w:val="nil"/>
              <w:bottom w:val="single" w:sz="4" w:space="0" w:color="auto"/>
              <w:right w:val="nil"/>
            </w:tcBorders>
            <w:shd w:val="clear" w:color="000000" w:fill="FFFFFF"/>
            <w:noWrap/>
            <w:vAlign w:val="center"/>
            <w:hideMark/>
          </w:tcPr>
          <w:p w14:paraId="7996F22E" w14:textId="2783C021" w:rsidR="00843186" w:rsidRPr="00843186" w:rsidRDefault="00843186" w:rsidP="00843186">
            <w:pPr>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$ 0.204 </w:t>
            </w:r>
          </w:p>
        </w:tc>
      </w:tr>
      <w:tr w:rsidR="00843186" w:rsidRPr="00843186" w14:paraId="4BE45473" w14:textId="77777777" w:rsidTr="006564CA">
        <w:trPr>
          <w:trHeight w:val="288"/>
          <w:jc w:val="center"/>
        </w:trPr>
        <w:tc>
          <w:tcPr>
            <w:tcW w:w="2977" w:type="dxa"/>
            <w:tcBorders>
              <w:top w:val="single" w:sz="4" w:space="0" w:color="auto"/>
              <w:left w:val="nil"/>
              <w:bottom w:val="single" w:sz="12" w:space="0" w:color="auto"/>
              <w:right w:val="nil"/>
            </w:tcBorders>
            <w:shd w:val="clear" w:color="000000" w:fill="FFFFFF"/>
            <w:noWrap/>
            <w:vAlign w:val="center"/>
            <w:hideMark/>
          </w:tcPr>
          <w:p w14:paraId="59E30A9A" w14:textId="77777777" w:rsidR="00843186" w:rsidRPr="00843186" w:rsidRDefault="00843186" w:rsidP="00843186">
            <w:pPr>
              <w:rPr>
                <w:rFonts w:ascii="Calibri" w:hAnsi="Calibri" w:cs="Calibri"/>
                <w:color w:val="000000"/>
                <w:szCs w:val="20"/>
                <w:lang w:val="en-CA" w:eastAsia="en-CA"/>
              </w:rPr>
            </w:pPr>
            <w:r w:rsidRPr="00843186">
              <w:rPr>
                <w:rFonts w:ascii="Calibri" w:hAnsi="Calibri" w:cs="Calibri"/>
                <w:color w:val="000000"/>
                <w:szCs w:val="20"/>
                <w:lang w:val="en-CA" w:eastAsia="en-CA"/>
              </w:rPr>
              <w:t>Options exercisable, ending</w:t>
            </w:r>
          </w:p>
        </w:tc>
        <w:tc>
          <w:tcPr>
            <w:tcW w:w="1481" w:type="dxa"/>
            <w:tcBorders>
              <w:top w:val="single" w:sz="4" w:space="0" w:color="auto"/>
              <w:left w:val="nil"/>
              <w:bottom w:val="single" w:sz="12" w:space="0" w:color="auto"/>
              <w:right w:val="nil"/>
            </w:tcBorders>
            <w:shd w:val="clear" w:color="000000" w:fill="FFFFFF"/>
            <w:noWrap/>
            <w:vAlign w:val="center"/>
            <w:hideMark/>
          </w:tcPr>
          <w:p w14:paraId="761A8F8E" w14:textId="6B5E7E85" w:rsidR="00843186" w:rsidRPr="00843186" w:rsidRDefault="00843186" w:rsidP="00843186">
            <w:pPr>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  3,432,113 </w:t>
            </w:r>
          </w:p>
        </w:tc>
        <w:tc>
          <w:tcPr>
            <w:tcW w:w="1395" w:type="dxa"/>
            <w:tcBorders>
              <w:top w:val="single" w:sz="4" w:space="0" w:color="auto"/>
              <w:left w:val="nil"/>
              <w:bottom w:val="single" w:sz="12" w:space="0" w:color="auto"/>
              <w:right w:val="nil"/>
            </w:tcBorders>
            <w:shd w:val="clear" w:color="000000" w:fill="FFFFFF"/>
            <w:noWrap/>
            <w:vAlign w:val="center"/>
            <w:hideMark/>
          </w:tcPr>
          <w:p w14:paraId="74024414" w14:textId="17D41D7C" w:rsidR="00843186" w:rsidRPr="00843186" w:rsidRDefault="00843186" w:rsidP="00843186">
            <w:pPr>
              <w:jc w:val="right"/>
              <w:rPr>
                <w:rFonts w:ascii="Calibri" w:hAnsi="Calibri" w:cs="Calibri"/>
                <w:b/>
                <w:bCs/>
                <w:color w:val="000000"/>
                <w:szCs w:val="20"/>
                <w:lang w:val="en-CA" w:eastAsia="en-CA"/>
              </w:rPr>
            </w:pPr>
            <w:r w:rsidRPr="00843186">
              <w:rPr>
                <w:rFonts w:ascii="Calibri" w:hAnsi="Calibri" w:cs="Calibri"/>
                <w:b/>
                <w:bCs/>
                <w:color w:val="000000"/>
                <w:szCs w:val="20"/>
                <w:lang w:val="en-CA" w:eastAsia="en-CA"/>
              </w:rPr>
              <w:t xml:space="preserve"> $  0.208 </w:t>
            </w:r>
          </w:p>
        </w:tc>
        <w:tc>
          <w:tcPr>
            <w:tcW w:w="1419" w:type="dxa"/>
            <w:tcBorders>
              <w:top w:val="single" w:sz="4" w:space="0" w:color="auto"/>
              <w:left w:val="nil"/>
              <w:bottom w:val="single" w:sz="12" w:space="0" w:color="auto"/>
              <w:right w:val="nil"/>
            </w:tcBorders>
            <w:shd w:val="clear" w:color="000000" w:fill="FFFFFF"/>
            <w:noWrap/>
            <w:vAlign w:val="center"/>
            <w:hideMark/>
          </w:tcPr>
          <w:p w14:paraId="15FA9919" w14:textId="1E228AC5" w:rsidR="00843186" w:rsidRPr="00843186" w:rsidRDefault="00843186" w:rsidP="00843186">
            <w:pPr>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2,732,113 </w:t>
            </w:r>
          </w:p>
        </w:tc>
        <w:tc>
          <w:tcPr>
            <w:tcW w:w="1397" w:type="dxa"/>
            <w:tcBorders>
              <w:top w:val="single" w:sz="4" w:space="0" w:color="auto"/>
              <w:left w:val="nil"/>
              <w:bottom w:val="single" w:sz="12" w:space="0" w:color="auto"/>
              <w:right w:val="nil"/>
            </w:tcBorders>
            <w:shd w:val="clear" w:color="000000" w:fill="FFFFFF"/>
            <w:noWrap/>
            <w:vAlign w:val="center"/>
            <w:hideMark/>
          </w:tcPr>
          <w:p w14:paraId="49D001DD" w14:textId="046E7F9E" w:rsidR="00843186" w:rsidRPr="00843186" w:rsidRDefault="00843186" w:rsidP="00843186">
            <w:pPr>
              <w:jc w:val="right"/>
              <w:rPr>
                <w:rFonts w:ascii="Calibri" w:hAnsi="Calibri" w:cs="Calibri"/>
                <w:color w:val="000000"/>
                <w:szCs w:val="20"/>
                <w:lang w:val="en-CA" w:eastAsia="en-CA"/>
              </w:rPr>
            </w:pPr>
            <w:r w:rsidRPr="00843186">
              <w:rPr>
                <w:rFonts w:ascii="Calibri" w:hAnsi="Calibri" w:cs="Calibri"/>
                <w:color w:val="000000"/>
                <w:szCs w:val="20"/>
                <w:lang w:val="en-CA" w:eastAsia="en-CA"/>
              </w:rPr>
              <w:t xml:space="preserve"> $ 0.261 </w:t>
            </w:r>
          </w:p>
        </w:tc>
      </w:tr>
    </w:tbl>
    <w:p w14:paraId="06465D50" w14:textId="16EC5586" w:rsidR="00BA75E2" w:rsidRPr="00FC2211" w:rsidRDefault="00BA75E2" w:rsidP="006A5BD5">
      <w:pPr>
        <w:tabs>
          <w:tab w:val="left" w:pos="357"/>
        </w:tabs>
        <w:ind w:left="426"/>
        <w:jc w:val="center"/>
        <w:rPr>
          <w:rFonts w:cstheme="minorHAnsi"/>
          <w:szCs w:val="20"/>
        </w:rPr>
      </w:pPr>
    </w:p>
    <w:p w14:paraId="54768394" w14:textId="6DA36103" w:rsidR="00F11274" w:rsidRDefault="00F11274" w:rsidP="003657B2">
      <w:pPr>
        <w:tabs>
          <w:tab w:val="left" w:pos="357"/>
        </w:tabs>
        <w:rPr>
          <w:rFonts w:cstheme="minorHAnsi"/>
          <w:szCs w:val="20"/>
        </w:rPr>
      </w:pPr>
      <w:r w:rsidRPr="00FC2211">
        <w:rPr>
          <w:rFonts w:cstheme="minorHAnsi"/>
          <w:szCs w:val="20"/>
        </w:rPr>
        <w:t xml:space="preserve">Details of options outstanding as at </w:t>
      </w:r>
      <w:r w:rsidR="00205351">
        <w:rPr>
          <w:rFonts w:cstheme="minorHAnsi"/>
          <w:szCs w:val="20"/>
        </w:rPr>
        <w:t>March 31, 2024</w:t>
      </w:r>
      <w:r w:rsidR="002B484B" w:rsidRPr="00FC2211">
        <w:rPr>
          <w:rFonts w:cstheme="minorHAnsi"/>
          <w:szCs w:val="20"/>
        </w:rPr>
        <w:t>,</w:t>
      </w:r>
      <w:r w:rsidR="00FB780D" w:rsidRPr="00FC2211">
        <w:rPr>
          <w:rFonts w:cstheme="minorHAnsi"/>
          <w:szCs w:val="20"/>
        </w:rPr>
        <w:t xml:space="preserve"> </w:t>
      </w:r>
      <w:r w:rsidRPr="00FC2211">
        <w:rPr>
          <w:rFonts w:cstheme="minorHAnsi"/>
          <w:szCs w:val="20"/>
        </w:rPr>
        <w:t>are as follows:</w:t>
      </w:r>
    </w:p>
    <w:p w14:paraId="53369CF7" w14:textId="77777777" w:rsidR="006065D8" w:rsidRDefault="006065D8" w:rsidP="00F11274">
      <w:pPr>
        <w:tabs>
          <w:tab w:val="left" w:pos="357"/>
        </w:tabs>
        <w:ind w:left="426"/>
        <w:rPr>
          <w:rFonts w:cstheme="minorHAnsi"/>
          <w:szCs w:val="20"/>
        </w:rPr>
      </w:pPr>
    </w:p>
    <w:tbl>
      <w:tblPr>
        <w:tblW w:w="8070" w:type="dxa"/>
        <w:jc w:val="center"/>
        <w:tblLook w:val="04A0" w:firstRow="1" w:lastRow="0" w:firstColumn="1" w:lastColumn="0" w:noHBand="0" w:noVBand="1"/>
      </w:tblPr>
      <w:tblGrid>
        <w:gridCol w:w="2410"/>
        <w:gridCol w:w="1460"/>
        <w:gridCol w:w="1400"/>
        <w:gridCol w:w="1400"/>
        <w:gridCol w:w="1400"/>
      </w:tblGrid>
      <w:tr w:rsidR="000B27B6" w:rsidRPr="000B27B6" w14:paraId="18EB60E5" w14:textId="77777777" w:rsidTr="006564CA">
        <w:trPr>
          <w:trHeight w:val="840"/>
          <w:jc w:val="center"/>
        </w:trPr>
        <w:tc>
          <w:tcPr>
            <w:tcW w:w="2410" w:type="dxa"/>
            <w:tcBorders>
              <w:top w:val="nil"/>
              <w:left w:val="nil"/>
              <w:bottom w:val="single" w:sz="12" w:space="0" w:color="auto"/>
              <w:right w:val="nil"/>
            </w:tcBorders>
            <w:shd w:val="clear" w:color="000000" w:fill="FFFFFF"/>
            <w:vAlign w:val="center"/>
            <w:hideMark/>
          </w:tcPr>
          <w:p w14:paraId="623C87FE" w14:textId="77777777" w:rsidR="000B27B6" w:rsidRPr="000B27B6" w:rsidRDefault="000B27B6" w:rsidP="000B27B6">
            <w:pPr>
              <w:jc w:val="center"/>
              <w:rPr>
                <w:rFonts w:ascii="Calibri" w:hAnsi="Calibri" w:cs="Calibri"/>
                <w:b/>
                <w:bCs/>
                <w:color w:val="000000"/>
                <w:szCs w:val="20"/>
                <w:lang w:val="en-CA" w:eastAsia="en-CA"/>
              </w:rPr>
            </w:pPr>
            <w:r w:rsidRPr="000B27B6">
              <w:rPr>
                <w:rFonts w:ascii="Calibri" w:hAnsi="Calibri" w:cs="Calibri"/>
                <w:b/>
                <w:bCs/>
                <w:color w:val="000000"/>
                <w:szCs w:val="20"/>
                <w:lang w:val="en-CA" w:eastAsia="en-CA"/>
              </w:rPr>
              <w:t>Expiry date</w:t>
            </w:r>
          </w:p>
        </w:tc>
        <w:tc>
          <w:tcPr>
            <w:tcW w:w="1460" w:type="dxa"/>
            <w:tcBorders>
              <w:top w:val="nil"/>
              <w:left w:val="nil"/>
              <w:bottom w:val="single" w:sz="12" w:space="0" w:color="auto"/>
              <w:right w:val="nil"/>
            </w:tcBorders>
            <w:shd w:val="clear" w:color="000000" w:fill="FFFFFF"/>
            <w:vAlign w:val="center"/>
            <w:hideMark/>
          </w:tcPr>
          <w:p w14:paraId="473A0F6A" w14:textId="77777777" w:rsidR="000B27B6" w:rsidRPr="000B27B6" w:rsidRDefault="000B27B6" w:rsidP="000B27B6">
            <w:pPr>
              <w:jc w:val="center"/>
              <w:rPr>
                <w:rFonts w:ascii="Calibri" w:hAnsi="Calibri" w:cs="Calibri"/>
                <w:b/>
                <w:bCs/>
                <w:color w:val="000000"/>
                <w:szCs w:val="20"/>
                <w:lang w:val="en-CA" w:eastAsia="en-CA"/>
              </w:rPr>
            </w:pPr>
            <w:r w:rsidRPr="000B27B6">
              <w:rPr>
                <w:rFonts w:ascii="Calibri" w:hAnsi="Calibri" w:cs="Calibri"/>
                <w:b/>
                <w:bCs/>
                <w:color w:val="000000"/>
                <w:szCs w:val="20"/>
                <w:lang w:val="en-CA" w:eastAsia="en-CA"/>
              </w:rPr>
              <w:t>Number of options</w:t>
            </w:r>
          </w:p>
        </w:tc>
        <w:tc>
          <w:tcPr>
            <w:tcW w:w="1400" w:type="dxa"/>
            <w:tcBorders>
              <w:top w:val="nil"/>
              <w:left w:val="nil"/>
              <w:bottom w:val="single" w:sz="12" w:space="0" w:color="auto"/>
              <w:right w:val="nil"/>
            </w:tcBorders>
            <w:shd w:val="clear" w:color="000000" w:fill="FFFFFF"/>
            <w:vAlign w:val="center"/>
            <w:hideMark/>
          </w:tcPr>
          <w:p w14:paraId="196E1DD1" w14:textId="77777777" w:rsidR="000B27B6" w:rsidRPr="000B27B6" w:rsidRDefault="000B27B6" w:rsidP="000B27B6">
            <w:pPr>
              <w:jc w:val="center"/>
              <w:rPr>
                <w:rFonts w:ascii="Calibri" w:hAnsi="Calibri" w:cs="Calibri"/>
                <w:b/>
                <w:bCs/>
                <w:color w:val="000000"/>
                <w:szCs w:val="20"/>
                <w:lang w:val="en-CA" w:eastAsia="en-CA"/>
              </w:rPr>
            </w:pPr>
            <w:r w:rsidRPr="000B27B6">
              <w:rPr>
                <w:rFonts w:ascii="Calibri" w:hAnsi="Calibri" w:cs="Calibri"/>
                <w:b/>
                <w:bCs/>
                <w:color w:val="000000"/>
                <w:szCs w:val="20"/>
                <w:lang w:val="en-CA" w:eastAsia="en-CA"/>
              </w:rPr>
              <w:t>Weighted average exercise price</w:t>
            </w:r>
          </w:p>
        </w:tc>
        <w:tc>
          <w:tcPr>
            <w:tcW w:w="1400" w:type="dxa"/>
            <w:tcBorders>
              <w:top w:val="nil"/>
              <w:left w:val="nil"/>
              <w:bottom w:val="single" w:sz="12" w:space="0" w:color="auto"/>
              <w:right w:val="nil"/>
            </w:tcBorders>
            <w:shd w:val="clear" w:color="000000" w:fill="FFFFFF"/>
            <w:vAlign w:val="center"/>
            <w:hideMark/>
          </w:tcPr>
          <w:p w14:paraId="307A9944" w14:textId="77777777" w:rsidR="000B27B6" w:rsidRPr="000B27B6" w:rsidRDefault="000B27B6" w:rsidP="000B27B6">
            <w:pPr>
              <w:jc w:val="center"/>
              <w:rPr>
                <w:rFonts w:ascii="Calibri" w:hAnsi="Calibri" w:cs="Calibri"/>
                <w:b/>
                <w:bCs/>
                <w:color w:val="000000"/>
                <w:szCs w:val="20"/>
                <w:lang w:val="en-CA" w:eastAsia="en-CA"/>
              </w:rPr>
            </w:pPr>
            <w:r w:rsidRPr="000B27B6">
              <w:rPr>
                <w:rFonts w:ascii="Calibri" w:hAnsi="Calibri" w:cs="Calibri"/>
                <w:b/>
                <w:bCs/>
                <w:color w:val="000000"/>
                <w:szCs w:val="20"/>
                <w:lang w:val="en-CA" w:eastAsia="en-CA"/>
              </w:rPr>
              <w:t>Weighted average contractual life</w:t>
            </w:r>
          </w:p>
        </w:tc>
        <w:tc>
          <w:tcPr>
            <w:tcW w:w="1400" w:type="dxa"/>
            <w:tcBorders>
              <w:top w:val="nil"/>
              <w:left w:val="nil"/>
              <w:bottom w:val="single" w:sz="12" w:space="0" w:color="auto"/>
              <w:right w:val="nil"/>
            </w:tcBorders>
            <w:shd w:val="clear" w:color="000000" w:fill="FFFFFF"/>
            <w:vAlign w:val="center"/>
            <w:hideMark/>
          </w:tcPr>
          <w:p w14:paraId="6A56A456" w14:textId="77777777" w:rsidR="000B27B6" w:rsidRPr="000B27B6" w:rsidRDefault="000B27B6" w:rsidP="000B27B6">
            <w:pPr>
              <w:jc w:val="center"/>
              <w:rPr>
                <w:rFonts w:ascii="Calibri" w:hAnsi="Calibri" w:cs="Calibri"/>
                <w:b/>
                <w:bCs/>
                <w:color w:val="000000"/>
                <w:szCs w:val="20"/>
                <w:lang w:val="en-CA" w:eastAsia="en-CA"/>
              </w:rPr>
            </w:pPr>
            <w:r w:rsidRPr="000B27B6">
              <w:rPr>
                <w:rFonts w:ascii="Calibri" w:hAnsi="Calibri" w:cs="Calibri"/>
                <w:b/>
                <w:bCs/>
                <w:color w:val="000000"/>
                <w:szCs w:val="20"/>
                <w:lang w:val="en-CA" w:eastAsia="en-CA"/>
              </w:rPr>
              <w:t>Number of Options exercisable</w:t>
            </w:r>
          </w:p>
        </w:tc>
      </w:tr>
      <w:tr w:rsidR="000B27B6" w:rsidRPr="000B27B6" w14:paraId="08F8CDC8" w14:textId="77777777" w:rsidTr="006564CA">
        <w:trPr>
          <w:trHeight w:val="276"/>
          <w:jc w:val="center"/>
        </w:trPr>
        <w:tc>
          <w:tcPr>
            <w:tcW w:w="2410" w:type="dxa"/>
            <w:tcBorders>
              <w:top w:val="single" w:sz="12" w:space="0" w:color="auto"/>
              <w:left w:val="nil"/>
              <w:bottom w:val="nil"/>
              <w:right w:val="nil"/>
            </w:tcBorders>
            <w:shd w:val="clear" w:color="000000" w:fill="FFFFFF"/>
            <w:noWrap/>
            <w:vAlign w:val="center"/>
            <w:hideMark/>
          </w:tcPr>
          <w:p w14:paraId="18F0E904"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January 23, 2025</w:t>
            </w:r>
          </w:p>
        </w:tc>
        <w:tc>
          <w:tcPr>
            <w:tcW w:w="1460" w:type="dxa"/>
            <w:tcBorders>
              <w:top w:val="single" w:sz="12" w:space="0" w:color="auto"/>
              <w:left w:val="nil"/>
              <w:bottom w:val="nil"/>
              <w:right w:val="nil"/>
            </w:tcBorders>
            <w:shd w:val="clear" w:color="000000" w:fill="FFFFFF"/>
            <w:noWrap/>
            <w:vAlign w:val="center"/>
            <w:hideMark/>
          </w:tcPr>
          <w:p w14:paraId="6D27FE4A" w14:textId="7D6AC91A"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175,863 </w:t>
            </w:r>
          </w:p>
        </w:tc>
        <w:tc>
          <w:tcPr>
            <w:tcW w:w="1400" w:type="dxa"/>
            <w:tcBorders>
              <w:top w:val="single" w:sz="12" w:space="0" w:color="auto"/>
              <w:left w:val="nil"/>
              <w:bottom w:val="nil"/>
              <w:right w:val="nil"/>
            </w:tcBorders>
            <w:shd w:val="clear" w:color="000000" w:fill="FFFFFF"/>
            <w:noWrap/>
            <w:vAlign w:val="center"/>
            <w:hideMark/>
          </w:tcPr>
          <w:p w14:paraId="325353CC" w14:textId="5463CC82"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0.089 </w:t>
            </w:r>
          </w:p>
        </w:tc>
        <w:tc>
          <w:tcPr>
            <w:tcW w:w="1400" w:type="dxa"/>
            <w:tcBorders>
              <w:top w:val="single" w:sz="12" w:space="0" w:color="auto"/>
              <w:left w:val="nil"/>
              <w:bottom w:val="nil"/>
              <w:right w:val="nil"/>
            </w:tcBorders>
            <w:shd w:val="clear" w:color="000000" w:fill="FFFFFF"/>
            <w:noWrap/>
            <w:vAlign w:val="center"/>
            <w:hideMark/>
          </w:tcPr>
          <w:p w14:paraId="41C276C7" w14:textId="13A97D48"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0.82 </w:t>
            </w:r>
          </w:p>
        </w:tc>
        <w:tc>
          <w:tcPr>
            <w:tcW w:w="1400" w:type="dxa"/>
            <w:tcBorders>
              <w:top w:val="single" w:sz="12" w:space="0" w:color="auto"/>
              <w:left w:val="nil"/>
              <w:bottom w:val="nil"/>
              <w:right w:val="nil"/>
            </w:tcBorders>
            <w:shd w:val="clear" w:color="000000" w:fill="FFFFFF"/>
            <w:noWrap/>
            <w:vAlign w:val="center"/>
            <w:hideMark/>
          </w:tcPr>
          <w:p w14:paraId="5C537693" w14:textId="17C0B9F4"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175,863 </w:t>
            </w:r>
          </w:p>
        </w:tc>
      </w:tr>
      <w:tr w:rsidR="000B27B6" w:rsidRPr="000B27B6" w14:paraId="0CFC870D" w14:textId="77777777" w:rsidTr="006564CA">
        <w:trPr>
          <w:trHeight w:val="276"/>
          <w:jc w:val="center"/>
        </w:trPr>
        <w:tc>
          <w:tcPr>
            <w:tcW w:w="2410" w:type="dxa"/>
            <w:tcBorders>
              <w:top w:val="nil"/>
              <w:left w:val="nil"/>
              <w:bottom w:val="nil"/>
              <w:right w:val="nil"/>
            </w:tcBorders>
            <w:shd w:val="clear" w:color="000000" w:fill="FFFFFF"/>
            <w:noWrap/>
            <w:vAlign w:val="center"/>
            <w:hideMark/>
          </w:tcPr>
          <w:p w14:paraId="4BFB261B"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April 14, 2030</w:t>
            </w:r>
          </w:p>
        </w:tc>
        <w:tc>
          <w:tcPr>
            <w:tcW w:w="1460" w:type="dxa"/>
            <w:tcBorders>
              <w:top w:val="nil"/>
              <w:left w:val="nil"/>
              <w:bottom w:val="nil"/>
              <w:right w:val="nil"/>
            </w:tcBorders>
            <w:shd w:val="clear" w:color="000000" w:fill="FFFFFF"/>
            <w:noWrap/>
            <w:vAlign w:val="center"/>
            <w:hideMark/>
          </w:tcPr>
          <w:p w14:paraId="7CF1B957" w14:textId="6D42A04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2,250,000 </w:t>
            </w:r>
          </w:p>
        </w:tc>
        <w:tc>
          <w:tcPr>
            <w:tcW w:w="1400" w:type="dxa"/>
            <w:tcBorders>
              <w:top w:val="nil"/>
              <w:left w:val="nil"/>
              <w:bottom w:val="nil"/>
              <w:right w:val="nil"/>
            </w:tcBorders>
            <w:shd w:val="clear" w:color="000000" w:fill="FFFFFF"/>
            <w:noWrap/>
            <w:vAlign w:val="center"/>
            <w:hideMark/>
          </w:tcPr>
          <w:p w14:paraId="60602F25" w14:textId="058EDA92"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0.260 </w:t>
            </w:r>
          </w:p>
        </w:tc>
        <w:tc>
          <w:tcPr>
            <w:tcW w:w="1400" w:type="dxa"/>
            <w:tcBorders>
              <w:top w:val="nil"/>
              <w:left w:val="nil"/>
              <w:bottom w:val="nil"/>
              <w:right w:val="nil"/>
            </w:tcBorders>
            <w:shd w:val="clear" w:color="000000" w:fill="FFFFFF"/>
            <w:noWrap/>
            <w:vAlign w:val="center"/>
            <w:hideMark/>
          </w:tcPr>
          <w:p w14:paraId="64FD980C" w14:textId="6837F5C4"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6.04 </w:t>
            </w:r>
          </w:p>
        </w:tc>
        <w:tc>
          <w:tcPr>
            <w:tcW w:w="1400" w:type="dxa"/>
            <w:tcBorders>
              <w:top w:val="nil"/>
              <w:left w:val="nil"/>
              <w:bottom w:val="nil"/>
              <w:right w:val="nil"/>
            </w:tcBorders>
            <w:shd w:val="clear" w:color="000000" w:fill="FFFFFF"/>
            <w:noWrap/>
            <w:vAlign w:val="center"/>
            <w:hideMark/>
          </w:tcPr>
          <w:p w14:paraId="6FBEFCFE" w14:textId="04179521"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1,687,500 </w:t>
            </w:r>
          </w:p>
        </w:tc>
      </w:tr>
      <w:tr w:rsidR="000B27B6" w:rsidRPr="000B27B6" w14:paraId="688170C8" w14:textId="77777777" w:rsidTr="006564CA">
        <w:trPr>
          <w:trHeight w:val="276"/>
          <w:jc w:val="center"/>
        </w:trPr>
        <w:tc>
          <w:tcPr>
            <w:tcW w:w="2410" w:type="dxa"/>
            <w:tcBorders>
              <w:top w:val="nil"/>
              <w:left w:val="nil"/>
              <w:bottom w:val="nil"/>
              <w:right w:val="nil"/>
            </w:tcBorders>
            <w:shd w:val="clear" w:color="000000" w:fill="FFFFFF"/>
            <w:noWrap/>
            <w:vAlign w:val="center"/>
            <w:hideMark/>
          </w:tcPr>
          <w:p w14:paraId="4ED5AB0E"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April 14, 2030</w:t>
            </w:r>
          </w:p>
        </w:tc>
        <w:tc>
          <w:tcPr>
            <w:tcW w:w="1460" w:type="dxa"/>
            <w:tcBorders>
              <w:top w:val="nil"/>
              <w:left w:val="nil"/>
              <w:bottom w:val="nil"/>
              <w:right w:val="nil"/>
            </w:tcBorders>
            <w:shd w:val="clear" w:color="000000" w:fill="FFFFFF"/>
            <w:noWrap/>
            <w:vAlign w:val="center"/>
            <w:hideMark/>
          </w:tcPr>
          <w:p w14:paraId="76100DCD" w14:textId="300BB89C"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500,000 </w:t>
            </w:r>
          </w:p>
        </w:tc>
        <w:tc>
          <w:tcPr>
            <w:tcW w:w="1400" w:type="dxa"/>
            <w:tcBorders>
              <w:top w:val="nil"/>
              <w:left w:val="nil"/>
              <w:bottom w:val="nil"/>
              <w:right w:val="nil"/>
            </w:tcBorders>
            <w:shd w:val="clear" w:color="000000" w:fill="FFFFFF"/>
            <w:noWrap/>
            <w:vAlign w:val="center"/>
            <w:hideMark/>
          </w:tcPr>
          <w:p w14:paraId="60EE69E1" w14:textId="6D523381"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0.350 </w:t>
            </w:r>
          </w:p>
        </w:tc>
        <w:tc>
          <w:tcPr>
            <w:tcW w:w="1400" w:type="dxa"/>
            <w:tcBorders>
              <w:top w:val="nil"/>
              <w:left w:val="nil"/>
              <w:bottom w:val="nil"/>
              <w:right w:val="nil"/>
            </w:tcBorders>
            <w:shd w:val="clear" w:color="000000" w:fill="FFFFFF"/>
            <w:noWrap/>
            <w:vAlign w:val="center"/>
            <w:hideMark/>
          </w:tcPr>
          <w:p w14:paraId="3560D90C" w14:textId="45DC4C66"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6.04 </w:t>
            </w:r>
          </w:p>
        </w:tc>
        <w:tc>
          <w:tcPr>
            <w:tcW w:w="1400" w:type="dxa"/>
            <w:tcBorders>
              <w:top w:val="nil"/>
              <w:left w:val="nil"/>
              <w:bottom w:val="nil"/>
              <w:right w:val="nil"/>
            </w:tcBorders>
            <w:shd w:val="clear" w:color="000000" w:fill="FFFFFF"/>
            <w:noWrap/>
            <w:vAlign w:val="center"/>
            <w:hideMark/>
          </w:tcPr>
          <w:p w14:paraId="5F7361F2" w14:textId="199BABB9"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375,000 </w:t>
            </w:r>
          </w:p>
        </w:tc>
      </w:tr>
      <w:tr w:rsidR="000B27B6" w:rsidRPr="000B27B6" w14:paraId="49BDDAE0" w14:textId="77777777" w:rsidTr="006564CA">
        <w:trPr>
          <w:trHeight w:val="276"/>
          <w:jc w:val="center"/>
        </w:trPr>
        <w:tc>
          <w:tcPr>
            <w:tcW w:w="2410" w:type="dxa"/>
            <w:tcBorders>
              <w:top w:val="nil"/>
              <w:left w:val="nil"/>
              <w:bottom w:val="nil"/>
              <w:right w:val="nil"/>
            </w:tcBorders>
            <w:shd w:val="clear" w:color="000000" w:fill="FFFFFF"/>
            <w:noWrap/>
            <w:vAlign w:val="center"/>
            <w:hideMark/>
          </w:tcPr>
          <w:p w14:paraId="48D089C3"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October 16, 2030</w:t>
            </w:r>
          </w:p>
        </w:tc>
        <w:tc>
          <w:tcPr>
            <w:tcW w:w="1460" w:type="dxa"/>
            <w:tcBorders>
              <w:top w:val="nil"/>
              <w:left w:val="nil"/>
              <w:bottom w:val="nil"/>
              <w:right w:val="nil"/>
            </w:tcBorders>
            <w:shd w:val="clear" w:color="000000" w:fill="FFFFFF"/>
            <w:noWrap/>
            <w:vAlign w:val="center"/>
            <w:hideMark/>
          </w:tcPr>
          <w:p w14:paraId="0341E745" w14:textId="4CB5F30A"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100,000 </w:t>
            </w:r>
          </w:p>
        </w:tc>
        <w:tc>
          <w:tcPr>
            <w:tcW w:w="1400" w:type="dxa"/>
            <w:tcBorders>
              <w:top w:val="nil"/>
              <w:left w:val="nil"/>
              <w:bottom w:val="nil"/>
              <w:right w:val="nil"/>
            </w:tcBorders>
            <w:shd w:val="clear" w:color="000000" w:fill="FFFFFF"/>
            <w:noWrap/>
            <w:vAlign w:val="center"/>
            <w:hideMark/>
          </w:tcPr>
          <w:p w14:paraId="1251E4FC" w14:textId="717D41CC"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0.260 </w:t>
            </w:r>
          </w:p>
        </w:tc>
        <w:tc>
          <w:tcPr>
            <w:tcW w:w="1400" w:type="dxa"/>
            <w:tcBorders>
              <w:top w:val="nil"/>
              <w:left w:val="nil"/>
              <w:bottom w:val="nil"/>
              <w:right w:val="nil"/>
            </w:tcBorders>
            <w:shd w:val="clear" w:color="000000" w:fill="FFFFFF"/>
            <w:noWrap/>
            <w:vAlign w:val="center"/>
            <w:hideMark/>
          </w:tcPr>
          <w:p w14:paraId="6ACA63C0" w14:textId="2F6BC9FC"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6.55 </w:t>
            </w:r>
          </w:p>
        </w:tc>
        <w:tc>
          <w:tcPr>
            <w:tcW w:w="1400" w:type="dxa"/>
            <w:tcBorders>
              <w:top w:val="nil"/>
              <w:left w:val="nil"/>
              <w:bottom w:val="nil"/>
              <w:right w:val="nil"/>
            </w:tcBorders>
            <w:shd w:val="clear" w:color="000000" w:fill="FFFFFF"/>
            <w:noWrap/>
            <w:vAlign w:val="center"/>
            <w:hideMark/>
          </w:tcPr>
          <w:p w14:paraId="7161A32D" w14:textId="57AA8A80"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75,000 </w:t>
            </w:r>
          </w:p>
        </w:tc>
      </w:tr>
      <w:tr w:rsidR="000B27B6" w:rsidRPr="000B27B6" w14:paraId="44AE9EEF" w14:textId="77777777" w:rsidTr="006564CA">
        <w:trPr>
          <w:trHeight w:val="276"/>
          <w:jc w:val="center"/>
        </w:trPr>
        <w:tc>
          <w:tcPr>
            <w:tcW w:w="2410" w:type="dxa"/>
            <w:tcBorders>
              <w:top w:val="nil"/>
              <w:left w:val="nil"/>
              <w:bottom w:val="nil"/>
              <w:right w:val="nil"/>
            </w:tcBorders>
            <w:shd w:val="clear" w:color="000000" w:fill="FFFFFF"/>
            <w:noWrap/>
            <w:vAlign w:val="center"/>
            <w:hideMark/>
          </w:tcPr>
          <w:p w14:paraId="1382A203"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June 16, 2031</w:t>
            </w:r>
          </w:p>
        </w:tc>
        <w:tc>
          <w:tcPr>
            <w:tcW w:w="1460" w:type="dxa"/>
            <w:tcBorders>
              <w:top w:val="nil"/>
              <w:left w:val="nil"/>
              <w:bottom w:val="nil"/>
              <w:right w:val="nil"/>
            </w:tcBorders>
            <w:shd w:val="clear" w:color="000000" w:fill="FFFFFF"/>
            <w:noWrap/>
            <w:vAlign w:val="center"/>
            <w:hideMark/>
          </w:tcPr>
          <w:p w14:paraId="158E1061" w14:textId="7B39B393"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500,000 </w:t>
            </w:r>
          </w:p>
        </w:tc>
        <w:tc>
          <w:tcPr>
            <w:tcW w:w="1400" w:type="dxa"/>
            <w:tcBorders>
              <w:top w:val="nil"/>
              <w:left w:val="nil"/>
              <w:bottom w:val="nil"/>
              <w:right w:val="nil"/>
            </w:tcBorders>
            <w:shd w:val="clear" w:color="000000" w:fill="FFFFFF"/>
            <w:noWrap/>
            <w:vAlign w:val="center"/>
            <w:hideMark/>
          </w:tcPr>
          <w:p w14:paraId="06171110" w14:textId="3F948203"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0.260 </w:t>
            </w:r>
          </w:p>
        </w:tc>
        <w:tc>
          <w:tcPr>
            <w:tcW w:w="1400" w:type="dxa"/>
            <w:tcBorders>
              <w:top w:val="nil"/>
              <w:left w:val="nil"/>
              <w:bottom w:val="nil"/>
              <w:right w:val="nil"/>
            </w:tcBorders>
            <w:shd w:val="clear" w:color="000000" w:fill="FFFFFF"/>
            <w:noWrap/>
            <w:vAlign w:val="center"/>
            <w:hideMark/>
          </w:tcPr>
          <w:p w14:paraId="3DF652A7" w14:textId="553095B9"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7.21 </w:t>
            </w:r>
          </w:p>
        </w:tc>
        <w:tc>
          <w:tcPr>
            <w:tcW w:w="1400" w:type="dxa"/>
            <w:tcBorders>
              <w:top w:val="nil"/>
              <w:left w:val="nil"/>
              <w:bottom w:val="nil"/>
              <w:right w:val="nil"/>
            </w:tcBorders>
            <w:shd w:val="clear" w:color="000000" w:fill="FFFFFF"/>
            <w:noWrap/>
            <w:vAlign w:val="center"/>
            <w:hideMark/>
          </w:tcPr>
          <w:p w14:paraId="2DCDA138" w14:textId="77F553C5"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250,000 </w:t>
            </w:r>
          </w:p>
        </w:tc>
      </w:tr>
      <w:tr w:rsidR="000B27B6" w:rsidRPr="000B27B6" w14:paraId="391BEF7F" w14:textId="77777777" w:rsidTr="006564CA">
        <w:trPr>
          <w:trHeight w:val="276"/>
          <w:jc w:val="center"/>
        </w:trPr>
        <w:tc>
          <w:tcPr>
            <w:tcW w:w="2410" w:type="dxa"/>
            <w:tcBorders>
              <w:top w:val="nil"/>
              <w:left w:val="nil"/>
              <w:bottom w:val="nil"/>
              <w:right w:val="nil"/>
            </w:tcBorders>
            <w:shd w:val="clear" w:color="000000" w:fill="FFFFFF"/>
            <w:noWrap/>
            <w:vAlign w:val="center"/>
            <w:hideMark/>
          </w:tcPr>
          <w:p w14:paraId="7A141C80"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July 26, 2031</w:t>
            </w:r>
          </w:p>
        </w:tc>
        <w:tc>
          <w:tcPr>
            <w:tcW w:w="1460" w:type="dxa"/>
            <w:tcBorders>
              <w:top w:val="nil"/>
              <w:left w:val="nil"/>
              <w:bottom w:val="nil"/>
              <w:right w:val="nil"/>
            </w:tcBorders>
            <w:shd w:val="clear" w:color="000000" w:fill="FFFFFF"/>
            <w:noWrap/>
            <w:vAlign w:val="center"/>
            <w:hideMark/>
          </w:tcPr>
          <w:p w14:paraId="709646FE" w14:textId="6FAB12A6"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250,000 </w:t>
            </w:r>
          </w:p>
        </w:tc>
        <w:tc>
          <w:tcPr>
            <w:tcW w:w="1400" w:type="dxa"/>
            <w:tcBorders>
              <w:top w:val="nil"/>
              <w:left w:val="nil"/>
              <w:bottom w:val="nil"/>
              <w:right w:val="nil"/>
            </w:tcBorders>
            <w:shd w:val="clear" w:color="000000" w:fill="FFFFFF"/>
            <w:noWrap/>
            <w:vAlign w:val="center"/>
            <w:hideMark/>
          </w:tcPr>
          <w:p w14:paraId="502E7F13" w14:textId="05C3B21C"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0.260 </w:t>
            </w:r>
          </w:p>
        </w:tc>
        <w:tc>
          <w:tcPr>
            <w:tcW w:w="1400" w:type="dxa"/>
            <w:tcBorders>
              <w:top w:val="nil"/>
              <w:left w:val="nil"/>
              <w:bottom w:val="nil"/>
              <w:right w:val="nil"/>
            </w:tcBorders>
            <w:shd w:val="clear" w:color="000000" w:fill="FFFFFF"/>
            <w:noWrap/>
            <w:vAlign w:val="center"/>
            <w:hideMark/>
          </w:tcPr>
          <w:p w14:paraId="22CDDF09" w14:textId="43ECB77E"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7.32 </w:t>
            </w:r>
          </w:p>
        </w:tc>
        <w:tc>
          <w:tcPr>
            <w:tcW w:w="1400" w:type="dxa"/>
            <w:tcBorders>
              <w:top w:val="nil"/>
              <w:left w:val="nil"/>
              <w:bottom w:val="nil"/>
              <w:right w:val="nil"/>
            </w:tcBorders>
            <w:shd w:val="clear" w:color="000000" w:fill="FFFFFF"/>
            <w:noWrap/>
            <w:vAlign w:val="center"/>
            <w:hideMark/>
          </w:tcPr>
          <w:p w14:paraId="4EF21BA9" w14:textId="505F6D6A"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125,000 </w:t>
            </w:r>
          </w:p>
        </w:tc>
      </w:tr>
      <w:tr w:rsidR="000B27B6" w:rsidRPr="000B27B6" w14:paraId="0D7689F2" w14:textId="77777777" w:rsidTr="006564CA">
        <w:trPr>
          <w:trHeight w:val="276"/>
          <w:jc w:val="center"/>
        </w:trPr>
        <w:tc>
          <w:tcPr>
            <w:tcW w:w="2410" w:type="dxa"/>
            <w:tcBorders>
              <w:top w:val="nil"/>
              <w:left w:val="nil"/>
              <w:bottom w:val="nil"/>
              <w:right w:val="nil"/>
            </w:tcBorders>
            <w:shd w:val="clear" w:color="000000" w:fill="FFFFFF"/>
            <w:noWrap/>
            <w:vAlign w:val="center"/>
            <w:hideMark/>
          </w:tcPr>
          <w:p w14:paraId="7FBFB173"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October 25, 2031</w:t>
            </w:r>
          </w:p>
        </w:tc>
        <w:tc>
          <w:tcPr>
            <w:tcW w:w="1460" w:type="dxa"/>
            <w:tcBorders>
              <w:top w:val="nil"/>
              <w:left w:val="nil"/>
              <w:bottom w:val="nil"/>
              <w:right w:val="nil"/>
            </w:tcBorders>
            <w:shd w:val="clear" w:color="000000" w:fill="FFFFFF"/>
            <w:noWrap/>
            <w:vAlign w:val="center"/>
            <w:hideMark/>
          </w:tcPr>
          <w:p w14:paraId="78079291" w14:textId="10F75B13"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75,000 </w:t>
            </w:r>
          </w:p>
        </w:tc>
        <w:tc>
          <w:tcPr>
            <w:tcW w:w="1400" w:type="dxa"/>
            <w:tcBorders>
              <w:top w:val="nil"/>
              <w:left w:val="nil"/>
              <w:bottom w:val="nil"/>
              <w:right w:val="nil"/>
            </w:tcBorders>
            <w:shd w:val="clear" w:color="000000" w:fill="FFFFFF"/>
            <w:noWrap/>
            <w:vAlign w:val="center"/>
            <w:hideMark/>
          </w:tcPr>
          <w:p w14:paraId="558EC660" w14:textId="6F5407FF"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0.260 </w:t>
            </w:r>
          </w:p>
        </w:tc>
        <w:tc>
          <w:tcPr>
            <w:tcW w:w="1400" w:type="dxa"/>
            <w:tcBorders>
              <w:top w:val="nil"/>
              <w:left w:val="nil"/>
              <w:bottom w:val="nil"/>
              <w:right w:val="nil"/>
            </w:tcBorders>
            <w:shd w:val="clear" w:color="000000" w:fill="FFFFFF"/>
            <w:noWrap/>
            <w:vAlign w:val="center"/>
            <w:hideMark/>
          </w:tcPr>
          <w:p w14:paraId="615D3AE6" w14:textId="6B483C14"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7.57 </w:t>
            </w:r>
          </w:p>
        </w:tc>
        <w:tc>
          <w:tcPr>
            <w:tcW w:w="1400" w:type="dxa"/>
            <w:tcBorders>
              <w:top w:val="nil"/>
              <w:left w:val="nil"/>
              <w:bottom w:val="nil"/>
              <w:right w:val="nil"/>
            </w:tcBorders>
            <w:shd w:val="clear" w:color="000000" w:fill="FFFFFF"/>
            <w:noWrap/>
            <w:vAlign w:val="center"/>
            <w:hideMark/>
          </w:tcPr>
          <w:p w14:paraId="50A96438" w14:textId="44902791"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37,500 </w:t>
            </w:r>
          </w:p>
        </w:tc>
      </w:tr>
      <w:tr w:rsidR="000B27B6" w:rsidRPr="000B27B6" w14:paraId="56ADF94F" w14:textId="77777777" w:rsidTr="006564CA">
        <w:trPr>
          <w:trHeight w:val="276"/>
          <w:jc w:val="center"/>
        </w:trPr>
        <w:tc>
          <w:tcPr>
            <w:tcW w:w="2410" w:type="dxa"/>
            <w:tcBorders>
              <w:top w:val="nil"/>
              <w:left w:val="nil"/>
              <w:bottom w:val="nil"/>
              <w:right w:val="nil"/>
            </w:tcBorders>
            <w:shd w:val="clear" w:color="000000" w:fill="FFFFFF"/>
            <w:noWrap/>
            <w:vAlign w:val="center"/>
            <w:hideMark/>
          </w:tcPr>
          <w:p w14:paraId="1796B4FA"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February 28, 2033</w:t>
            </w:r>
          </w:p>
        </w:tc>
        <w:tc>
          <w:tcPr>
            <w:tcW w:w="1460" w:type="dxa"/>
            <w:tcBorders>
              <w:top w:val="nil"/>
              <w:left w:val="nil"/>
              <w:bottom w:val="nil"/>
              <w:right w:val="nil"/>
            </w:tcBorders>
            <w:shd w:val="clear" w:color="000000" w:fill="FFFFFF"/>
            <w:noWrap/>
            <w:vAlign w:val="center"/>
            <w:hideMark/>
          </w:tcPr>
          <w:p w14:paraId="0BA986CF" w14:textId="7C6DA99C"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2,825,000 </w:t>
            </w:r>
          </w:p>
        </w:tc>
        <w:tc>
          <w:tcPr>
            <w:tcW w:w="1400" w:type="dxa"/>
            <w:tcBorders>
              <w:top w:val="nil"/>
              <w:left w:val="nil"/>
              <w:bottom w:val="nil"/>
              <w:right w:val="nil"/>
            </w:tcBorders>
            <w:shd w:val="clear" w:color="000000" w:fill="FFFFFF"/>
            <w:noWrap/>
            <w:vAlign w:val="center"/>
            <w:hideMark/>
          </w:tcPr>
          <w:p w14:paraId="01A55838" w14:textId="754B9304"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0.120 </w:t>
            </w:r>
          </w:p>
        </w:tc>
        <w:tc>
          <w:tcPr>
            <w:tcW w:w="1400" w:type="dxa"/>
            <w:tcBorders>
              <w:top w:val="nil"/>
              <w:left w:val="nil"/>
              <w:bottom w:val="nil"/>
              <w:right w:val="nil"/>
            </w:tcBorders>
            <w:shd w:val="clear" w:color="000000" w:fill="FFFFFF"/>
            <w:noWrap/>
            <w:vAlign w:val="center"/>
            <w:hideMark/>
          </w:tcPr>
          <w:p w14:paraId="3F36057B" w14:textId="4D35CD44"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8.92 </w:t>
            </w:r>
          </w:p>
        </w:tc>
        <w:tc>
          <w:tcPr>
            <w:tcW w:w="1400" w:type="dxa"/>
            <w:tcBorders>
              <w:top w:val="nil"/>
              <w:left w:val="nil"/>
              <w:bottom w:val="nil"/>
              <w:right w:val="nil"/>
            </w:tcBorders>
            <w:shd w:val="clear" w:color="000000" w:fill="FFFFFF"/>
            <w:noWrap/>
            <w:vAlign w:val="center"/>
            <w:hideMark/>
          </w:tcPr>
          <w:p w14:paraId="167D0ED0" w14:textId="202888B6"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706,250 </w:t>
            </w:r>
          </w:p>
        </w:tc>
      </w:tr>
      <w:tr w:rsidR="000B27B6" w:rsidRPr="000B27B6" w14:paraId="2E517F82" w14:textId="77777777" w:rsidTr="006564CA">
        <w:trPr>
          <w:trHeight w:val="276"/>
          <w:jc w:val="center"/>
        </w:trPr>
        <w:tc>
          <w:tcPr>
            <w:tcW w:w="2410" w:type="dxa"/>
            <w:tcBorders>
              <w:top w:val="nil"/>
              <w:left w:val="nil"/>
              <w:bottom w:val="single" w:sz="4" w:space="0" w:color="auto"/>
              <w:right w:val="nil"/>
            </w:tcBorders>
            <w:shd w:val="clear" w:color="000000" w:fill="FFFFFF"/>
            <w:noWrap/>
            <w:vAlign w:val="center"/>
            <w:hideMark/>
          </w:tcPr>
          <w:p w14:paraId="6B422AEE"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September 18, 2033</w:t>
            </w:r>
          </w:p>
        </w:tc>
        <w:tc>
          <w:tcPr>
            <w:tcW w:w="1460" w:type="dxa"/>
            <w:tcBorders>
              <w:top w:val="nil"/>
              <w:left w:val="nil"/>
              <w:bottom w:val="single" w:sz="4" w:space="0" w:color="auto"/>
              <w:right w:val="nil"/>
            </w:tcBorders>
            <w:shd w:val="clear" w:color="000000" w:fill="FFFFFF"/>
            <w:noWrap/>
            <w:vAlign w:val="center"/>
            <w:hideMark/>
          </w:tcPr>
          <w:p w14:paraId="6475E77E" w14:textId="1610D15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800,000 </w:t>
            </w:r>
          </w:p>
        </w:tc>
        <w:tc>
          <w:tcPr>
            <w:tcW w:w="1400" w:type="dxa"/>
            <w:tcBorders>
              <w:top w:val="nil"/>
              <w:left w:val="nil"/>
              <w:bottom w:val="single" w:sz="4" w:space="0" w:color="auto"/>
              <w:right w:val="nil"/>
            </w:tcBorders>
            <w:shd w:val="clear" w:color="000000" w:fill="FFFFFF"/>
            <w:noWrap/>
            <w:vAlign w:val="center"/>
            <w:hideMark/>
          </w:tcPr>
          <w:p w14:paraId="1A3EB081" w14:textId="1E3BC043"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0.050 </w:t>
            </w:r>
          </w:p>
        </w:tc>
        <w:tc>
          <w:tcPr>
            <w:tcW w:w="1400" w:type="dxa"/>
            <w:tcBorders>
              <w:top w:val="nil"/>
              <w:left w:val="nil"/>
              <w:bottom w:val="single" w:sz="4" w:space="0" w:color="auto"/>
              <w:right w:val="nil"/>
            </w:tcBorders>
            <w:shd w:val="clear" w:color="000000" w:fill="FFFFFF"/>
            <w:noWrap/>
            <w:vAlign w:val="center"/>
            <w:hideMark/>
          </w:tcPr>
          <w:p w14:paraId="720615A2" w14:textId="11A667D3"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9.47 </w:t>
            </w:r>
          </w:p>
        </w:tc>
        <w:tc>
          <w:tcPr>
            <w:tcW w:w="1400" w:type="dxa"/>
            <w:tcBorders>
              <w:top w:val="nil"/>
              <w:left w:val="nil"/>
              <w:bottom w:val="single" w:sz="4" w:space="0" w:color="auto"/>
              <w:right w:val="nil"/>
            </w:tcBorders>
            <w:shd w:val="clear" w:color="000000" w:fill="FFFFFF"/>
            <w:noWrap/>
            <w:vAlign w:val="center"/>
            <w:hideMark/>
          </w:tcPr>
          <w:p w14:paraId="6E78E0B5" w14:textId="694AC20F" w:rsidR="000B27B6" w:rsidRPr="000B27B6" w:rsidRDefault="000B27B6" w:rsidP="00C2450A">
            <w:pPr>
              <w:ind w:right="125"/>
              <w:jc w:val="right"/>
              <w:rPr>
                <w:rFonts w:ascii="Calibri" w:hAnsi="Calibri" w:cs="Calibri"/>
                <w:color w:val="000000"/>
                <w:szCs w:val="20"/>
                <w:lang w:val="en-CA" w:eastAsia="en-CA"/>
              </w:rPr>
            </w:pPr>
            <w:r w:rsidRPr="000B27B6">
              <w:rPr>
                <w:rFonts w:ascii="Calibri" w:hAnsi="Calibri" w:cs="Calibri"/>
                <w:color w:val="000000"/>
                <w:szCs w:val="20"/>
                <w:lang w:val="en-CA" w:eastAsia="en-CA"/>
              </w:rPr>
              <w:t xml:space="preserve">   -   </w:t>
            </w:r>
          </w:p>
        </w:tc>
      </w:tr>
      <w:tr w:rsidR="000B27B6" w:rsidRPr="000B27B6" w14:paraId="05F25928" w14:textId="77777777" w:rsidTr="006564CA">
        <w:trPr>
          <w:trHeight w:val="288"/>
          <w:jc w:val="center"/>
        </w:trPr>
        <w:tc>
          <w:tcPr>
            <w:tcW w:w="2410" w:type="dxa"/>
            <w:tcBorders>
              <w:top w:val="single" w:sz="4" w:space="0" w:color="auto"/>
              <w:left w:val="nil"/>
              <w:bottom w:val="single" w:sz="12" w:space="0" w:color="auto"/>
              <w:right w:val="nil"/>
            </w:tcBorders>
            <w:shd w:val="clear" w:color="auto" w:fill="auto"/>
            <w:noWrap/>
            <w:vAlign w:val="center"/>
            <w:hideMark/>
          </w:tcPr>
          <w:p w14:paraId="07956C88" w14:textId="77777777" w:rsidR="000B27B6" w:rsidRPr="000B27B6" w:rsidRDefault="000B27B6" w:rsidP="000B27B6">
            <w:pPr>
              <w:jc w:val="right"/>
              <w:rPr>
                <w:rFonts w:ascii="Calibri" w:hAnsi="Calibri" w:cs="Calibri"/>
                <w:color w:val="000000"/>
                <w:szCs w:val="20"/>
                <w:lang w:val="en-CA" w:eastAsia="en-CA"/>
              </w:rPr>
            </w:pPr>
            <w:r w:rsidRPr="000B27B6">
              <w:rPr>
                <w:rFonts w:ascii="Calibri" w:hAnsi="Calibri" w:cs="Calibri"/>
                <w:color w:val="000000"/>
                <w:szCs w:val="20"/>
                <w:lang w:val="en-CA" w:eastAsia="en-CA"/>
              </w:rPr>
              <w:t> </w:t>
            </w:r>
          </w:p>
        </w:tc>
        <w:tc>
          <w:tcPr>
            <w:tcW w:w="1460" w:type="dxa"/>
            <w:tcBorders>
              <w:top w:val="single" w:sz="4" w:space="0" w:color="auto"/>
              <w:left w:val="nil"/>
              <w:bottom w:val="single" w:sz="12" w:space="0" w:color="auto"/>
              <w:right w:val="nil"/>
            </w:tcBorders>
            <w:shd w:val="clear" w:color="auto" w:fill="auto"/>
            <w:noWrap/>
            <w:vAlign w:val="center"/>
            <w:hideMark/>
          </w:tcPr>
          <w:p w14:paraId="0A7149C4" w14:textId="296DB357" w:rsidR="000B27B6" w:rsidRPr="000B27B6" w:rsidRDefault="000B27B6" w:rsidP="000B27B6">
            <w:pPr>
              <w:jc w:val="right"/>
              <w:rPr>
                <w:rFonts w:ascii="Calibri" w:hAnsi="Calibri" w:cs="Calibri"/>
                <w:b/>
                <w:bCs/>
                <w:color w:val="000000"/>
                <w:szCs w:val="20"/>
                <w:lang w:val="en-CA" w:eastAsia="en-CA"/>
              </w:rPr>
            </w:pPr>
            <w:r w:rsidRPr="000B27B6">
              <w:rPr>
                <w:rFonts w:ascii="Calibri" w:hAnsi="Calibri" w:cs="Calibri"/>
                <w:b/>
                <w:bCs/>
                <w:color w:val="000000"/>
                <w:szCs w:val="20"/>
                <w:lang w:val="en-CA" w:eastAsia="en-CA"/>
              </w:rPr>
              <w:t xml:space="preserve">7,475,863 </w:t>
            </w:r>
          </w:p>
        </w:tc>
        <w:tc>
          <w:tcPr>
            <w:tcW w:w="1400" w:type="dxa"/>
            <w:tcBorders>
              <w:top w:val="single" w:sz="4" w:space="0" w:color="auto"/>
              <w:left w:val="nil"/>
              <w:bottom w:val="single" w:sz="12" w:space="0" w:color="auto"/>
              <w:right w:val="nil"/>
            </w:tcBorders>
            <w:shd w:val="clear" w:color="auto" w:fill="auto"/>
            <w:noWrap/>
            <w:vAlign w:val="center"/>
            <w:hideMark/>
          </w:tcPr>
          <w:p w14:paraId="3727AC0F" w14:textId="56FDD95E" w:rsidR="000B27B6" w:rsidRPr="000B27B6" w:rsidRDefault="000B27B6" w:rsidP="000B27B6">
            <w:pPr>
              <w:jc w:val="right"/>
              <w:rPr>
                <w:rFonts w:ascii="Calibri" w:hAnsi="Calibri" w:cs="Calibri"/>
                <w:b/>
                <w:bCs/>
                <w:color w:val="000000"/>
                <w:szCs w:val="20"/>
                <w:lang w:val="en-CA" w:eastAsia="en-CA"/>
              </w:rPr>
            </w:pPr>
            <w:r w:rsidRPr="000B27B6">
              <w:rPr>
                <w:rFonts w:ascii="Calibri" w:hAnsi="Calibri" w:cs="Calibri"/>
                <w:b/>
                <w:bCs/>
                <w:color w:val="000000"/>
                <w:szCs w:val="20"/>
                <w:lang w:val="en-CA" w:eastAsia="en-CA"/>
              </w:rPr>
              <w:t xml:space="preserve">   0.187 </w:t>
            </w:r>
          </w:p>
        </w:tc>
        <w:tc>
          <w:tcPr>
            <w:tcW w:w="1400" w:type="dxa"/>
            <w:tcBorders>
              <w:top w:val="single" w:sz="4" w:space="0" w:color="auto"/>
              <w:left w:val="nil"/>
              <w:bottom w:val="single" w:sz="12" w:space="0" w:color="auto"/>
              <w:right w:val="nil"/>
            </w:tcBorders>
            <w:shd w:val="clear" w:color="auto" w:fill="auto"/>
            <w:noWrap/>
            <w:vAlign w:val="center"/>
            <w:hideMark/>
          </w:tcPr>
          <w:p w14:paraId="08009CB6" w14:textId="6388C97B" w:rsidR="000B27B6" w:rsidRPr="000B27B6" w:rsidRDefault="000B27B6" w:rsidP="000B27B6">
            <w:pPr>
              <w:jc w:val="right"/>
              <w:rPr>
                <w:rFonts w:ascii="Calibri" w:hAnsi="Calibri" w:cs="Calibri"/>
                <w:b/>
                <w:bCs/>
                <w:color w:val="000000"/>
                <w:szCs w:val="20"/>
                <w:lang w:val="en-CA" w:eastAsia="en-CA"/>
              </w:rPr>
            </w:pPr>
            <w:r w:rsidRPr="000B27B6">
              <w:rPr>
                <w:rFonts w:ascii="Calibri" w:hAnsi="Calibri" w:cs="Calibri"/>
                <w:b/>
                <w:bCs/>
                <w:color w:val="000000"/>
                <w:szCs w:val="20"/>
                <w:lang w:val="en-CA" w:eastAsia="en-CA"/>
              </w:rPr>
              <w:t xml:space="preserve">   6.66 </w:t>
            </w:r>
          </w:p>
        </w:tc>
        <w:tc>
          <w:tcPr>
            <w:tcW w:w="1400" w:type="dxa"/>
            <w:tcBorders>
              <w:top w:val="single" w:sz="4" w:space="0" w:color="auto"/>
              <w:left w:val="nil"/>
              <w:bottom w:val="single" w:sz="12" w:space="0" w:color="auto"/>
              <w:right w:val="nil"/>
            </w:tcBorders>
            <w:shd w:val="clear" w:color="auto" w:fill="auto"/>
            <w:noWrap/>
            <w:vAlign w:val="center"/>
            <w:hideMark/>
          </w:tcPr>
          <w:p w14:paraId="1A889CC1" w14:textId="4E116663" w:rsidR="000B27B6" w:rsidRPr="000B27B6" w:rsidRDefault="000B27B6" w:rsidP="000B27B6">
            <w:pPr>
              <w:jc w:val="right"/>
              <w:rPr>
                <w:rFonts w:ascii="Calibri" w:hAnsi="Calibri" w:cs="Calibri"/>
                <w:b/>
                <w:bCs/>
                <w:color w:val="000000"/>
                <w:szCs w:val="20"/>
                <w:lang w:val="en-CA" w:eastAsia="en-CA"/>
              </w:rPr>
            </w:pPr>
            <w:r w:rsidRPr="000B27B6">
              <w:rPr>
                <w:rFonts w:ascii="Calibri" w:hAnsi="Calibri" w:cs="Calibri"/>
                <w:b/>
                <w:bCs/>
                <w:color w:val="000000"/>
                <w:szCs w:val="20"/>
                <w:lang w:val="en-CA" w:eastAsia="en-CA"/>
              </w:rPr>
              <w:t xml:space="preserve">  3,432,113 </w:t>
            </w:r>
          </w:p>
        </w:tc>
      </w:tr>
    </w:tbl>
    <w:p w14:paraId="0553F59C" w14:textId="77777777" w:rsidR="007768A9" w:rsidRPr="00FC2211" w:rsidRDefault="007768A9" w:rsidP="007768A9">
      <w:pPr>
        <w:pStyle w:val="Heading1"/>
        <w:rPr>
          <w:rFonts w:cstheme="minorHAnsi"/>
          <w:szCs w:val="20"/>
          <w:lang w:val="en-GB"/>
        </w:rPr>
      </w:pPr>
      <w:r w:rsidRPr="00FC2211">
        <w:rPr>
          <w:rFonts w:cstheme="minorHAnsi"/>
          <w:szCs w:val="20"/>
          <w:lang w:val="en-GB"/>
        </w:rPr>
        <w:lastRenderedPageBreak/>
        <w:t>1</w:t>
      </w:r>
      <w:r>
        <w:rPr>
          <w:rFonts w:cstheme="minorHAnsi"/>
          <w:szCs w:val="20"/>
          <w:lang w:val="en-GB"/>
        </w:rPr>
        <w:t>6</w:t>
      </w:r>
      <w:r w:rsidRPr="00FC2211">
        <w:rPr>
          <w:rFonts w:cstheme="minorHAnsi"/>
          <w:szCs w:val="20"/>
          <w:lang w:val="en-GB"/>
        </w:rPr>
        <w:t>.   SHARE CAPITAL AND RESERVES (CONTINUED)</w:t>
      </w:r>
    </w:p>
    <w:p w14:paraId="01021A66" w14:textId="77777777" w:rsidR="007768A9" w:rsidRPr="00FC2211" w:rsidRDefault="007768A9" w:rsidP="007768A9">
      <w:pPr>
        <w:widowControl w:val="0"/>
        <w:autoSpaceDE w:val="0"/>
        <w:autoSpaceDN w:val="0"/>
        <w:ind w:left="360" w:firstLine="14"/>
        <w:outlineLvl w:val="1"/>
        <w:rPr>
          <w:rFonts w:eastAsia="Calibri" w:cstheme="minorHAnsi"/>
          <w:b/>
          <w:bCs/>
          <w:szCs w:val="20"/>
        </w:rPr>
      </w:pPr>
      <w:r w:rsidRPr="00FC2211">
        <w:rPr>
          <w:rFonts w:eastAsia="Calibri" w:cstheme="minorHAnsi"/>
          <w:b/>
          <w:bCs/>
          <w:szCs w:val="20"/>
        </w:rPr>
        <w:t>Stock options (continued)</w:t>
      </w:r>
    </w:p>
    <w:p w14:paraId="0DB105E9" w14:textId="77777777" w:rsidR="007768A9" w:rsidRDefault="007768A9" w:rsidP="00FA63EE">
      <w:pPr>
        <w:ind w:left="426"/>
        <w:rPr>
          <w:rFonts w:cstheme="minorHAnsi"/>
          <w:szCs w:val="20"/>
        </w:rPr>
      </w:pPr>
    </w:p>
    <w:p w14:paraId="23B87478" w14:textId="62FC8CC3" w:rsidR="00D67793" w:rsidRPr="00FC2211" w:rsidRDefault="009910BD" w:rsidP="00FA63EE">
      <w:pPr>
        <w:ind w:left="426"/>
        <w:rPr>
          <w:rFonts w:cstheme="minorHAnsi"/>
          <w:szCs w:val="20"/>
        </w:rPr>
      </w:pPr>
      <w:r w:rsidRPr="00FC2211">
        <w:rPr>
          <w:rFonts w:cstheme="minorHAnsi"/>
          <w:szCs w:val="20"/>
        </w:rPr>
        <w:t xml:space="preserve">During </w:t>
      </w:r>
      <w:r w:rsidR="00CB7421" w:rsidRPr="00FC2211">
        <w:rPr>
          <w:rFonts w:cstheme="minorHAnsi"/>
          <w:szCs w:val="20"/>
        </w:rPr>
        <w:t xml:space="preserve">the </w:t>
      </w:r>
      <w:r w:rsidR="00167A4B">
        <w:rPr>
          <w:rFonts w:cstheme="minorHAnsi"/>
          <w:szCs w:val="20"/>
        </w:rPr>
        <w:t>nine</w:t>
      </w:r>
      <w:r w:rsidR="00CB7421" w:rsidRPr="00FC2211">
        <w:rPr>
          <w:rFonts w:cstheme="minorHAnsi"/>
          <w:szCs w:val="20"/>
        </w:rPr>
        <w:t xml:space="preserve"> months </w:t>
      </w:r>
      <w:r w:rsidR="00417438" w:rsidRPr="00FC2211">
        <w:rPr>
          <w:rFonts w:cstheme="minorHAnsi"/>
          <w:szCs w:val="20"/>
        </w:rPr>
        <w:t>ended</w:t>
      </w:r>
      <w:r w:rsidR="009B3E3A" w:rsidRPr="00FC2211">
        <w:rPr>
          <w:rFonts w:cstheme="minorHAnsi"/>
          <w:szCs w:val="20"/>
        </w:rPr>
        <w:t xml:space="preserve"> </w:t>
      </w:r>
      <w:r w:rsidR="00167A4B">
        <w:rPr>
          <w:rFonts w:cstheme="minorHAnsi"/>
          <w:szCs w:val="20"/>
        </w:rPr>
        <w:t>March 31, 2024</w:t>
      </w:r>
      <w:r w:rsidR="00A072D4" w:rsidRPr="00FC2211">
        <w:rPr>
          <w:rFonts w:cstheme="minorHAnsi"/>
          <w:szCs w:val="20"/>
        </w:rPr>
        <w:t>, the Company recognized s</w:t>
      </w:r>
      <w:r w:rsidR="00FF4A07" w:rsidRPr="00FC2211">
        <w:rPr>
          <w:rFonts w:cstheme="minorHAnsi"/>
          <w:szCs w:val="20"/>
        </w:rPr>
        <w:t>tock</w:t>
      </w:r>
      <w:r w:rsidR="00A072D4" w:rsidRPr="00FC2211">
        <w:rPr>
          <w:rFonts w:cstheme="minorHAnsi"/>
          <w:szCs w:val="20"/>
        </w:rPr>
        <w:t>-based compensation related to stock options of $</w:t>
      </w:r>
      <w:r w:rsidR="009A7CFB">
        <w:rPr>
          <w:rFonts w:cstheme="minorHAnsi"/>
          <w:szCs w:val="20"/>
        </w:rPr>
        <w:t>211</w:t>
      </w:r>
      <w:r w:rsidR="00462583" w:rsidRPr="00FC2211">
        <w:rPr>
          <w:rFonts w:cstheme="minorHAnsi"/>
          <w:szCs w:val="20"/>
        </w:rPr>
        <w:t>,</w:t>
      </w:r>
      <w:r w:rsidR="009A7CFB">
        <w:rPr>
          <w:rFonts w:cstheme="minorHAnsi"/>
          <w:szCs w:val="20"/>
        </w:rPr>
        <w:t>269</w:t>
      </w:r>
      <w:r w:rsidR="00D1527A" w:rsidRPr="00FC2211">
        <w:rPr>
          <w:rFonts w:cstheme="minorHAnsi"/>
          <w:szCs w:val="20"/>
        </w:rPr>
        <w:t xml:space="preserve"> </w:t>
      </w:r>
      <w:r w:rsidR="00A072D4" w:rsidRPr="00FC2211">
        <w:rPr>
          <w:rFonts w:cstheme="minorHAnsi"/>
          <w:szCs w:val="20"/>
        </w:rPr>
        <w:t>(</w:t>
      </w:r>
      <w:r w:rsidR="009A7CFB">
        <w:rPr>
          <w:rFonts w:cstheme="minorHAnsi"/>
          <w:szCs w:val="20"/>
        </w:rPr>
        <w:t>March 31, 2023</w:t>
      </w:r>
      <w:r w:rsidR="00780EC1" w:rsidRPr="00FC2211">
        <w:rPr>
          <w:rFonts w:cstheme="minorHAnsi"/>
          <w:szCs w:val="20"/>
        </w:rPr>
        <w:t xml:space="preserve"> </w:t>
      </w:r>
      <w:r w:rsidR="00B92AB3" w:rsidRPr="00FC2211">
        <w:rPr>
          <w:rFonts w:cstheme="minorHAnsi"/>
          <w:szCs w:val="20"/>
        </w:rPr>
        <w:t xml:space="preserve">- </w:t>
      </w:r>
      <w:r w:rsidR="00A072D4" w:rsidRPr="00FC2211">
        <w:rPr>
          <w:rFonts w:cstheme="minorHAnsi"/>
          <w:szCs w:val="20"/>
        </w:rPr>
        <w:t>$</w:t>
      </w:r>
      <w:r w:rsidR="00C41399">
        <w:rPr>
          <w:rFonts w:cstheme="minorHAnsi"/>
          <w:szCs w:val="20"/>
        </w:rPr>
        <w:t>55,477</w:t>
      </w:r>
      <w:r w:rsidR="00A072D4" w:rsidRPr="00FC2211">
        <w:rPr>
          <w:rFonts w:cstheme="minorHAnsi"/>
          <w:szCs w:val="20"/>
        </w:rPr>
        <w:t xml:space="preserve">). </w:t>
      </w:r>
      <w:r w:rsidR="0019313A" w:rsidRPr="00FC2211">
        <w:rPr>
          <w:rFonts w:cstheme="minorHAnsi"/>
          <w:szCs w:val="20"/>
        </w:rPr>
        <w:t>The fair value of stock options granted was determined using the Black-Scholes Option Pricing Model using the following assumptions:</w:t>
      </w:r>
    </w:p>
    <w:p w14:paraId="3C9525EF" w14:textId="77777777" w:rsidR="00491503" w:rsidRPr="00FC2211" w:rsidRDefault="00491503" w:rsidP="00FA63EE">
      <w:pPr>
        <w:ind w:left="426"/>
        <w:rPr>
          <w:rFonts w:cstheme="minorHAnsi"/>
          <w:szCs w:val="20"/>
        </w:rPr>
      </w:pPr>
    </w:p>
    <w:tbl>
      <w:tblPr>
        <w:tblW w:w="7797" w:type="dxa"/>
        <w:jc w:val="center"/>
        <w:tblLook w:val="04A0" w:firstRow="1" w:lastRow="0" w:firstColumn="1" w:lastColumn="0" w:noHBand="0" w:noVBand="1"/>
      </w:tblPr>
      <w:tblGrid>
        <w:gridCol w:w="4253"/>
        <w:gridCol w:w="1984"/>
        <w:gridCol w:w="1560"/>
      </w:tblGrid>
      <w:tr w:rsidR="00EF58FB" w:rsidRPr="00FC2211" w14:paraId="7CFEC32E" w14:textId="77777777" w:rsidTr="00617D28">
        <w:trPr>
          <w:trHeight w:val="288"/>
          <w:jc w:val="center"/>
        </w:trPr>
        <w:tc>
          <w:tcPr>
            <w:tcW w:w="4253" w:type="dxa"/>
            <w:tcBorders>
              <w:top w:val="nil"/>
              <w:left w:val="nil"/>
              <w:bottom w:val="single" w:sz="12" w:space="0" w:color="auto"/>
              <w:right w:val="nil"/>
            </w:tcBorders>
            <w:shd w:val="clear" w:color="auto" w:fill="auto"/>
            <w:hideMark/>
          </w:tcPr>
          <w:p w14:paraId="19CCC239" w14:textId="77777777" w:rsidR="00EF58FB" w:rsidRPr="00FC2211" w:rsidRDefault="00EF58FB" w:rsidP="00EF58FB">
            <w:pPr>
              <w:rPr>
                <w:rFonts w:ascii="Times New Roman" w:hAnsi="Times New Roman"/>
                <w:color w:val="000000"/>
                <w:szCs w:val="20"/>
                <w:lang w:val="en-CA" w:eastAsia="en-CA"/>
              </w:rPr>
            </w:pPr>
            <w:r w:rsidRPr="00FC2211">
              <w:rPr>
                <w:rFonts w:ascii="Times New Roman" w:hAnsi="Times New Roman"/>
                <w:color w:val="000000"/>
                <w:szCs w:val="20"/>
                <w:lang w:val="en-CA" w:eastAsia="en-CA"/>
              </w:rPr>
              <w:t> </w:t>
            </w:r>
          </w:p>
        </w:tc>
        <w:tc>
          <w:tcPr>
            <w:tcW w:w="1984" w:type="dxa"/>
            <w:tcBorders>
              <w:top w:val="nil"/>
              <w:left w:val="nil"/>
              <w:bottom w:val="single" w:sz="12" w:space="0" w:color="auto"/>
              <w:right w:val="nil"/>
            </w:tcBorders>
            <w:shd w:val="clear" w:color="auto" w:fill="auto"/>
            <w:vAlign w:val="center"/>
            <w:hideMark/>
          </w:tcPr>
          <w:p w14:paraId="5F43B688" w14:textId="497483DA" w:rsidR="00EF58FB" w:rsidRPr="00FC2211" w:rsidRDefault="00321EE1" w:rsidP="00EF58FB">
            <w:pPr>
              <w:jc w:val="right"/>
              <w:rPr>
                <w:rFonts w:ascii="Calibri" w:hAnsi="Calibri" w:cs="Calibri"/>
                <w:b/>
                <w:bCs/>
                <w:color w:val="000000"/>
                <w:szCs w:val="20"/>
                <w:lang w:val="en-CA" w:eastAsia="en-CA"/>
              </w:rPr>
            </w:pPr>
            <w:r>
              <w:rPr>
                <w:rFonts w:ascii="Calibri" w:hAnsi="Calibri" w:cs="Calibri"/>
                <w:b/>
                <w:bCs/>
                <w:color w:val="000000"/>
                <w:szCs w:val="20"/>
                <w:lang w:val="en-CA" w:eastAsia="en-CA"/>
              </w:rPr>
              <w:t>March</w:t>
            </w:r>
            <w:r w:rsidR="00493F0F" w:rsidRPr="00FC2211">
              <w:rPr>
                <w:rFonts w:ascii="Calibri" w:hAnsi="Calibri" w:cs="Calibri"/>
                <w:b/>
                <w:bCs/>
                <w:color w:val="000000"/>
                <w:szCs w:val="20"/>
                <w:lang w:val="en-CA" w:eastAsia="en-CA"/>
              </w:rPr>
              <w:t xml:space="preserve"> 31, 202</w:t>
            </w:r>
            <w:r>
              <w:rPr>
                <w:rFonts w:ascii="Calibri" w:hAnsi="Calibri" w:cs="Calibri"/>
                <w:b/>
                <w:bCs/>
                <w:color w:val="000000"/>
                <w:szCs w:val="20"/>
                <w:lang w:val="en-CA" w:eastAsia="en-CA"/>
              </w:rPr>
              <w:t>4</w:t>
            </w:r>
          </w:p>
        </w:tc>
        <w:tc>
          <w:tcPr>
            <w:tcW w:w="1560" w:type="dxa"/>
            <w:tcBorders>
              <w:top w:val="nil"/>
              <w:left w:val="nil"/>
              <w:bottom w:val="single" w:sz="12" w:space="0" w:color="auto"/>
              <w:right w:val="nil"/>
            </w:tcBorders>
            <w:shd w:val="clear" w:color="auto" w:fill="auto"/>
            <w:vAlign w:val="center"/>
            <w:hideMark/>
          </w:tcPr>
          <w:p w14:paraId="43BE7797"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EF58FB" w:rsidRPr="00FC2211" w14:paraId="6C458537" w14:textId="77777777" w:rsidTr="00617D28">
        <w:trPr>
          <w:trHeight w:val="276"/>
          <w:jc w:val="center"/>
        </w:trPr>
        <w:tc>
          <w:tcPr>
            <w:tcW w:w="4253" w:type="dxa"/>
            <w:tcBorders>
              <w:top w:val="single" w:sz="12" w:space="0" w:color="auto"/>
              <w:left w:val="nil"/>
              <w:bottom w:val="nil"/>
              <w:right w:val="nil"/>
            </w:tcBorders>
            <w:shd w:val="clear" w:color="auto" w:fill="auto"/>
            <w:vAlign w:val="center"/>
            <w:hideMark/>
          </w:tcPr>
          <w:p w14:paraId="5492A80E"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Expected life of options</w:t>
            </w:r>
          </w:p>
        </w:tc>
        <w:tc>
          <w:tcPr>
            <w:tcW w:w="1984" w:type="dxa"/>
            <w:tcBorders>
              <w:top w:val="single" w:sz="12" w:space="0" w:color="auto"/>
              <w:left w:val="nil"/>
              <w:bottom w:val="nil"/>
              <w:right w:val="nil"/>
            </w:tcBorders>
            <w:shd w:val="clear" w:color="auto" w:fill="auto"/>
            <w:vAlign w:val="center"/>
            <w:hideMark/>
          </w:tcPr>
          <w:p w14:paraId="1946141B" w14:textId="7777777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10 years</w:t>
            </w:r>
          </w:p>
        </w:tc>
        <w:tc>
          <w:tcPr>
            <w:tcW w:w="1560" w:type="dxa"/>
            <w:tcBorders>
              <w:top w:val="single" w:sz="12" w:space="0" w:color="auto"/>
              <w:left w:val="nil"/>
              <w:bottom w:val="nil"/>
              <w:right w:val="nil"/>
            </w:tcBorders>
            <w:shd w:val="clear" w:color="auto" w:fill="auto"/>
            <w:vAlign w:val="center"/>
            <w:hideMark/>
          </w:tcPr>
          <w:p w14:paraId="307DFC51"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10 years</w:t>
            </w:r>
          </w:p>
        </w:tc>
      </w:tr>
      <w:tr w:rsidR="00EF58FB" w:rsidRPr="00FC2211" w14:paraId="43E64D4A" w14:textId="77777777" w:rsidTr="00EF58FB">
        <w:trPr>
          <w:trHeight w:val="276"/>
          <w:jc w:val="center"/>
        </w:trPr>
        <w:tc>
          <w:tcPr>
            <w:tcW w:w="4253" w:type="dxa"/>
            <w:tcBorders>
              <w:top w:val="nil"/>
              <w:left w:val="nil"/>
              <w:bottom w:val="nil"/>
              <w:right w:val="nil"/>
            </w:tcBorders>
            <w:shd w:val="clear" w:color="auto" w:fill="auto"/>
            <w:vAlign w:val="center"/>
            <w:hideMark/>
          </w:tcPr>
          <w:p w14:paraId="42148E5C"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Annualized volatility</w:t>
            </w:r>
          </w:p>
        </w:tc>
        <w:tc>
          <w:tcPr>
            <w:tcW w:w="1984" w:type="dxa"/>
            <w:tcBorders>
              <w:top w:val="nil"/>
              <w:left w:val="nil"/>
              <w:bottom w:val="nil"/>
              <w:right w:val="nil"/>
            </w:tcBorders>
            <w:shd w:val="clear" w:color="auto" w:fill="auto"/>
            <w:vAlign w:val="center"/>
            <w:hideMark/>
          </w:tcPr>
          <w:p w14:paraId="29A6312C" w14:textId="7777777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106%</w:t>
            </w:r>
          </w:p>
        </w:tc>
        <w:tc>
          <w:tcPr>
            <w:tcW w:w="1560" w:type="dxa"/>
            <w:tcBorders>
              <w:top w:val="nil"/>
              <w:left w:val="nil"/>
              <w:bottom w:val="nil"/>
              <w:right w:val="nil"/>
            </w:tcBorders>
            <w:shd w:val="clear" w:color="auto" w:fill="auto"/>
            <w:vAlign w:val="center"/>
            <w:hideMark/>
          </w:tcPr>
          <w:p w14:paraId="67B91EFA"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106%</w:t>
            </w:r>
          </w:p>
        </w:tc>
      </w:tr>
      <w:tr w:rsidR="00EF58FB" w:rsidRPr="00FC2211" w14:paraId="02A5DEFB" w14:textId="77777777" w:rsidTr="00EF58FB">
        <w:trPr>
          <w:trHeight w:val="276"/>
          <w:jc w:val="center"/>
        </w:trPr>
        <w:tc>
          <w:tcPr>
            <w:tcW w:w="4253" w:type="dxa"/>
            <w:tcBorders>
              <w:top w:val="nil"/>
              <w:left w:val="nil"/>
              <w:bottom w:val="nil"/>
              <w:right w:val="nil"/>
            </w:tcBorders>
            <w:shd w:val="clear" w:color="auto" w:fill="auto"/>
            <w:vAlign w:val="center"/>
            <w:hideMark/>
          </w:tcPr>
          <w:p w14:paraId="752FDC02"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Risk-free interest rate</w:t>
            </w:r>
          </w:p>
        </w:tc>
        <w:tc>
          <w:tcPr>
            <w:tcW w:w="1984" w:type="dxa"/>
            <w:tcBorders>
              <w:top w:val="nil"/>
              <w:left w:val="nil"/>
              <w:bottom w:val="nil"/>
              <w:right w:val="nil"/>
            </w:tcBorders>
            <w:shd w:val="clear" w:color="auto" w:fill="auto"/>
            <w:vAlign w:val="center"/>
            <w:hideMark/>
          </w:tcPr>
          <w:p w14:paraId="4818278C" w14:textId="7777777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3.75%</w:t>
            </w:r>
          </w:p>
        </w:tc>
        <w:tc>
          <w:tcPr>
            <w:tcW w:w="1560" w:type="dxa"/>
            <w:tcBorders>
              <w:top w:val="nil"/>
              <w:left w:val="nil"/>
              <w:bottom w:val="nil"/>
              <w:right w:val="nil"/>
            </w:tcBorders>
            <w:shd w:val="clear" w:color="auto" w:fill="auto"/>
            <w:vAlign w:val="center"/>
            <w:hideMark/>
          </w:tcPr>
          <w:p w14:paraId="61B1F236"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3.33%</w:t>
            </w:r>
          </w:p>
        </w:tc>
      </w:tr>
      <w:tr w:rsidR="00EF58FB" w:rsidRPr="00FC2211" w14:paraId="61228EDB" w14:textId="77777777" w:rsidTr="00EF58FB">
        <w:trPr>
          <w:trHeight w:val="276"/>
          <w:jc w:val="center"/>
        </w:trPr>
        <w:tc>
          <w:tcPr>
            <w:tcW w:w="4253" w:type="dxa"/>
            <w:tcBorders>
              <w:top w:val="nil"/>
              <w:left w:val="nil"/>
              <w:bottom w:val="nil"/>
              <w:right w:val="nil"/>
            </w:tcBorders>
            <w:shd w:val="clear" w:color="auto" w:fill="auto"/>
            <w:vAlign w:val="center"/>
            <w:hideMark/>
          </w:tcPr>
          <w:p w14:paraId="30680319"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Dividend rate</w:t>
            </w:r>
          </w:p>
        </w:tc>
        <w:tc>
          <w:tcPr>
            <w:tcW w:w="1984" w:type="dxa"/>
            <w:tcBorders>
              <w:top w:val="nil"/>
              <w:left w:val="nil"/>
              <w:bottom w:val="nil"/>
              <w:right w:val="nil"/>
            </w:tcBorders>
            <w:shd w:val="clear" w:color="auto" w:fill="auto"/>
            <w:vAlign w:val="center"/>
            <w:hideMark/>
          </w:tcPr>
          <w:p w14:paraId="214BAD9A" w14:textId="7777777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0%</w:t>
            </w:r>
          </w:p>
        </w:tc>
        <w:tc>
          <w:tcPr>
            <w:tcW w:w="1560" w:type="dxa"/>
            <w:tcBorders>
              <w:top w:val="nil"/>
              <w:left w:val="nil"/>
              <w:bottom w:val="nil"/>
              <w:right w:val="nil"/>
            </w:tcBorders>
            <w:shd w:val="clear" w:color="auto" w:fill="auto"/>
            <w:vAlign w:val="center"/>
            <w:hideMark/>
          </w:tcPr>
          <w:p w14:paraId="6F4FBD6A"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0%</w:t>
            </w:r>
          </w:p>
        </w:tc>
      </w:tr>
      <w:tr w:rsidR="00EF58FB" w:rsidRPr="00FC2211" w14:paraId="4F2E3E0F" w14:textId="77777777" w:rsidTr="00AA29FB">
        <w:trPr>
          <w:trHeight w:val="276"/>
          <w:jc w:val="center"/>
        </w:trPr>
        <w:tc>
          <w:tcPr>
            <w:tcW w:w="4253" w:type="dxa"/>
            <w:tcBorders>
              <w:top w:val="nil"/>
              <w:left w:val="nil"/>
              <w:right w:val="nil"/>
            </w:tcBorders>
            <w:shd w:val="clear" w:color="auto" w:fill="auto"/>
            <w:vAlign w:val="center"/>
            <w:hideMark/>
          </w:tcPr>
          <w:p w14:paraId="05CF5170"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Weighted average fair value per option granted</w:t>
            </w:r>
          </w:p>
        </w:tc>
        <w:tc>
          <w:tcPr>
            <w:tcW w:w="1984" w:type="dxa"/>
            <w:tcBorders>
              <w:top w:val="nil"/>
              <w:left w:val="nil"/>
              <w:right w:val="nil"/>
            </w:tcBorders>
            <w:shd w:val="clear" w:color="auto" w:fill="auto"/>
            <w:vAlign w:val="center"/>
            <w:hideMark/>
          </w:tcPr>
          <w:p w14:paraId="7D73DC0C" w14:textId="5187CF21"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0.05 </w:t>
            </w:r>
          </w:p>
        </w:tc>
        <w:tc>
          <w:tcPr>
            <w:tcW w:w="1560" w:type="dxa"/>
            <w:tcBorders>
              <w:top w:val="nil"/>
              <w:left w:val="nil"/>
              <w:right w:val="nil"/>
            </w:tcBorders>
            <w:shd w:val="clear" w:color="auto" w:fill="auto"/>
            <w:vAlign w:val="center"/>
            <w:hideMark/>
          </w:tcPr>
          <w:p w14:paraId="60CDB88F" w14:textId="0200AC1A"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0.11 </w:t>
            </w:r>
          </w:p>
        </w:tc>
      </w:tr>
      <w:tr w:rsidR="00EF58FB" w:rsidRPr="00FC2211" w14:paraId="17DA69B0" w14:textId="77777777" w:rsidTr="00AA29FB">
        <w:trPr>
          <w:trHeight w:val="288"/>
          <w:jc w:val="center"/>
        </w:trPr>
        <w:tc>
          <w:tcPr>
            <w:tcW w:w="4253" w:type="dxa"/>
            <w:tcBorders>
              <w:top w:val="nil"/>
              <w:left w:val="nil"/>
              <w:bottom w:val="single" w:sz="12" w:space="0" w:color="auto"/>
              <w:right w:val="nil"/>
            </w:tcBorders>
            <w:shd w:val="clear" w:color="auto" w:fill="auto"/>
            <w:vAlign w:val="center"/>
            <w:hideMark/>
          </w:tcPr>
          <w:p w14:paraId="3C0FA5CF" w14:textId="236BDAE8"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Stock Price     </w:t>
            </w:r>
          </w:p>
        </w:tc>
        <w:tc>
          <w:tcPr>
            <w:tcW w:w="1984" w:type="dxa"/>
            <w:tcBorders>
              <w:top w:val="nil"/>
              <w:left w:val="nil"/>
              <w:bottom w:val="single" w:sz="12" w:space="0" w:color="auto"/>
              <w:right w:val="nil"/>
            </w:tcBorders>
            <w:shd w:val="clear" w:color="auto" w:fill="auto"/>
            <w:vAlign w:val="center"/>
            <w:hideMark/>
          </w:tcPr>
          <w:p w14:paraId="3F58C04E" w14:textId="3C2C489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0.05 </w:t>
            </w:r>
          </w:p>
        </w:tc>
        <w:tc>
          <w:tcPr>
            <w:tcW w:w="1560" w:type="dxa"/>
            <w:tcBorders>
              <w:top w:val="nil"/>
              <w:left w:val="nil"/>
              <w:bottom w:val="single" w:sz="12" w:space="0" w:color="auto"/>
              <w:right w:val="nil"/>
            </w:tcBorders>
            <w:shd w:val="clear" w:color="auto" w:fill="auto"/>
            <w:vAlign w:val="center"/>
            <w:hideMark/>
          </w:tcPr>
          <w:p w14:paraId="4AD63C76" w14:textId="0C9E9E51"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0.12 </w:t>
            </w:r>
          </w:p>
        </w:tc>
      </w:tr>
    </w:tbl>
    <w:p w14:paraId="6BB6436D" w14:textId="77777777" w:rsidR="00FE21DE" w:rsidRPr="00FC2211" w:rsidRDefault="00FE21DE" w:rsidP="007335A5">
      <w:pPr>
        <w:tabs>
          <w:tab w:val="left" w:pos="357"/>
        </w:tabs>
        <w:ind w:left="357"/>
        <w:rPr>
          <w:rFonts w:cstheme="minorHAnsi"/>
          <w:szCs w:val="20"/>
        </w:rPr>
      </w:pPr>
    </w:p>
    <w:p w14:paraId="630A0A6E" w14:textId="468FD2C0" w:rsidR="00D67793" w:rsidRPr="00FC2211" w:rsidRDefault="00CD6840" w:rsidP="00D15E06">
      <w:pPr>
        <w:widowControl w:val="0"/>
        <w:autoSpaceDE w:val="0"/>
        <w:autoSpaceDN w:val="0"/>
        <w:ind w:left="360" w:firstLine="14"/>
        <w:outlineLvl w:val="1"/>
        <w:rPr>
          <w:rFonts w:eastAsia="Calibri" w:cstheme="minorHAnsi"/>
          <w:b/>
          <w:bCs/>
          <w:szCs w:val="20"/>
        </w:rPr>
      </w:pPr>
      <w:r w:rsidRPr="00FC2211">
        <w:rPr>
          <w:rFonts w:eastAsia="Calibri" w:cstheme="minorHAnsi"/>
          <w:b/>
          <w:bCs/>
          <w:szCs w:val="20"/>
        </w:rPr>
        <w:t>Warrants</w:t>
      </w:r>
    </w:p>
    <w:p w14:paraId="5E117F83" w14:textId="77777777" w:rsidR="007508BF" w:rsidRPr="00FC2211" w:rsidRDefault="007508BF" w:rsidP="00D15E06">
      <w:pPr>
        <w:widowControl w:val="0"/>
        <w:autoSpaceDE w:val="0"/>
        <w:autoSpaceDN w:val="0"/>
        <w:ind w:left="360" w:firstLine="14"/>
        <w:outlineLvl w:val="1"/>
        <w:rPr>
          <w:rFonts w:eastAsia="Calibri" w:cstheme="minorHAnsi"/>
          <w:b/>
          <w:bCs/>
          <w:szCs w:val="20"/>
        </w:rPr>
      </w:pPr>
    </w:p>
    <w:p w14:paraId="775D9121" w14:textId="1A065D93" w:rsidR="007508BF" w:rsidRPr="00FC2211" w:rsidRDefault="007508BF" w:rsidP="007508BF">
      <w:pPr>
        <w:widowControl w:val="0"/>
        <w:autoSpaceDE w:val="0"/>
        <w:autoSpaceDN w:val="0"/>
        <w:ind w:left="360" w:firstLine="14"/>
        <w:outlineLvl w:val="1"/>
        <w:rPr>
          <w:rFonts w:cstheme="minorHAnsi"/>
          <w:szCs w:val="20"/>
        </w:rPr>
      </w:pPr>
      <w:r w:rsidRPr="00FC2211">
        <w:rPr>
          <w:rFonts w:cstheme="minorHAnsi"/>
          <w:szCs w:val="20"/>
        </w:rPr>
        <w:t xml:space="preserve">The summary of changes in warrants during the </w:t>
      </w:r>
      <w:r w:rsidR="00A91001">
        <w:rPr>
          <w:rFonts w:cstheme="minorHAnsi"/>
          <w:szCs w:val="20"/>
        </w:rPr>
        <w:t>nine</w:t>
      </w:r>
      <w:r w:rsidRPr="00FC2211">
        <w:rPr>
          <w:rFonts w:cstheme="minorHAnsi"/>
          <w:szCs w:val="20"/>
        </w:rPr>
        <w:t xml:space="preserve"> months ended </w:t>
      </w:r>
      <w:r w:rsidR="00A91001">
        <w:rPr>
          <w:rFonts w:cstheme="minorHAnsi"/>
          <w:szCs w:val="20"/>
        </w:rPr>
        <w:t>March 31, 2024</w:t>
      </w:r>
      <w:r w:rsidRPr="00FC2211">
        <w:rPr>
          <w:rFonts w:cstheme="minorHAnsi"/>
          <w:szCs w:val="20"/>
        </w:rPr>
        <w:t>, and the year ended June 30, 202</w:t>
      </w:r>
      <w:r w:rsidR="003A773A" w:rsidRPr="00FC2211">
        <w:rPr>
          <w:rFonts w:cstheme="minorHAnsi"/>
          <w:szCs w:val="20"/>
        </w:rPr>
        <w:t>3</w:t>
      </w:r>
      <w:r w:rsidR="00213BA3" w:rsidRPr="00FC2211">
        <w:rPr>
          <w:rFonts w:cstheme="minorHAnsi"/>
          <w:szCs w:val="20"/>
        </w:rPr>
        <w:t>,</w:t>
      </w:r>
      <w:r w:rsidRPr="00FC2211">
        <w:rPr>
          <w:rFonts w:cstheme="minorHAnsi"/>
          <w:szCs w:val="20"/>
        </w:rPr>
        <w:t xml:space="preserve"> are as follows:</w:t>
      </w:r>
    </w:p>
    <w:tbl>
      <w:tblPr>
        <w:tblW w:w="8811" w:type="dxa"/>
        <w:jc w:val="center"/>
        <w:tblLook w:val="04A0" w:firstRow="1" w:lastRow="0" w:firstColumn="1" w:lastColumn="0" w:noHBand="0" w:noVBand="1"/>
      </w:tblPr>
      <w:tblGrid>
        <w:gridCol w:w="3119"/>
        <w:gridCol w:w="1472"/>
        <w:gridCol w:w="1404"/>
        <w:gridCol w:w="1414"/>
        <w:gridCol w:w="1402"/>
      </w:tblGrid>
      <w:tr w:rsidR="00D409F6" w:rsidRPr="00D409F6" w14:paraId="6141DBA5" w14:textId="77777777" w:rsidTr="00AD58DE">
        <w:trPr>
          <w:trHeight w:val="288"/>
          <w:jc w:val="center"/>
        </w:trPr>
        <w:tc>
          <w:tcPr>
            <w:tcW w:w="3119" w:type="dxa"/>
            <w:tcBorders>
              <w:top w:val="nil"/>
              <w:left w:val="nil"/>
              <w:bottom w:val="single" w:sz="12" w:space="0" w:color="auto"/>
              <w:right w:val="nil"/>
            </w:tcBorders>
            <w:shd w:val="clear" w:color="000000" w:fill="FFFFFF"/>
            <w:noWrap/>
            <w:vAlign w:val="center"/>
            <w:hideMark/>
          </w:tcPr>
          <w:p w14:paraId="742CB340" w14:textId="77777777" w:rsidR="00D409F6" w:rsidRPr="00D409F6" w:rsidRDefault="00D409F6" w:rsidP="00D409F6">
            <w:pPr>
              <w:rPr>
                <w:rFonts w:ascii="Calibri" w:hAnsi="Calibri" w:cs="Calibri"/>
                <w:color w:val="000000"/>
                <w:szCs w:val="20"/>
                <w:lang w:val="en-CA" w:eastAsia="en-CA"/>
              </w:rPr>
            </w:pPr>
            <w:r w:rsidRPr="00D409F6">
              <w:rPr>
                <w:rFonts w:ascii="Calibri" w:hAnsi="Calibri" w:cs="Calibri"/>
                <w:color w:val="000000"/>
                <w:szCs w:val="20"/>
                <w:lang w:val="en-CA" w:eastAsia="en-CA"/>
              </w:rPr>
              <w:t> </w:t>
            </w:r>
          </w:p>
        </w:tc>
        <w:tc>
          <w:tcPr>
            <w:tcW w:w="2876" w:type="dxa"/>
            <w:gridSpan w:val="2"/>
            <w:tcBorders>
              <w:top w:val="nil"/>
              <w:left w:val="nil"/>
              <w:bottom w:val="single" w:sz="12" w:space="0" w:color="auto"/>
              <w:right w:val="nil"/>
            </w:tcBorders>
            <w:shd w:val="clear" w:color="000000" w:fill="FFFFFF"/>
            <w:noWrap/>
            <w:vAlign w:val="center"/>
            <w:hideMark/>
          </w:tcPr>
          <w:p w14:paraId="71E59D40" w14:textId="77777777" w:rsidR="00D409F6" w:rsidRPr="00D409F6" w:rsidRDefault="00D409F6" w:rsidP="00D409F6">
            <w:pPr>
              <w:jc w:val="center"/>
              <w:rPr>
                <w:rFonts w:ascii="Calibri" w:hAnsi="Calibri" w:cs="Calibri"/>
                <w:b/>
                <w:bCs/>
                <w:color w:val="000000"/>
                <w:szCs w:val="20"/>
                <w:lang w:val="en-CA" w:eastAsia="en-CA"/>
              </w:rPr>
            </w:pPr>
            <w:r w:rsidRPr="00D409F6">
              <w:rPr>
                <w:rFonts w:ascii="Calibri" w:hAnsi="Calibri" w:cs="Calibri"/>
                <w:b/>
                <w:bCs/>
                <w:color w:val="000000"/>
                <w:szCs w:val="20"/>
                <w:lang w:val="en-CA" w:eastAsia="en-CA"/>
              </w:rPr>
              <w:t>March 31, 2024</w:t>
            </w:r>
          </w:p>
        </w:tc>
        <w:tc>
          <w:tcPr>
            <w:tcW w:w="2816" w:type="dxa"/>
            <w:gridSpan w:val="2"/>
            <w:tcBorders>
              <w:top w:val="nil"/>
              <w:left w:val="nil"/>
              <w:bottom w:val="single" w:sz="12" w:space="0" w:color="auto"/>
              <w:right w:val="nil"/>
            </w:tcBorders>
            <w:shd w:val="clear" w:color="000000" w:fill="FFFFFF"/>
            <w:noWrap/>
            <w:vAlign w:val="center"/>
            <w:hideMark/>
          </w:tcPr>
          <w:p w14:paraId="10CE9BF6" w14:textId="77777777" w:rsidR="00D409F6" w:rsidRPr="00D409F6" w:rsidRDefault="00D409F6" w:rsidP="00D409F6">
            <w:pPr>
              <w:jc w:val="center"/>
              <w:rPr>
                <w:rFonts w:ascii="Calibri" w:hAnsi="Calibri" w:cs="Calibri"/>
                <w:color w:val="000000"/>
                <w:szCs w:val="20"/>
                <w:lang w:val="en-CA" w:eastAsia="en-CA"/>
              </w:rPr>
            </w:pPr>
            <w:r w:rsidRPr="00D409F6">
              <w:rPr>
                <w:rFonts w:ascii="Calibri" w:hAnsi="Calibri" w:cs="Calibri"/>
                <w:color w:val="000000"/>
                <w:szCs w:val="20"/>
                <w:lang w:val="en-CA" w:eastAsia="en-CA"/>
              </w:rPr>
              <w:t>June 30, 2023</w:t>
            </w:r>
          </w:p>
        </w:tc>
      </w:tr>
      <w:tr w:rsidR="00D409F6" w:rsidRPr="00D409F6" w14:paraId="2FCF5BB1" w14:textId="77777777" w:rsidTr="00AD58DE">
        <w:trPr>
          <w:trHeight w:val="840"/>
          <w:jc w:val="center"/>
        </w:trPr>
        <w:tc>
          <w:tcPr>
            <w:tcW w:w="3119" w:type="dxa"/>
            <w:tcBorders>
              <w:top w:val="single" w:sz="12" w:space="0" w:color="auto"/>
              <w:left w:val="nil"/>
              <w:bottom w:val="single" w:sz="8" w:space="0" w:color="auto"/>
              <w:right w:val="nil"/>
            </w:tcBorders>
            <w:shd w:val="clear" w:color="000000" w:fill="FFFFFF"/>
            <w:noWrap/>
            <w:vAlign w:val="center"/>
            <w:hideMark/>
          </w:tcPr>
          <w:p w14:paraId="36943A62" w14:textId="77777777" w:rsidR="00D409F6" w:rsidRPr="00D409F6" w:rsidRDefault="00D409F6" w:rsidP="00D409F6">
            <w:pPr>
              <w:rPr>
                <w:rFonts w:ascii="Calibri" w:hAnsi="Calibri" w:cs="Calibri"/>
                <w:color w:val="000000"/>
                <w:szCs w:val="20"/>
                <w:lang w:val="en-CA" w:eastAsia="en-CA"/>
              </w:rPr>
            </w:pPr>
            <w:r w:rsidRPr="00D409F6">
              <w:rPr>
                <w:rFonts w:ascii="Calibri" w:hAnsi="Calibri" w:cs="Calibri"/>
                <w:color w:val="000000"/>
                <w:szCs w:val="20"/>
                <w:lang w:val="en-CA" w:eastAsia="en-CA"/>
              </w:rPr>
              <w:t> </w:t>
            </w:r>
          </w:p>
        </w:tc>
        <w:tc>
          <w:tcPr>
            <w:tcW w:w="1472" w:type="dxa"/>
            <w:tcBorders>
              <w:top w:val="single" w:sz="12" w:space="0" w:color="auto"/>
              <w:left w:val="nil"/>
              <w:bottom w:val="single" w:sz="8" w:space="0" w:color="auto"/>
              <w:right w:val="nil"/>
            </w:tcBorders>
            <w:shd w:val="clear" w:color="000000" w:fill="FFFFFF"/>
            <w:vAlign w:val="center"/>
            <w:hideMark/>
          </w:tcPr>
          <w:p w14:paraId="6F909B96" w14:textId="77777777" w:rsidR="00D409F6" w:rsidRPr="00D409F6" w:rsidRDefault="00D409F6" w:rsidP="0058297E">
            <w:pPr>
              <w:jc w:val="center"/>
              <w:rPr>
                <w:rFonts w:ascii="Calibri" w:hAnsi="Calibri" w:cs="Calibri"/>
                <w:b/>
                <w:bCs/>
                <w:color w:val="000000"/>
                <w:szCs w:val="20"/>
                <w:lang w:val="en-CA" w:eastAsia="en-CA"/>
              </w:rPr>
            </w:pPr>
            <w:r w:rsidRPr="00D409F6">
              <w:rPr>
                <w:rFonts w:ascii="Calibri" w:hAnsi="Calibri" w:cs="Calibri"/>
                <w:b/>
                <w:bCs/>
                <w:color w:val="000000"/>
                <w:szCs w:val="20"/>
                <w:lang w:val="en-CA" w:eastAsia="en-CA"/>
              </w:rPr>
              <w:t>Number of warrants</w:t>
            </w:r>
          </w:p>
        </w:tc>
        <w:tc>
          <w:tcPr>
            <w:tcW w:w="1404" w:type="dxa"/>
            <w:tcBorders>
              <w:top w:val="single" w:sz="12" w:space="0" w:color="auto"/>
              <w:left w:val="nil"/>
              <w:bottom w:val="single" w:sz="8" w:space="0" w:color="auto"/>
              <w:right w:val="nil"/>
            </w:tcBorders>
            <w:shd w:val="clear" w:color="000000" w:fill="FFFFFF"/>
            <w:vAlign w:val="center"/>
            <w:hideMark/>
          </w:tcPr>
          <w:p w14:paraId="19ADCF77" w14:textId="77777777" w:rsidR="00D409F6" w:rsidRPr="00D409F6" w:rsidRDefault="00D409F6" w:rsidP="0058297E">
            <w:pPr>
              <w:jc w:val="center"/>
              <w:rPr>
                <w:rFonts w:ascii="Calibri" w:hAnsi="Calibri" w:cs="Calibri"/>
                <w:b/>
                <w:bCs/>
                <w:color w:val="000000"/>
                <w:szCs w:val="20"/>
                <w:lang w:val="en-CA" w:eastAsia="en-CA"/>
              </w:rPr>
            </w:pPr>
            <w:r w:rsidRPr="00D409F6">
              <w:rPr>
                <w:rFonts w:ascii="Calibri" w:hAnsi="Calibri" w:cs="Calibri"/>
                <w:b/>
                <w:bCs/>
                <w:color w:val="000000"/>
                <w:szCs w:val="20"/>
                <w:lang w:val="en-CA" w:eastAsia="en-CA"/>
              </w:rPr>
              <w:t>Weighted average exercise price</w:t>
            </w:r>
          </w:p>
        </w:tc>
        <w:tc>
          <w:tcPr>
            <w:tcW w:w="1414" w:type="dxa"/>
            <w:tcBorders>
              <w:top w:val="single" w:sz="12" w:space="0" w:color="auto"/>
              <w:left w:val="nil"/>
              <w:bottom w:val="single" w:sz="8" w:space="0" w:color="auto"/>
              <w:right w:val="nil"/>
            </w:tcBorders>
            <w:shd w:val="clear" w:color="000000" w:fill="FFFFFF"/>
            <w:vAlign w:val="center"/>
            <w:hideMark/>
          </w:tcPr>
          <w:p w14:paraId="3BFCD961" w14:textId="77777777" w:rsidR="00D409F6" w:rsidRPr="00D409F6" w:rsidRDefault="00D409F6" w:rsidP="0058297E">
            <w:pPr>
              <w:jc w:val="center"/>
              <w:rPr>
                <w:rFonts w:ascii="Calibri" w:hAnsi="Calibri" w:cs="Calibri"/>
                <w:color w:val="000000"/>
                <w:szCs w:val="20"/>
                <w:lang w:val="en-CA" w:eastAsia="en-CA"/>
              </w:rPr>
            </w:pPr>
            <w:r w:rsidRPr="00D409F6">
              <w:rPr>
                <w:rFonts w:ascii="Calibri" w:hAnsi="Calibri" w:cs="Calibri"/>
                <w:color w:val="000000"/>
                <w:szCs w:val="20"/>
                <w:lang w:val="en-CA" w:eastAsia="en-CA"/>
              </w:rPr>
              <w:t>Number of warrants</w:t>
            </w:r>
          </w:p>
        </w:tc>
        <w:tc>
          <w:tcPr>
            <w:tcW w:w="1402" w:type="dxa"/>
            <w:tcBorders>
              <w:top w:val="single" w:sz="12" w:space="0" w:color="auto"/>
              <w:left w:val="nil"/>
              <w:bottom w:val="single" w:sz="8" w:space="0" w:color="auto"/>
              <w:right w:val="nil"/>
            </w:tcBorders>
            <w:shd w:val="clear" w:color="000000" w:fill="FFFFFF"/>
            <w:vAlign w:val="center"/>
            <w:hideMark/>
          </w:tcPr>
          <w:p w14:paraId="6E2C2D36" w14:textId="77777777" w:rsidR="00D409F6" w:rsidRPr="00D409F6" w:rsidRDefault="00D409F6" w:rsidP="0058297E">
            <w:pPr>
              <w:jc w:val="center"/>
              <w:rPr>
                <w:rFonts w:ascii="Calibri" w:hAnsi="Calibri" w:cs="Calibri"/>
                <w:color w:val="000000"/>
                <w:szCs w:val="20"/>
                <w:lang w:val="en-CA" w:eastAsia="en-CA"/>
              </w:rPr>
            </w:pPr>
            <w:r w:rsidRPr="00D409F6">
              <w:rPr>
                <w:rFonts w:ascii="Calibri" w:hAnsi="Calibri" w:cs="Calibri"/>
                <w:color w:val="000000"/>
                <w:szCs w:val="20"/>
                <w:lang w:val="en-CA" w:eastAsia="en-CA"/>
              </w:rPr>
              <w:t>Weighted average exercise price</w:t>
            </w:r>
          </w:p>
        </w:tc>
      </w:tr>
      <w:tr w:rsidR="00D409F6" w:rsidRPr="00D409F6" w14:paraId="0B6A03D9" w14:textId="77777777" w:rsidTr="00AD58DE">
        <w:trPr>
          <w:trHeight w:val="276"/>
          <w:jc w:val="center"/>
        </w:trPr>
        <w:tc>
          <w:tcPr>
            <w:tcW w:w="3119" w:type="dxa"/>
            <w:tcBorders>
              <w:top w:val="nil"/>
              <w:left w:val="nil"/>
              <w:bottom w:val="nil"/>
              <w:right w:val="nil"/>
            </w:tcBorders>
            <w:shd w:val="clear" w:color="000000" w:fill="FFFFFF"/>
            <w:noWrap/>
            <w:vAlign w:val="center"/>
            <w:hideMark/>
          </w:tcPr>
          <w:p w14:paraId="40FD5E82" w14:textId="77777777" w:rsidR="00D409F6" w:rsidRPr="00D409F6" w:rsidRDefault="00D409F6" w:rsidP="00D409F6">
            <w:pPr>
              <w:rPr>
                <w:rFonts w:ascii="Calibri" w:hAnsi="Calibri" w:cs="Calibri"/>
                <w:color w:val="000000"/>
                <w:szCs w:val="20"/>
                <w:lang w:val="en-CA" w:eastAsia="en-CA"/>
              </w:rPr>
            </w:pPr>
            <w:r w:rsidRPr="00D409F6">
              <w:rPr>
                <w:rFonts w:ascii="Calibri" w:hAnsi="Calibri" w:cs="Calibri"/>
                <w:color w:val="000000"/>
                <w:szCs w:val="20"/>
                <w:lang w:val="en-CA" w:eastAsia="en-CA"/>
              </w:rPr>
              <w:t>Warrants outstanding, beginning</w:t>
            </w:r>
          </w:p>
        </w:tc>
        <w:tc>
          <w:tcPr>
            <w:tcW w:w="1472" w:type="dxa"/>
            <w:tcBorders>
              <w:top w:val="nil"/>
              <w:left w:val="nil"/>
              <w:bottom w:val="nil"/>
              <w:right w:val="nil"/>
            </w:tcBorders>
            <w:shd w:val="clear" w:color="000000" w:fill="FFFFFF"/>
            <w:noWrap/>
            <w:vAlign w:val="center"/>
            <w:hideMark/>
          </w:tcPr>
          <w:p w14:paraId="531F6676" w14:textId="0C4DD55E" w:rsidR="00D409F6" w:rsidRPr="00D409F6" w:rsidRDefault="00D409F6" w:rsidP="0058297E">
            <w:pPr>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8,186,221 </w:t>
            </w:r>
          </w:p>
        </w:tc>
        <w:tc>
          <w:tcPr>
            <w:tcW w:w="1404" w:type="dxa"/>
            <w:tcBorders>
              <w:top w:val="nil"/>
              <w:left w:val="nil"/>
              <w:bottom w:val="nil"/>
              <w:right w:val="nil"/>
            </w:tcBorders>
            <w:shd w:val="clear" w:color="000000" w:fill="FFFFFF"/>
            <w:noWrap/>
            <w:vAlign w:val="center"/>
            <w:hideMark/>
          </w:tcPr>
          <w:p w14:paraId="76AA9069" w14:textId="60768B75" w:rsidR="00D409F6" w:rsidRPr="00D409F6" w:rsidRDefault="00D409F6" w:rsidP="0058297E">
            <w:pPr>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 $ 0.175 </w:t>
            </w:r>
          </w:p>
        </w:tc>
        <w:tc>
          <w:tcPr>
            <w:tcW w:w="1414" w:type="dxa"/>
            <w:tcBorders>
              <w:top w:val="nil"/>
              <w:left w:val="nil"/>
              <w:bottom w:val="nil"/>
              <w:right w:val="nil"/>
            </w:tcBorders>
            <w:shd w:val="clear" w:color="000000" w:fill="FFFFFF"/>
            <w:noWrap/>
            <w:vAlign w:val="center"/>
            <w:hideMark/>
          </w:tcPr>
          <w:p w14:paraId="0872FA4B" w14:textId="2A17EE42"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11,209,508 </w:t>
            </w:r>
          </w:p>
        </w:tc>
        <w:tc>
          <w:tcPr>
            <w:tcW w:w="1402" w:type="dxa"/>
            <w:tcBorders>
              <w:top w:val="nil"/>
              <w:left w:val="nil"/>
              <w:bottom w:val="nil"/>
              <w:right w:val="nil"/>
            </w:tcBorders>
            <w:shd w:val="clear" w:color="000000" w:fill="FFFFFF"/>
            <w:noWrap/>
            <w:vAlign w:val="center"/>
            <w:hideMark/>
          </w:tcPr>
          <w:p w14:paraId="3DF8C352" w14:textId="5C3460E8"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$ 0.520 </w:t>
            </w:r>
          </w:p>
        </w:tc>
      </w:tr>
      <w:tr w:rsidR="00D409F6" w:rsidRPr="00D409F6" w14:paraId="096CA4F9" w14:textId="77777777" w:rsidTr="00AD58DE">
        <w:trPr>
          <w:trHeight w:val="276"/>
          <w:jc w:val="center"/>
        </w:trPr>
        <w:tc>
          <w:tcPr>
            <w:tcW w:w="3119" w:type="dxa"/>
            <w:tcBorders>
              <w:top w:val="nil"/>
              <w:left w:val="nil"/>
              <w:bottom w:val="nil"/>
              <w:right w:val="nil"/>
            </w:tcBorders>
            <w:shd w:val="clear" w:color="000000" w:fill="FFFFFF"/>
            <w:noWrap/>
            <w:vAlign w:val="center"/>
            <w:hideMark/>
          </w:tcPr>
          <w:p w14:paraId="7D225440" w14:textId="77777777" w:rsidR="00D409F6" w:rsidRPr="00D409F6" w:rsidRDefault="00D409F6" w:rsidP="00D409F6">
            <w:pPr>
              <w:rPr>
                <w:rFonts w:ascii="Calibri" w:hAnsi="Calibri" w:cs="Calibri"/>
                <w:color w:val="000000"/>
                <w:szCs w:val="20"/>
                <w:lang w:val="en-CA" w:eastAsia="en-CA"/>
              </w:rPr>
            </w:pPr>
            <w:r w:rsidRPr="00D409F6">
              <w:rPr>
                <w:rFonts w:ascii="Calibri" w:hAnsi="Calibri" w:cs="Calibri"/>
                <w:color w:val="000000"/>
                <w:szCs w:val="20"/>
                <w:lang w:val="en-CA" w:eastAsia="en-CA"/>
              </w:rPr>
              <w:t>Warrants issued</w:t>
            </w:r>
          </w:p>
        </w:tc>
        <w:tc>
          <w:tcPr>
            <w:tcW w:w="1472" w:type="dxa"/>
            <w:tcBorders>
              <w:top w:val="nil"/>
              <w:left w:val="nil"/>
              <w:bottom w:val="nil"/>
              <w:right w:val="nil"/>
            </w:tcBorders>
            <w:shd w:val="clear" w:color="000000" w:fill="FFFFFF"/>
            <w:noWrap/>
            <w:vAlign w:val="center"/>
            <w:hideMark/>
          </w:tcPr>
          <w:p w14:paraId="290712D6" w14:textId="20FF2A8D" w:rsidR="00D409F6" w:rsidRPr="00D409F6" w:rsidRDefault="00D409F6" w:rsidP="0058297E">
            <w:pPr>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  342,586 </w:t>
            </w:r>
          </w:p>
        </w:tc>
        <w:tc>
          <w:tcPr>
            <w:tcW w:w="1404" w:type="dxa"/>
            <w:tcBorders>
              <w:top w:val="nil"/>
              <w:left w:val="nil"/>
              <w:bottom w:val="nil"/>
              <w:right w:val="nil"/>
            </w:tcBorders>
            <w:shd w:val="clear" w:color="000000" w:fill="FFFFFF"/>
            <w:noWrap/>
            <w:vAlign w:val="center"/>
            <w:hideMark/>
          </w:tcPr>
          <w:p w14:paraId="0F6A71B0" w14:textId="744830CB" w:rsidR="00D409F6" w:rsidRPr="00D409F6" w:rsidRDefault="00D409F6" w:rsidP="0058297E">
            <w:pPr>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   0.085 </w:t>
            </w:r>
          </w:p>
        </w:tc>
        <w:tc>
          <w:tcPr>
            <w:tcW w:w="1414" w:type="dxa"/>
            <w:tcBorders>
              <w:top w:val="nil"/>
              <w:left w:val="nil"/>
              <w:bottom w:val="nil"/>
              <w:right w:val="nil"/>
            </w:tcBorders>
            <w:shd w:val="clear" w:color="000000" w:fill="FFFFFF"/>
            <w:noWrap/>
            <w:vAlign w:val="center"/>
            <w:hideMark/>
          </w:tcPr>
          <w:p w14:paraId="01982D88" w14:textId="731C2F51"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7,262,500 </w:t>
            </w:r>
          </w:p>
        </w:tc>
        <w:tc>
          <w:tcPr>
            <w:tcW w:w="1402" w:type="dxa"/>
            <w:tcBorders>
              <w:top w:val="nil"/>
              <w:left w:val="nil"/>
              <w:bottom w:val="nil"/>
              <w:right w:val="nil"/>
            </w:tcBorders>
            <w:shd w:val="clear" w:color="000000" w:fill="FFFFFF"/>
            <w:noWrap/>
            <w:vAlign w:val="center"/>
            <w:hideMark/>
          </w:tcPr>
          <w:p w14:paraId="46175D8C" w14:textId="3CAE0D1E"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0.190 </w:t>
            </w:r>
          </w:p>
        </w:tc>
      </w:tr>
      <w:tr w:rsidR="00D409F6" w:rsidRPr="00D409F6" w14:paraId="5189AA65" w14:textId="77777777" w:rsidTr="00AD58DE">
        <w:trPr>
          <w:trHeight w:val="276"/>
          <w:jc w:val="center"/>
        </w:trPr>
        <w:tc>
          <w:tcPr>
            <w:tcW w:w="3119" w:type="dxa"/>
            <w:tcBorders>
              <w:top w:val="nil"/>
              <w:left w:val="nil"/>
              <w:bottom w:val="nil"/>
              <w:right w:val="nil"/>
            </w:tcBorders>
            <w:shd w:val="clear" w:color="000000" w:fill="FFFFFF"/>
            <w:noWrap/>
            <w:vAlign w:val="center"/>
            <w:hideMark/>
          </w:tcPr>
          <w:p w14:paraId="28018C9F" w14:textId="77777777" w:rsidR="00D409F6" w:rsidRPr="00D409F6" w:rsidRDefault="00D409F6" w:rsidP="00D409F6">
            <w:pPr>
              <w:rPr>
                <w:rFonts w:ascii="Calibri" w:hAnsi="Calibri" w:cs="Calibri"/>
                <w:color w:val="000000"/>
                <w:szCs w:val="20"/>
                <w:lang w:val="en-CA" w:eastAsia="en-CA"/>
              </w:rPr>
            </w:pPr>
            <w:r w:rsidRPr="00D409F6">
              <w:rPr>
                <w:rFonts w:ascii="Calibri" w:hAnsi="Calibri" w:cs="Calibri"/>
                <w:color w:val="000000"/>
                <w:szCs w:val="20"/>
                <w:lang w:val="en-CA" w:eastAsia="en-CA"/>
              </w:rPr>
              <w:t>Broker Warrants issued</w:t>
            </w:r>
          </w:p>
        </w:tc>
        <w:tc>
          <w:tcPr>
            <w:tcW w:w="1472" w:type="dxa"/>
            <w:tcBorders>
              <w:top w:val="nil"/>
              <w:left w:val="nil"/>
              <w:bottom w:val="nil"/>
              <w:right w:val="nil"/>
            </w:tcBorders>
            <w:shd w:val="clear" w:color="000000" w:fill="FFFFFF"/>
            <w:noWrap/>
            <w:vAlign w:val="center"/>
            <w:hideMark/>
          </w:tcPr>
          <w:p w14:paraId="5E7C7106" w14:textId="78102DEC" w:rsidR="00D409F6" w:rsidRPr="00D409F6" w:rsidRDefault="00D409F6" w:rsidP="004D5679">
            <w:pPr>
              <w:ind w:right="125"/>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     -   </w:t>
            </w:r>
          </w:p>
        </w:tc>
        <w:tc>
          <w:tcPr>
            <w:tcW w:w="1404" w:type="dxa"/>
            <w:tcBorders>
              <w:top w:val="nil"/>
              <w:left w:val="nil"/>
              <w:bottom w:val="nil"/>
              <w:right w:val="nil"/>
            </w:tcBorders>
            <w:shd w:val="clear" w:color="000000" w:fill="FFFFFF"/>
            <w:noWrap/>
            <w:vAlign w:val="center"/>
            <w:hideMark/>
          </w:tcPr>
          <w:p w14:paraId="6708D509" w14:textId="13F68B3C" w:rsidR="00D409F6" w:rsidRPr="00D409F6" w:rsidRDefault="00D409F6" w:rsidP="004D5679">
            <w:pPr>
              <w:ind w:right="125"/>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     -   </w:t>
            </w:r>
          </w:p>
        </w:tc>
        <w:tc>
          <w:tcPr>
            <w:tcW w:w="1414" w:type="dxa"/>
            <w:tcBorders>
              <w:top w:val="nil"/>
              <w:left w:val="nil"/>
              <w:bottom w:val="nil"/>
              <w:right w:val="nil"/>
            </w:tcBorders>
            <w:shd w:val="clear" w:color="000000" w:fill="FFFFFF"/>
            <w:noWrap/>
            <w:vAlign w:val="center"/>
            <w:hideMark/>
          </w:tcPr>
          <w:p w14:paraId="58E19CA6" w14:textId="1B50325C"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923,721 </w:t>
            </w:r>
          </w:p>
        </w:tc>
        <w:tc>
          <w:tcPr>
            <w:tcW w:w="1402" w:type="dxa"/>
            <w:tcBorders>
              <w:top w:val="nil"/>
              <w:left w:val="nil"/>
              <w:bottom w:val="nil"/>
              <w:right w:val="nil"/>
            </w:tcBorders>
            <w:shd w:val="clear" w:color="000000" w:fill="FFFFFF"/>
            <w:noWrap/>
            <w:vAlign w:val="center"/>
            <w:hideMark/>
          </w:tcPr>
          <w:p w14:paraId="62437919" w14:textId="7C3A1B40"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0.120 </w:t>
            </w:r>
          </w:p>
        </w:tc>
      </w:tr>
      <w:tr w:rsidR="00D409F6" w:rsidRPr="00D409F6" w14:paraId="63FADEFC" w14:textId="77777777" w:rsidTr="00AD58DE">
        <w:trPr>
          <w:trHeight w:val="276"/>
          <w:jc w:val="center"/>
        </w:trPr>
        <w:tc>
          <w:tcPr>
            <w:tcW w:w="3119" w:type="dxa"/>
            <w:tcBorders>
              <w:top w:val="nil"/>
              <w:left w:val="nil"/>
              <w:bottom w:val="nil"/>
              <w:right w:val="nil"/>
            </w:tcBorders>
            <w:shd w:val="clear" w:color="000000" w:fill="FFFFFF"/>
            <w:noWrap/>
            <w:vAlign w:val="center"/>
            <w:hideMark/>
          </w:tcPr>
          <w:p w14:paraId="295AB744" w14:textId="77777777" w:rsidR="00D409F6" w:rsidRPr="00D409F6" w:rsidRDefault="00D409F6" w:rsidP="00D409F6">
            <w:pPr>
              <w:rPr>
                <w:rFonts w:ascii="Calibri" w:hAnsi="Calibri" w:cs="Calibri"/>
                <w:color w:val="000000"/>
                <w:szCs w:val="20"/>
                <w:lang w:val="en-CA" w:eastAsia="en-CA"/>
              </w:rPr>
            </w:pPr>
            <w:r w:rsidRPr="00D409F6">
              <w:rPr>
                <w:rFonts w:ascii="Calibri" w:hAnsi="Calibri" w:cs="Calibri"/>
                <w:color w:val="000000"/>
                <w:szCs w:val="20"/>
                <w:lang w:val="en-CA" w:eastAsia="en-CA"/>
              </w:rPr>
              <w:t>Warrants expired</w:t>
            </w:r>
          </w:p>
        </w:tc>
        <w:tc>
          <w:tcPr>
            <w:tcW w:w="1472" w:type="dxa"/>
            <w:tcBorders>
              <w:top w:val="nil"/>
              <w:left w:val="nil"/>
              <w:bottom w:val="nil"/>
              <w:right w:val="nil"/>
            </w:tcBorders>
            <w:shd w:val="clear" w:color="000000" w:fill="FFFFFF"/>
            <w:noWrap/>
            <w:vAlign w:val="center"/>
            <w:hideMark/>
          </w:tcPr>
          <w:p w14:paraId="183565A0" w14:textId="1FBEBA9C" w:rsidR="00D409F6" w:rsidRPr="00D409F6" w:rsidRDefault="00D409F6" w:rsidP="004D5679">
            <w:pPr>
              <w:ind w:right="125"/>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     -   </w:t>
            </w:r>
          </w:p>
        </w:tc>
        <w:tc>
          <w:tcPr>
            <w:tcW w:w="1404" w:type="dxa"/>
            <w:tcBorders>
              <w:top w:val="nil"/>
              <w:left w:val="nil"/>
              <w:bottom w:val="nil"/>
              <w:right w:val="nil"/>
            </w:tcBorders>
            <w:shd w:val="clear" w:color="000000" w:fill="FFFFFF"/>
            <w:noWrap/>
            <w:vAlign w:val="center"/>
            <w:hideMark/>
          </w:tcPr>
          <w:p w14:paraId="53886E43" w14:textId="39AF44FE" w:rsidR="00D409F6" w:rsidRPr="00D409F6" w:rsidRDefault="00D409F6" w:rsidP="004D5679">
            <w:pPr>
              <w:ind w:right="125"/>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   -   </w:t>
            </w:r>
          </w:p>
        </w:tc>
        <w:tc>
          <w:tcPr>
            <w:tcW w:w="1414" w:type="dxa"/>
            <w:tcBorders>
              <w:top w:val="nil"/>
              <w:left w:val="nil"/>
              <w:bottom w:val="nil"/>
              <w:right w:val="nil"/>
            </w:tcBorders>
            <w:shd w:val="clear" w:color="000000" w:fill="FFFFFF"/>
            <w:noWrap/>
            <w:vAlign w:val="center"/>
            <w:hideMark/>
          </w:tcPr>
          <w:p w14:paraId="33FAD097" w14:textId="6EA8B7AE" w:rsidR="00D409F6" w:rsidRPr="00D409F6" w:rsidRDefault="00D409F6" w:rsidP="004D5679">
            <w:pPr>
              <w:ind w:right="-62"/>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(11,209,508)</w:t>
            </w:r>
          </w:p>
        </w:tc>
        <w:tc>
          <w:tcPr>
            <w:tcW w:w="1402" w:type="dxa"/>
            <w:tcBorders>
              <w:top w:val="nil"/>
              <w:left w:val="nil"/>
              <w:bottom w:val="nil"/>
              <w:right w:val="nil"/>
            </w:tcBorders>
            <w:shd w:val="clear" w:color="000000" w:fill="FFFFFF"/>
            <w:noWrap/>
            <w:vAlign w:val="center"/>
            <w:hideMark/>
          </w:tcPr>
          <w:p w14:paraId="3820F8F0" w14:textId="599B7A42"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0.520 </w:t>
            </w:r>
          </w:p>
        </w:tc>
      </w:tr>
      <w:tr w:rsidR="00D409F6" w:rsidRPr="00D409F6" w14:paraId="0472C51B" w14:textId="77777777" w:rsidTr="00AD58DE">
        <w:trPr>
          <w:trHeight w:val="276"/>
          <w:jc w:val="center"/>
        </w:trPr>
        <w:tc>
          <w:tcPr>
            <w:tcW w:w="3119" w:type="dxa"/>
            <w:tcBorders>
              <w:top w:val="single" w:sz="4" w:space="0" w:color="auto"/>
              <w:left w:val="nil"/>
              <w:bottom w:val="single" w:sz="4" w:space="0" w:color="auto"/>
              <w:right w:val="nil"/>
            </w:tcBorders>
            <w:shd w:val="clear" w:color="000000" w:fill="FFFFFF"/>
            <w:noWrap/>
            <w:vAlign w:val="center"/>
            <w:hideMark/>
          </w:tcPr>
          <w:p w14:paraId="2A49548C" w14:textId="77777777" w:rsidR="00D409F6" w:rsidRPr="00D409F6" w:rsidRDefault="00D409F6" w:rsidP="00D409F6">
            <w:pPr>
              <w:rPr>
                <w:rFonts w:ascii="Calibri" w:hAnsi="Calibri" w:cs="Calibri"/>
                <w:color w:val="000000"/>
                <w:szCs w:val="20"/>
                <w:lang w:val="en-CA" w:eastAsia="en-CA"/>
              </w:rPr>
            </w:pPr>
            <w:r w:rsidRPr="00D409F6">
              <w:rPr>
                <w:rFonts w:ascii="Calibri" w:hAnsi="Calibri" w:cs="Calibri"/>
                <w:color w:val="000000"/>
                <w:szCs w:val="20"/>
                <w:lang w:val="en-CA" w:eastAsia="en-CA"/>
              </w:rPr>
              <w:t>Warrants outstanding, ending</w:t>
            </w:r>
          </w:p>
        </w:tc>
        <w:tc>
          <w:tcPr>
            <w:tcW w:w="1472" w:type="dxa"/>
            <w:tcBorders>
              <w:top w:val="single" w:sz="4" w:space="0" w:color="auto"/>
              <w:left w:val="nil"/>
              <w:bottom w:val="single" w:sz="4" w:space="0" w:color="auto"/>
              <w:right w:val="nil"/>
            </w:tcBorders>
            <w:shd w:val="clear" w:color="000000" w:fill="FFFFFF"/>
            <w:noWrap/>
            <w:vAlign w:val="center"/>
            <w:hideMark/>
          </w:tcPr>
          <w:p w14:paraId="5A3D4105" w14:textId="7309C085" w:rsidR="00D409F6" w:rsidRPr="00D409F6" w:rsidRDefault="00D409F6" w:rsidP="0058297E">
            <w:pPr>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  8,528,807 </w:t>
            </w:r>
          </w:p>
        </w:tc>
        <w:tc>
          <w:tcPr>
            <w:tcW w:w="1404" w:type="dxa"/>
            <w:tcBorders>
              <w:top w:val="single" w:sz="4" w:space="0" w:color="auto"/>
              <w:left w:val="nil"/>
              <w:bottom w:val="single" w:sz="4" w:space="0" w:color="auto"/>
              <w:right w:val="nil"/>
            </w:tcBorders>
            <w:shd w:val="clear" w:color="000000" w:fill="FFFFFF"/>
            <w:noWrap/>
            <w:vAlign w:val="center"/>
            <w:hideMark/>
          </w:tcPr>
          <w:p w14:paraId="7AF44590" w14:textId="3ED0E5EA" w:rsidR="00D409F6" w:rsidRPr="00D409F6" w:rsidRDefault="00D409F6" w:rsidP="0058297E">
            <w:pPr>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0.178 </w:t>
            </w:r>
          </w:p>
        </w:tc>
        <w:tc>
          <w:tcPr>
            <w:tcW w:w="1414" w:type="dxa"/>
            <w:tcBorders>
              <w:top w:val="single" w:sz="4" w:space="0" w:color="auto"/>
              <w:left w:val="nil"/>
              <w:bottom w:val="single" w:sz="4" w:space="0" w:color="auto"/>
              <w:right w:val="nil"/>
            </w:tcBorders>
            <w:shd w:val="clear" w:color="000000" w:fill="FFFFFF"/>
            <w:noWrap/>
            <w:vAlign w:val="center"/>
            <w:hideMark/>
          </w:tcPr>
          <w:p w14:paraId="081DA2F9" w14:textId="08F6D86C"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8,186,221 </w:t>
            </w:r>
          </w:p>
        </w:tc>
        <w:tc>
          <w:tcPr>
            <w:tcW w:w="1402" w:type="dxa"/>
            <w:tcBorders>
              <w:top w:val="single" w:sz="4" w:space="0" w:color="auto"/>
              <w:left w:val="nil"/>
              <w:bottom w:val="single" w:sz="4" w:space="0" w:color="auto"/>
              <w:right w:val="nil"/>
            </w:tcBorders>
            <w:shd w:val="clear" w:color="000000" w:fill="FFFFFF"/>
            <w:noWrap/>
            <w:vAlign w:val="center"/>
            <w:hideMark/>
          </w:tcPr>
          <w:p w14:paraId="7401CF18" w14:textId="1EDFC0DE"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0.175 </w:t>
            </w:r>
          </w:p>
        </w:tc>
      </w:tr>
      <w:tr w:rsidR="00D409F6" w:rsidRPr="00D409F6" w14:paraId="21F4643D" w14:textId="77777777" w:rsidTr="00AD58DE">
        <w:trPr>
          <w:trHeight w:val="288"/>
          <w:jc w:val="center"/>
        </w:trPr>
        <w:tc>
          <w:tcPr>
            <w:tcW w:w="3119" w:type="dxa"/>
            <w:tcBorders>
              <w:top w:val="single" w:sz="4" w:space="0" w:color="auto"/>
              <w:left w:val="nil"/>
              <w:bottom w:val="single" w:sz="12" w:space="0" w:color="auto"/>
              <w:right w:val="nil"/>
            </w:tcBorders>
            <w:shd w:val="clear" w:color="000000" w:fill="FFFFFF"/>
            <w:noWrap/>
            <w:vAlign w:val="center"/>
            <w:hideMark/>
          </w:tcPr>
          <w:p w14:paraId="42005A2D" w14:textId="77777777" w:rsidR="00D409F6" w:rsidRPr="00D409F6" w:rsidRDefault="00D409F6" w:rsidP="00D409F6">
            <w:pPr>
              <w:rPr>
                <w:rFonts w:ascii="Calibri" w:hAnsi="Calibri" w:cs="Calibri"/>
                <w:color w:val="000000"/>
                <w:szCs w:val="20"/>
                <w:lang w:val="en-CA" w:eastAsia="en-CA"/>
              </w:rPr>
            </w:pPr>
            <w:r w:rsidRPr="00D409F6">
              <w:rPr>
                <w:rFonts w:ascii="Calibri" w:hAnsi="Calibri" w:cs="Calibri"/>
                <w:color w:val="000000"/>
                <w:szCs w:val="20"/>
                <w:lang w:val="en-CA" w:eastAsia="en-CA"/>
              </w:rPr>
              <w:t>Warrants exercisable, ending</w:t>
            </w:r>
          </w:p>
        </w:tc>
        <w:tc>
          <w:tcPr>
            <w:tcW w:w="1472" w:type="dxa"/>
            <w:tcBorders>
              <w:top w:val="single" w:sz="4" w:space="0" w:color="auto"/>
              <w:left w:val="nil"/>
              <w:bottom w:val="single" w:sz="12" w:space="0" w:color="auto"/>
              <w:right w:val="nil"/>
            </w:tcBorders>
            <w:shd w:val="clear" w:color="000000" w:fill="FFFFFF"/>
            <w:noWrap/>
            <w:vAlign w:val="center"/>
            <w:hideMark/>
          </w:tcPr>
          <w:p w14:paraId="2290411F" w14:textId="152DDC7B" w:rsidR="00D409F6" w:rsidRPr="00D409F6" w:rsidRDefault="00D409F6" w:rsidP="0058297E">
            <w:pPr>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8,528,807 </w:t>
            </w:r>
          </w:p>
        </w:tc>
        <w:tc>
          <w:tcPr>
            <w:tcW w:w="1404" w:type="dxa"/>
            <w:tcBorders>
              <w:top w:val="single" w:sz="4" w:space="0" w:color="auto"/>
              <w:left w:val="nil"/>
              <w:bottom w:val="single" w:sz="12" w:space="0" w:color="auto"/>
              <w:right w:val="nil"/>
            </w:tcBorders>
            <w:shd w:val="clear" w:color="000000" w:fill="FFFFFF"/>
            <w:noWrap/>
            <w:vAlign w:val="center"/>
            <w:hideMark/>
          </w:tcPr>
          <w:p w14:paraId="131F14C3" w14:textId="6F1116C0" w:rsidR="00D409F6" w:rsidRPr="00D409F6" w:rsidRDefault="00D409F6" w:rsidP="0058297E">
            <w:pPr>
              <w:jc w:val="right"/>
              <w:rPr>
                <w:rFonts w:ascii="Calibri" w:hAnsi="Calibri" w:cs="Calibri"/>
                <w:b/>
                <w:bCs/>
                <w:color w:val="000000"/>
                <w:szCs w:val="20"/>
                <w:lang w:val="en-CA" w:eastAsia="en-CA"/>
              </w:rPr>
            </w:pPr>
            <w:r w:rsidRPr="00D409F6">
              <w:rPr>
                <w:rFonts w:ascii="Calibri" w:hAnsi="Calibri" w:cs="Calibri"/>
                <w:b/>
                <w:bCs/>
                <w:color w:val="000000"/>
                <w:szCs w:val="20"/>
                <w:lang w:val="en-CA" w:eastAsia="en-CA"/>
              </w:rPr>
              <w:t xml:space="preserve"> $ 0.178 </w:t>
            </w:r>
          </w:p>
        </w:tc>
        <w:tc>
          <w:tcPr>
            <w:tcW w:w="1414" w:type="dxa"/>
            <w:tcBorders>
              <w:top w:val="single" w:sz="4" w:space="0" w:color="auto"/>
              <w:left w:val="nil"/>
              <w:bottom w:val="single" w:sz="12" w:space="0" w:color="auto"/>
              <w:right w:val="nil"/>
            </w:tcBorders>
            <w:shd w:val="clear" w:color="000000" w:fill="FFFFFF"/>
            <w:noWrap/>
            <w:vAlign w:val="center"/>
            <w:hideMark/>
          </w:tcPr>
          <w:p w14:paraId="2A6C2FCB" w14:textId="00D95D90"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8,186,221 </w:t>
            </w:r>
          </w:p>
        </w:tc>
        <w:tc>
          <w:tcPr>
            <w:tcW w:w="1402" w:type="dxa"/>
            <w:tcBorders>
              <w:top w:val="single" w:sz="4" w:space="0" w:color="auto"/>
              <w:left w:val="nil"/>
              <w:bottom w:val="single" w:sz="12" w:space="0" w:color="auto"/>
              <w:right w:val="nil"/>
            </w:tcBorders>
            <w:shd w:val="clear" w:color="000000" w:fill="FFFFFF"/>
            <w:noWrap/>
            <w:vAlign w:val="center"/>
            <w:hideMark/>
          </w:tcPr>
          <w:p w14:paraId="13724602" w14:textId="65057ED6" w:rsidR="00D409F6" w:rsidRPr="00D409F6" w:rsidRDefault="00D409F6" w:rsidP="0058297E">
            <w:pPr>
              <w:jc w:val="right"/>
              <w:rPr>
                <w:rFonts w:ascii="Calibri" w:hAnsi="Calibri" w:cs="Calibri"/>
                <w:color w:val="000000"/>
                <w:szCs w:val="20"/>
                <w:lang w:val="en-CA" w:eastAsia="en-CA"/>
              </w:rPr>
            </w:pPr>
            <w:r w:rsidRPr="00D409F6">
              <w:rPr>
                <w:rFonts w:ascii="Calibri" w:hAnsi="Calibri" w:cs="Calibri"/>
                <w:color w:val="000000"/>
                <w:szCs w:val="20"/>
                <w:lang w:val="en-CA" w:eastAsia="en-CA"/>
              </w:rPr>
              <w:t xml:space="preserve"> $</w:t>
            </w:r>
            <w:r w:rsidR="00C96A95">
              <w:rPr>
                <w:rFonts w:ascii="Calibri" w:hAnsi="Calibri" w:cs="Calibri"/>
                <w:color w:val="000000"/>
                <w:szCs w:val="20"/>
                <w:lang w:val="en-CA" w:eastAsia="en-CA"/>
              </w:rPr>
              <w:t xml:space="preserve"> </w:t>
            </w:r>
            <w:r w:rsidRPr="00D409F6">
              <w:rPr>
                <w:rFonts w:ascii="Calibri" w:hAnsi="Calibri" w:cs="Calibri"/>
                <w:color w:val="000000"/>
                <w:szCs w:val="20"/>
                <w:lang w:val="en-CA" w:eastAsia="en-CA"/>
              </w:rPr>
              <w:t xml:space="preserve">0.175 </w:t>
            </w:r>
          </w:p>
        </w:tc>
      </w:tr>
    </w:tbl>
    <w:p w14:paraId="6E538DD6" w14:textId="45FABA26" w:rsidR="007B04D4" w:rsidRPr="00FC2211" w:rsidRDefault="007B04D4" w:rsidP="004E37A1">
      <w:pPr>
        <w:autoSpaceDE w:val="0"/>
        <w:autoSpaceDN w:val="0"/>
        <w:adjustRightInd w:val="0"/>
        <w:ind w:left="360"/>
        <w:jc w:val="center"/>
        <w:rPr>
          <w:rFonts w:cstheme="minorHAnsi"/>
          <w:szCs w:val="20"/>
        </w:rPr>
      </w:pPr>
    </w:p>
    <w:p w14:paraId="3A7DB15B" w14:textId="77777777" w:rsidR="00727E80" w:rsidRDefault="00727E80" w:rsidP="002B36BD">
      <w:pPr>
        <w:tabs>
          <w:tab w:val="left" w:pos="357"/>
        </w:tabs>
        <w:ind w:left="426"/>
        <w:rPr>
          <w:rFonts w:cstheme="minorHAnsi"/>
          <w:szCs w:val="20"/>
        </w:rPr>
      </w:pPr>
    </w:p>
    <w:p w14:paraId="24AF00C7" w14:textId="1076D95E" w:rsidR="0094014E" w:rsidRDefault="000B1C84" w:rsidP="002B36BD">
      <w:pPr>
        <w:tabs>
          <w:tab w:val="left" w:pos="357"/>
        </w:tabs>
        <w:ind w:left="426"/>
        <w:rPr>
          <w:rFonts w:cstheme="minorHAnsi"/>
          <w:szCs w:val="20"/>
        </w:rPr>
      </w:pPr>
      <w:r w:rsidRPr="00FC2211">
        <w:rPr>
          <w:rFonts w:cstheme="minorHAnsi"/>
          <w:szCs w:val="20"/>
        </w:rPr>
        <w:t>D</w:t>
      </w:r>
      <w:r w:rsidR="0094014E" w:rsidRPr="00FC2211">
        <w:rPr>
          <w:rFonts w:cstheme="minorHAnsi"/>
          <w:szCs w:val="20"/>
        </w:rPr>
        <w:t>etails of warrants outstanding as at</w:t>
      </w:r>
      <w:r w:rsidR="004E37A1">
        <w:rPr>
          <w:rFonts w:cstheme="minorHAnsi"/>
          <w:szCs w:val="20"/>
        </w:rPr>
        <w:t xml:space="preserve"> March 31, 2024</w:t>
      </w:r>
      <w:r w:rsidR="005B21FF" w:rsidRPr="00FC2211">
        <w:rPr>
          <w:rFonts w:cstheme="minorHAnsi"/>
          <w:szCs w:val="20"/>
        </w:rPr>
        <w:t>,</w:t>
      </w:r>
      <w:r w:rsidR="00FB780D" w:rsidRPr="00FC2211">
        <w:rPr>
          <w:rFonts w:cstheme="minorHAnsi"/>
          <w:szCs w:val="20"/>
        </w:rPr>
        <w:t xml:space="preserve"> </w:t>
      </w:r>
      <w:r w:rsidR="0094014E" w:rsidRPr="00FC2211">
        <w:rPr>
          <w:rFonts w:cstheme="minorHAnsi"/>
          <w:szCs w:val="20"/>
        </w:rPr>
        <w:t>are as follows:</w:t>
      </w:r>
    </w:p>
    <w:p w14:paraId="07C498D8" w14:textId="77777777" w:rsidR="002C0705" w:rsidRPr="00FC2211" w:rsidRDefault="002C0705" w:rsidP="002B36BD">
      <w:pPr>
        <w:tabs>
          <w:tab w:val="left" w:pos="357"/>
        </w:tabs>
        <w:ind w:left="426"/>
        <w:rPr>
          <w:rFonts w:cstheme="minorHAnsi"/>
          <w:szCs w:val="20"/>
        </w:rPr>
      </w:pPr>
    </w:p>
    <w:tbl>
      <w:tblPr>
        <w:tblW w:w="6954" w:type="dxa"/>
        <w:jc w:val="center"/>
        <w:tblLook w:val="04A0" w:firstRow="1" w:lastRow="0" w:firstColumn="1" w:lastColumn="0" w:noHBand="0" w:noVBand="1"/>
      </w:tblPr>
      <w:tblGrid>
        <w:gridCol w:w="2694"/>
        <w:gridCol w:w="1460"/>
        <w:gridCol w:w="1400"/>
        <w:gridCol w:w="1400"/>
      </w:tblGrid>
      <w:tr w:rsidR="002C0705" w:rsidRPr="002C0705" w14:paraId="2E8DCDEB" w14:textId="77777777" w:rsidTr="00AA29FB">
        <w:trPr>
          <w:trHeight w:val="840"/>
          <w:jc w:val="center"/>
        </w:trPr>
        <w:tc>
          <w:tcPr>
            <w:tcW w:w="2694" w:type="dxa"/>
            <w:tcBorders>
              <w:top w:val="nil"/>
              <w:left w:val="nil"/>
              <w:bottom w:val="single" w:sz="12" w:space="0" w:color="auto"/>
              <w:right w:val="nil"/>
            </w:tcBorders>
            <w:shd w:val="clear" w:color="000000" w:fill="FFFFFF"/>
            <w:vAlign w:val="center"/>
            <w:hideMark/>
          </w:tcPr>
          <w:p w14:paraId="206BBA51" w14:textId="77777777" w:rsidR="002C0705" w:rsidRPr="002C0705" w:rsidRDefault="002C0705" w:rsidP="002C0705">
            <w:pPr>
              <w:jc w:val="center"/>
              <w:rPr>
                <w:rFonts w:ascii="Calibri" w:hAnsi="Calibri" w:cs="Calibri"/>
                <w:b/>
                <w:bCs/>
                <w:color w:val="000000"/>
                <w:szCs w:val="20"/>
                <w:lang w:val="en-CA" w:eastAsia="en-CA"/>
              </w:rPr>
            </w:pPr>
            <w:r w:rsidRPr="002C0705">
              <w:rPr>
                <w:rFonts w:ascii="Calibri" w:hAnsi="Calibri" w:cs="Calibri"/>
                <w:b/>
                <w:bCs/>
                <w:color w:val="000000"/>
                <w:szCs w:val="20"/>
                <w:lang w:val="en-CA" w:eastAsia="en-CA"/>
              </w:rPr>
              <w:t>Expiry date</w:t>
            </w:r>
          </w:p>
        </w:tc>
        <w:tc>
          <w:tcPr>
            <w:tcW w:w="1460" w:type="dxa"/>
            <w:tcBorders>
              <w:top w:val="nil"/>
              <w:left w:val="nil"/>
              <w:bottom w:val="single" w:sz="12" w:space="0" w:color="auto"/>
              <w:right w:val="nil"/>
            </w:tcBorders>
            <w:shd w:val="clear" w:color="000000" w:fill="FFFFFF"/>
            <w:vAlign w:val="center"/>
            <w:hideMark/>
          </w:tcPr>
          <w:p w14:paraId="5FD773EA" w14:textId="77777777" w:rsidR="002C0705" w:rsidRPr="002C0705" w:rsidRDefault="002C0705" w:rsidP="002C0705">
            <w:pPr>
              <w:jc w:val="center"/>
              <w:rPr>
                <w:rFonts w:ascii="Calibri" w:hAnsi="Calibri" w:cs="Calibri"/>
                <w:b/>
                <w:bCs/>
                <w:color w:val="000000"/>
                <w:szCs w:val="20"/>
                <w:lang w:val="en-CA" w:eastAsia="en-CA"/>
              </w:rPr>
            </w:pPr>
            <w:r w:rsidRPr="002C0705">
              <w:rPr>
                <w:rFonts w:ascii="Calibri" w:hAnsi="Calibri" w:cs="Calibri"/>
                <w:b/>
                <w:bCs/>
                <w:color w:val="000000"/>
                <w:szCs w:val="20"/>
                <w:lang w:val="en-CA" w:eastAsia="en-CA"/>
              </w:rPr>
              <w:t>Number of warrants</w:t>
            </w:r>
          </w:p>
        </w:tc>
        <w:tc>
          <w:tcPr>
            <w:tcW w:w="1400" w:type="dxa"/>
            <w:tcBorders>
              <w:top w:val="nil"/>
              <w:left w:val="nil"/>
              <w:bottom w:val="single" w:sz="12" w:space="0" w:color="auto"/>
              <w:right w:val="nil"/>
            </w:tcBorders>
            <w:shd w:val="clear" w:color="000000" w:fill="FFFFFF"/>
            <w:vAlign w:val="center"/>
            <w:hideMark/>
          </w:tcPr>
          <w:p w14:paraId="6786C494" w14:textId="77777777" w:rsidR="002C0705" w:rsidRPr="002C0705" w:rsidRDefault="002C0705" w:rsidP="002C0705">
            <w:pPr>
              <w:jc w:val="center"/>
              <w:rPr>
                <w:rFonts w:ascii="Calibri" w:hAnsi="Calibri" w:cs="Calibri"/>
                <w:b/>
                <w:bCs/>
                <w:color w:val="000000"/>
                <w:szCs w:val="20"/>
                <w:lang w:val="en-CA" w:eastAsia="en-CA"/>
              </w:rPr>
            </w:pPr>
            <w:r w:rsidRPr="002C0705">
              <w:rPr>
                <w:rFonts w:ascii="Calibri" w:hAnsi="Calibri" w:cs="Calibri"/>
                <w:b/>
                <w:bCs/>
                <w:color w:val="000000"/>
                <w:szCs w:val="20"/>
                <w:lang w:val="en-CA" w:eastAsia="en-CA"/>
              </w:rPr>
              <w:t>Exercise price</w:t>
            </w:r>
          </w:p>
        </w:tc>
        <w:tc>
          <w:tcPr>
            <w:tcW w:w="1400" w:type="dxa"/>
            <w:tcBorders>
              <w:top w:val="nil"/>
              <w:left w:val="nil"/>
              <w:bottom w:val="single" w:sz="12" w:space="0" w:color="auto"/>
              <w:right w:val="nil"/>
            </w:tcBorders>
            <w:shd w:val="clear" w:color="000000" w:fill="FFFFFF"/>
            <w:vAlign w:val="center"/>
            <w:hideMark/>
          </w:tcPr>
          <w:p w14:paraId="3830432C" w14:textId="77777777" w:rsidR="002C0705" w:rsidRPr="002C0705" w:rsidRDefault="002C0705" w:rsidP="002C0705">
            <w:pPr>
              <w:jc w:val="center"/>
              <w:rPr>
                <w:rFonts w:ascii="Calibri" w:hAnsi="Calibri" w:cs="Calibri"/>
                <w:b/>
                <w:bCs/>
                <w:color w:val="000000"/>
                <w:szCs w:val="20"/>
                <w:lang w:val="en-CA" w:eastAsia="en-CA"/>
              </w:rPr>
            </w:pPr>
            <w:r w:rsidRPr="002C0705">
              <w:rPr>
                <w:rFonts w:ascii="Calibri" w:hAnsi="Calibri" w:cs="Calibri"/>
                <w:b/>
                <w:bCs/>
                <w:color w:val="000000"/>
                <w:szCs w:val="20"/>
                <w:lang w:val="en-CA" w:eastAsia="en-CA"/>
              </w:rPr>
              <w:t>Number of warrants exercisable</w:t>
            </w:r>
          </w:p>
        </w:tc>
      </w:tr>
      <w:tr w:rsidR="002C0705" w:rsidRPr="002C0705" w14:paraId="63AD99FB" w14:textId="77777777" w:rsidTr="00AA29FB">
        <w:trPr>
          <w:trHeight w:val="276"/>
          <w:jc w:val="center"/>
        </w:trPr>
        <w:tc>
          <w:tcPr>
            <w:tcW w:w="2694" w:type="dxa"/>
            <w:tcBorders>
              <w:top w:val="single" w:sz="12" w:space="0" w:color="auto"/>
              <w:left w:val="nil"/>
              <w:bottom w:val="nil"/>
              <w:right w:val="nil"/>
            </w:tcBorders>
            <w:shd w:val="clear" w:color="000000" w:fill="FFFFFF"/>
            <w:noWrap/>
            <w:vAlign w:val="center"/>
            <w:hideMark/>
          </w:tcPr>
          <w:p w14:paraId="11218F89" w14:textId="77777777" w:rsidR="002C0705" w:rsidRPr="002C0705" w:rsidRDefault="002C0705" w:rsidP="002C0705">
            <w:pPr>
              <w:jc w:val="center"/>
              <w:rPr>
                <w:rFonts w:ascii="Calibri" w:hAnsi="Calibri" w:cs="Calibri"/>
                <w:color w:val="000000"/>
                <w:szCs w:val="20"/>
                <w:lang w:val="en-CA" w:eastAsia="en-CA"/>
              </w:rPr>
            </w:pPr>
            <w:r w:rsidRPr="002C0705">
              <w:rPr>
                <w:rFonts w:ascii="Calibri" w:hAnsi="Calibri" w:cs="Calibri"/>
                <w:color w:val="000000"/>
                <w:szCs w:val="20"/>
                <w:lang w:val="en-CA" w:eastAsia="en-CA"/>
              </w:rPr>
              <w:t>17-Nov-25</w:t>
            </w:r>
          </w:p>
        </w:tc>
        <w:tc>
          <w:tcPr>
            <w:tcW w:w="1460" w:type="dxa"/>
            <w:tcBorders>
              <w:top w:val="single" w:sz="12" w:space="0" w:color="auto"/>
              <w:left w:val="nil"/>
              <w:bottom w:val="nil"/>
              <w:right w:val="nil"/>
            </w:tcBorders>
            <w:shd w:val="clear" w:color="000000" w:fill="FFFFFF"/>
            <w:noWrap/>
            <w:vAlign w:val="center"/>
            <w:hideMark/>
          </w:tcPr>
          <w:p w14:paraId="4F8C221B" w14:textId="77777777"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7,262,500</w:t>
            </w:r>
          </w:p>
        </w:tc>
        <w:tc>
          <w:tcPr>
            <w:tcW w:w="1400" w:type="dxa"/>
            <w:tcBorders>
              <w:top w:val="single" w:sz="12" w:space="0" w:color="auto"/>
              <w:left w:val="nil"/>
              <w:bottom w:val="nil"/>
              <w:right w:val="nil"/>
            </w:tcBorders>
            <w:shd w:val="clear" w:color="000000" w:fill="FFFFFF"/>
            <w:noWrap/>
            <w:vAlign w:val="center"/>
            <w:hideMark/>
          </w:tcPr>
          <w:p w14:paraId="4E054D82" w14:textId="5E638DF9"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 xml:space="preserve">   0.190 </w:t>
            </w:r>
          </w:p>
        </w:tc>
        <w:tc>
          <w:tcPr>
            <w:tcW w:w="1400" w:type="dxa"/>
            <w:tcBorders>
              <w:top w:val="single" w:sz="12" w:space="0" w:color="auto"/>
              <w:left w:val="nil"/>
              <w:bottom w:val="nil"/>
              <w:right w:val="nil"/>
            </w:tcBorders>
            <w:shd w:val="clear" w:color="000000" w:fill="FFFFFF"/>
            <w:vAlign w:val="center"/>
            <w:hideMark/>
          </w:tcPr>
          <w:p w14:paraId="3C7B5D0D" w14:textId="77777777"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7,262,500</w:t>
            </w:r>
          </w:p>
        </w:tc>
      </w:tr>
      <w:tr w:rsidR="002C0705" w:rsidRPr="002C0705" w14:paraId="065696CD" w14:textId="77777777" w:rsidTr="002C0705">
        <w:trPr>
          <w:trHeight w:val="276"/>
          <w:jc w:val="center"/>
        </w:trPr>
        <w:tc>
          <w:tcPr>
            <w:tcW w:w="2694" w:type="dxa"/>
            <w:tcBorders>
              <w:top w:val="nil"/>
              <w:left w:val="nil"/>
              <w:bottom w:val="nil"/>
              <w:right w:val="nil"/>
            </w:tcBorders>
            <w:shd w:val="clear" w:color="000000" w:fill="FFFFFF"/>
            <w:noWrap/>
            <w:vAlign w:val="center"/>
            <w:hideMark/>
          </w:tcPr>
          <w:p w14:paraId="15F91F5B" w14:textId="77777777" w:rsidR="002C0705" w:rsidRPr="002C0705" w:rsidRDefault="002C0705" w:rsidP="002C0705">
            <w:pPr>
              <w:jc w:val="center"/>
              <w:rPr>
                <w:rFonts w:ascii="Calibri" w:hAnsi="Calibri" w:cs="Calibri"/>
                <w:color w:val="000000"/>
                <w:szCs w:val="20"/>
                <w:lang w:val="en-CA" w:eastAsia="en-CA"/>
              </w:rPr>
            </w:pPr>
            <w:r w:rsidRPr="002C0705">
              <w:rPr>
                <w:rFonts w:ascii="Calibri" w:hAnsi="Calibri" w:cs="Calibri"/>
                <w:color w:val="000000"/>
                <w:szCs w:val="20"/>
                <w:lang w:val="en-CA" w:eastAsia="en-CA"/>
              </w:rPr>
              <w:t>17-Nov-25</w:t>
            </w:r>
          </w:p>
        </w:tc>
        <w:tc>
          <w:tcPr>
            <w:tcW w:w="1460" w:type="dxa"/>
            <w:tcBorders>
              <w:top w:val="nil"/>
              <w:left w:val="nil"/>
              <w:bottom w:val="nil"/>
              <w:right w:val="nil"/>
            </w:tcBorders>
            <w:shd w:val="clear" w:color="000000" w:fill="FFFFFF"/>
            <w:noWrap/>
            <w:vAlign w:val="center"/>
            <w:hideMark/>
          </w:tcPr>
          <w:p w14:paraId="1134B27D" w14:textId="77777777"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923,721</w:t>
            </w:r>
          </w:p>
        </w:tc>
        <w:tc>
          <w:tcPr>
            <w:tcW w:w="1400" w:type="dxa"/>
            <w:tcBorders>
              <w:top w:val="nil"/>
              <w:left w:val="nil"/>
              <w:bottom w:val="nil"/>
              <w:right w:val="nil"/>
            </w:tcBorders>
            <w:shd w:val="clear" w:color="000000" w:fill="FFFFFF"/>
            <w:noWrap/>
            <w:vAlign w:val="center"/>
            <w:hideMark/>
          </w:tcPr>
          <w:p w14:paraId="2DB02361" w14:textId="2A0D6189"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 xml:space="preserve">  0.120 </w:t>
            </w:r>
          </w:p>
        </w:tc>
        <w:tc>
          <w:tcPr>
            <w:tcW w:w="1400" w:type="dxa"/>
            <w:tcBorders>
              <w:top w:val="nil"/>
              <w:left w:val="nil"/>
              <w:bottom w:val="nil"/>
              <w:right w:val="nil"/>
            </w:tcBorders>
            <w:shd w:val="clear" w:color="000000" w:fill="FFFFFF"/>
            <w:vAlign w:val="center"/>
            <w:hideMark/>
          </w:tcPr>
          <w:p w14:paraId="5949FC08" w14:textId="77777777"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923,721</w:t>
            </w:r>
          </w:p>
        </w:tc>
      </w:tr>
      <w:tr w:rsidR="002C0705" w:rsidRPr="002C0705" w14:paraId="4A22D643" w14:textId="77777777" w:rsidTr="002C0705">
        <w:trPr>
          <w:trHeight w:val="276"/>
          <w:jc w:val="center"/>
        </w:trPr>
        <w:tc>
          <w:tcPr>
            <w:tcW w:w="2694" w:type="dxa"/>
            <w:tcBorders>
              <w:top w:val="nil"/>
              <w:left w:val="nil"/>
              <w:bottom w:val="nil"/>
              <w:right w:val="nil"/>
            </w:tcBorders>
            <w:shd w:val="clear" w:color="000000" w:fill="FFFFFF"/>
            <w:noWrap/>
            <w:vAlign w:val="center"/>
            <w:hideMark/>
          </w:tcPr>
          <w:p w14:paraId="42E3EC6C" w14:textId="77777777" w:rsidR="002C0705" w:rsidRPr="002C0705" w:rsidRDefault="002C0705" w:rsidP="002C0705">
            <w:pPr>
              <w:jc w:val="center"/>
              <w:rPr>
                <w:rFonts w:ascii="Calibri" w:hAnsi="Calibri" w:cs="Calibri"/>
                <w:color w:val="000000"/>
                <w:szCs w:val="20"/>
                <w:lang w:val="en-CA" w:eastAsia="en-CA"/>
              </w:rPr>
            </w:pPr>
            <w:r w:rsidRPr="002C0705">
              <w:rPr>
                <w:rFonts w:ascii="Calibri" w:hAnsi="Calibri" w:cs="Calibri"/>
                <w:color w:val="000000"/>
                <w:szCs w:val="20"/>
                <w:lang w:val="en-CA" w:eastAsia="en-CA"/>
              </w:rPr>
              <w:t>31-Jan-27</w:t>
            </w:r>
          </w:p>
        </w:tc>
        <w:tc>
          <w:tcPr>
            <w:tcW w:w="1460" w:type="dxa"/>
            <w:tcBorders>
              <w:top w:val="nil"/>
              <w:left w:val="nil"/>
              <w:bottom w:val="nil"/>
              <w:right w:val="nil"/>
            </w:tcBorders>
            <w:shd w:val="clear" w:color="000000" w:fill="FFFFFF"/>
            <w:noWrap/>
            <w:vAlign w:val="center"/>
            <w:hideMark/>
          </w:tcPr>
          <w:p w14:paraId="3CF1BCAF" w14:textId="77777777"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286,116</w:t>
            </w:r>
          </w:p>
        </w:tc>
        <w:tc>
          <w:tcPr>
            <w:tcW w:w="1400" w:type="dxa"/>
            <w:tcBorders>
              <w:top w:val="nil"/>
              <w:left w:val="nil"/>
              <w:bottom w:val="nil"/>
              <w:right w:val="nil"/>
            </w:tcBorders>
            <w:shd w:val="clear" w:color="000000" w:fill="FFFFFF"/>
            <w:noWrap/>
            <w:vAlign w:val="center"/>
            <w:hideMark/>
          </w:tcPr>
          <w:p w14:paraId="20E04A10" w14:textId="44952DDD"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 xml:space="preserve">  0.085 </w:t>
            </w:r>
          </w:p>
        </w:tc>
        <w:tc>
          <w:tcPr>
            <w:tcW w:w="1400" w:type="dxa"/>
            <w:tcBorders>
              <w:top w:val="nil"/>
              <w:left w:val="nil"/>
              <w:bottom w:val="nil"/>
              <w:right w:val="nil"/>
            </w:tcBorders>
            <w:shd w:val="clear" w:color="000000" w:fill="FFFFFF"/>
            <w:vAlign w:val="center"/>
            <w:hideMark/>
          </w:tcPr>
          <w:p w14:paraId="5785FC09" w14:textId="77777777"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286,116</w:t>
            </w:r>
          </w:p>
        </w:tc>
      </w:tr>
      <w:tr w:rsidR="002C0705" w:rsidRPr="002C0705" w14:paraId="685913E3" w14:textId="77777777" w:rsidTr="00AA29FB">
        <w:trPr>
          <w:trHeight w:val="276"/>
          <w:jc w:val="center"/>
        </w:trPr>
        <w:tc>
          <w:tcPr>
            <w:tcW w:w="2694" w:type="dxa"/>
            <w:tcBorders>
              <w:top w:val="nil"/>
              <w:left w:val="nil"/>
              <w:bottom w:val="single" w:sz="4" w:space="0" w:color="auto"/>
              <w:right w:val="nil"/>
            </w:tcBorders>
            <w:shd w:val="clear" w:color="000000" w:fill="FFFFFF"/>
            <w:noWrap/>
            <w:vAlign w:val="center"/>
            <w:hideMark/>
          </w:tcPr>
          <w:p w14:paraId="35829EE2" w14:textId="77777777" w:rsidR="002C0705" w:rsidRPr="002C0705" w:rsidRDefault="002C0705" w:rsidP="002C0705">
            <w:pPr>
              <w:jc w:val="center"/>
              <w:rPr>
                <w:rFonts w:ascii="Calibri" w:hAnsi="Calibri" w:cs="Calibri"/>
                <w:color w:val="000000"/>
                <w:szCs w:val="20"/>
                <w:lang w:val="en-CA" w:eastAsia="en-CA"/>
              </w:rPr>
            </w:pPr>
            <w:r w:rsidRPr="002C0705">
              <w:rPr>
                <w:rFonts w:ascii="Calibri" w:hAnsi="Calibri" w:cs="Calibri"/>
                <w:color w:val="000000"/>
                <w:szCs w:val="20"/>
                <w:lang w:val="en-CA" w:eastAsia="en-CA"/>
              </w:rPr>
              <w:t>16-Feb-27</w:t>
            </w:r>
          </w:p>
        </w:tc>
        <w:tc>
          <w:tcPr>
            <w:tcW w:w="1460" w:type="dxa"/>
            <w:tcBorders>
              <w:top w:val="nil"/>
              <w:left w:val="nil"/>
              <w:bottom w:val="single" w:sz="4" w:space="0" w:color="auto"/>
              <w:right w:val="nil"/>
            </w:tcBorders>
            <w:shd w:val="clear" w:color="000000" w:fill="FFFFFF"/>
            <w:noWrap/>
            <w:vAlign w:val="center"/>
            <w:hideMark/>
          </w:tcPr>
          <w:p w14:paraId="6F161612" w14:textId="77777777"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56,470</w:t>
            </w:r>
          </w:p>
        </w:tc>
        <w:tc>
          <w:tcPr>
            <w:tcW w:w="1400" w:type="dxa"/>
            <w:tcBorders>
              <w:top w:val="nil"/>
              <w:left w:val="nil"/>
              <w:bottom w:val="single" w:sz="4" w:space="0" w:color="auto"/>
              <w:right w:val="nil"/>
            </w:tcBorders>
            <w:shd w:val="clear" w:color="000000" w:fill="FFFFFF"/>
            <w:noWrap/>
            <w:vAlign w:val="center"/>
            <w:hideMark/>
          </w:tcPr>
          <w:p w14:paraId="3D59A5CD" w14:textId="490449EF"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 xml:space="preserve">      0.085 </w:t>
            </w:r>
          </w:p>
        </w:tc>
        <w:tc>
          <w:tcPr>
            <w:tcW w:w="1400" w:type="dxa"/>
            <w:tcBorders>
              <w:top w:val="nil"/>
              <w:left w:val="nil"/>
              <w:bottom w:val="single" w:sz="4" w:space="0" w:color="auto"/>
              <w:right w:val="nil"/>
            </w:tcBorders>
            <w:shd w:val="clear" w:color="000000" w:fill="FFFFFF"/>
            <w:vAlign w:val="center"/>
            <w:hideMark/>
          </w:tcPr>
          <w:p w14:paraId="333A8DA7" w14:textId="77777777" w:rsidR="002C0705" w:rsidRPr="002C0705" w:rsidRDefault="002C0705" w:rsidP="00110316">
            <w:pPr>
              <w:jc w:val="right"/>
              <w:rPr>
                <w:rFonts w:ascii="Calibri" w:hAnsi="Calibri" w:cs="Calibri"/>
                <w:color w:val="000000"/>
                <w:szCs w:val="20"/>
                <w:lang w:val="en-CA" w:eastAsia="en-CA"/>
              </w:rPr>
            </w:pPr>
            <w:r w:rsidRPr="002C0705">
              <w:rPr>
                <w:rFonts w:ascii="Calibri" w:hAnsi="Calibri" w:cs="Calibri"/>
                <w:color w:val="000000"/>
                <w:szCs w:val="20"/>
                <w:lang w:val="en-CA" w:eastAsia="en-CA"/>
              </w:rPr>
              <w:t>56,470</w:t>
            </w:r>
          </w:p>
        </w:tc>
      </w:tr>
      <w:tr w:rsidR="002C0705" w:rsidRPr="002C0705" w14:paraId="08FA7060" w14:textId="77777777" w:rsidTr="00AA29FB">
        <w:trPr>
          <w:trHeight w:val="288"/>
          <w:jc w:val="center"/>
        </w:trPr>
        <w:tc>
          <w:tcPr>
            <w:tcW w:w="2694" w:type="dxa"/>
            <w:tcBorders>
              <w:top w:val="single" w:sz="4" w:space="0" w:color="auto"/>
              <w:left w:val="nil"/>
              <w:bottom w:val="single" w:sz="12" w:space="0" w:color="auto"/>
              <w:right w:val="nil"/>
            </w:tcBorders>
            <w:shd w:val="clear" w:color="000000" w:fill="FFFFFF"/>
            <w:noWrap/>
            <w:vAlign w:val="center"/>
            <w:hideMark/>
          </w:tcPr>
          <w:p w14:paraId="3C5CCB99" w14:textId="77777777" w:rsidR="002C0705" w:rsidRPr="002C0705" w:rsidRDefault="002C0705" w:rsidP="002C0705">
            <w:pPr>
              <w:rPr>
                <w:rFonts w:ascii="Calibri" w:hAnsi="Calibri" w:cs="Calibri"/>
                <w:color w:val="000000"/>
                <w:szCs w:val="20"/>
                <w:lang w:val="en-CA" w:eastAsia="en-CA"/>
              </w:rPr>
            </w:pPr>
            <w:r w:rsidRPr="002C0705">
              <w:rPr>
                <w:rFonts w:ascii="Calibri" w:hAnsi="Calibri" w:cs="Calibri"/>
                <w:color w:val="000000"/>
                <w:szCs w:val="20"/>
                <w:lang w:val="en-CA" w:eastAsia="en-CA"/>
              </w:rPr>
              <w:t> </w:t>
            </w:r>
          </w:p>
        </w:tc>
        <w:tc>
          <w:tcPr>
            <w:tcW w:w="1460" w:type="dxa"/>
            <w:tcBorders>
              <w:top w:val="single" w:sz="4" w:space="0" w:color="auto"/>
              <w:left w:val="nil"/>
              <w:bottom w:val="single" w:sz="12" w:space="0" w:color="auto"/>
              <w:right w:val="nil"/>
            </w:tcBorders>
            <w:shd w:val="clear" w:color="000000" w:fill="FFFFFF"/>
            <w:noWrap/>
            <w:vAlign w:val="center"/>
            <w:hideMark/>
          </w:tcPr>
          <w:p w14:paraId="4EFB8825" w14:textId="77777777" w:rsidR="002C0705" w:rsidRPr="002C0705" w:rsidRDefault="002C0705" w:rsidP="00110316">
            <w:pPr>
              <w:jc w:val="right"/>
              <w:rPr>
                <w:rFonts w:ascii="Calibri" w:hAnsi="Calibri" w:cs="Calibri"/>
                <w:b/>
                <w:bCs/>
                <w:color w:val="000000"/>
                <w:szCs w:val="20"/>
                <w:lang w:val="en-CA" w:eastAsia="en-CA"/>
              </w:rPr>
            </w:pPr>
            <w:r w:rsidRPr="002C0705">
              <w:rPr>
                <w:rFonts w:ascii="Calibri" w:hAnsi="Calibri" w:cs="Calibri"/>
                <w:b/>
                <w:bCs/>
                <w:color w:val="000000"/>
                <w:szCs w:val="20"/>
                <w:lang w:val="en-CA" w:eastAsia="en-CA"/>
              </w:rPr>
              <w:t>8,528,807</w:t>
            </w:r>
          </w:p>
        </w:tc>
        <w:tc>
          <w:tcPr>
            <w:tcW w:w="1400" w:type="dxa"/>
            <w:tcBorders>
              <w:top w:val="single" w:sz="4" w:space="0" w:color="auto"/>
              <w:left w:val="nil"/>
              <w:bottom w:val="single" w:sz="12" w:space="0" w:color="auto"/>
              <w:right w:val="nil"/>
            </w:tcBorders>
            <w:shd w:val="clear" w:color="000000" w:fill="FFFFFF"/>
            <w:noWrap/>
            <w:vAlign w:val="center"/>
            <w:hideMark/>
          </w:tcPr>
          <w:p w14:paraId="22A2CBEF" w14:textId="706E0D62" w:rsidR="002C0705" w:rsidRPr="002C0705" w:rsidRDefault="002C0705" w:rsidP="00110316">
            <w:pPr>
              <w:jc w:val="right"/>
              <w:rPr>
                <w:rFonts w:ascii="Calibri" w:hAnsi="Calibri" w:cs="Calibri"/>
                <w:b/>
                <w:bCs/>
                <w:color w:val="000000"/>
                <w:szCs w:val="20"/>
                <w:lang w:val="en-CA" w:eastAsia="en-CA"/>
              </w:rPr>
            </w:pPr>
            <w:r w:rsidRPr="002C0705">
              <w:rPr>
                <w:rFonts w:ascii="Calibri" w:hAnsi="Calibri" w:cs="Calibri"/>
                <w:b/>
                <w:bCs/>
                <w:color w:val="000000"/>
                <w:szCs w:val="20"/>
                <w:lang w:val="en-CA" w:eastAsia="en-CA"/>
              </w:rPr>
              <w:t xml:space="preserve">     0.178 </w:t>
            </w:r>
          </w:p>
        </w:tc>
        <w:tc>
          <w:tcPr>
            <w:tcW w:w="1400" w:type="dxa"/>
            <w:tcBorders>
              <w:top w:val="single" w:sz="4" w:space="0" w:color="auto"/>
              <w:left w:val="nil"/>
              <w:bottom w:val="single" w:sz="12" w:space="0" w:color="auto"/>
              <w:right w:val="nil"/>
            </w:tcBorders>
            <w:shd w:val="clear" w:color="000000" w:fill="FFFFFF"/>
            <w:noWrap/>
            <w:vAlign w:val="center"/>
            <w:hideMark/>
          </w:tcPr>
          <w:p w14:paraId="5A765728" w14:textId="77777777" w:rsidR="002C0705" w:rsidRPr="002C0705" w:rsidRDefault="002C0705" w:rsidP="00110316">
            <w:pPr>
              <w:jc w:val="right"/>
              <w:rPr>
                <w:rFonts w:ascii="Calibri" w:hAnsi="Calibri" w:cs="Calibri"/>
                <w:b/>
                <w:bCs/>
                <w:color w:val="000000"/>
                <w:szCs w:val="20"/>
                <w:lang w:val="en-CA" w:eastAsia="en-CA"/>
              </w:rPr>
            </w:pPr>
            <w:r w:rsidRPr="002C0705">
              <w:rPr>
                <w:rFonts w:ascii="Calibri" w:hAnsi="Calibri" w:cs="Calibri"/>
                <w:b/>
                <w:bCs/>
                <w:color w:val="000000"/>
                <w:szCs w:val="20"/>
                <w:lang w:val="en-CA" w:eastAsia="en-CA"/>
              </w:rPr>
              <w:t>8,528,807</w:t>
            </w:r>
          </w:p>
        </w:tc>
      </w:tr>
    </w:tbl>
    <w:p w14:paraId="494657FE" w14:textId="7356DD2A" w:rsidR="00143CCC" w:rsidRDefault="00143CCC" w:rsidP="0065791E">
      <w:pPr>
        <w:tabs>
          <w:tab w:val="left" w:pos="357"/>
        </w:tabs>
        <w:ind w:left="426"/>
        <w:jc w:val="center"/>
        <w:rPr>
          <w:rFonts w:cstheme="minorHAnsi"/>
          <w:szCs w:val="20"/>
        </w:rPr>
      </w:pPr>
    </w:p>
    <w:p w14:paraId="6349A947" w14:textId="7ED1E9B3" w:rsidR="00B0014D" w:rsidRDefault="00B0014D" w:rsidP="002B36BD">
      <w:pPr>
        <w:tabs>
          <w:tab w:val="left" w:pos="357"/>
        </w:tabs>
        <w:ind w:left="426"/>
        <w:rPr>
          <w:rFonts w:cstheme="minorHAnsi"/>
          <w:szCs w:val="20"/>
        </w:rPr>
      </w:pPr>
      <w:r>
        <w:rPr>
          <w:rFonts w:cstheme="minorHAnsi"/>
          <w:szCs w:val="20"/>
        </w:rPr>
        <w:br w:type="page"/>
      </w:r>
    </w:p>
    <w:p w14:paraId="12CE0498" w14:textId="05E1AD85" w:rsidR="004F5249" w:rsidRPr="00FC2211" w:rsidRDefault="004F5249" w:rsidP="004F5249">
      <w:pPr>
        <w:pStyle w:val="Heading1"/>
        <w:rPr>
          <w:rFonts w:cstheme="minorHAnsi"/>
          <w:szCs w:val="20"/>
          <w:lang w:val="en-GB"/>
        </w:rPr>
      </w:pPr>
      <w:r w:rsidRPr="00FC2211">
        <w:rPr>
          <w:rFonts w:cstheme="minorHAnsi"/>
          <w:szCs w:val="20"/>
          <w:lang w:val="en-GB"/>
        </w:rPr>
        <w:lastRenderedPageBreak/>
        <w:t>1</w:t>
      </w:r>
      <w:r w:rsidR="00CC1E02">
        <w:rPr>
          <w:rFonts w:cstheme="minorHAnsi"/>
          <w:szCs w:val="20"/>
          <w:lang w:val="en-GB"/>
        </w:rPr>
        <w:t>7</w:t>
      </w:r>
      <w:r w:rsidRPr="00FC2211">
        <w:rPr>
          <w:rFonts w:cstheme="minorHAnsi"/>
          <w:szCs w:val="20"/>
          <w:lang w:val="en-GB"/>
        </w:rPr>
        <w:t xml:space="preserve">. </w:t>
      </w:r>
      <w:r w:rsidR="00792C01" w:rsidRPr="00FC2211">
        <w:rPr>
          <w:rFonts w:cstheme="minorHAnsi"/>
          <w:szCs w:val="20"/>
          <w:lang w:val="en-GB"/>
        </w:rPr>
        <w:t xml:space="preserve"> </w:t>
      </w:r>
      <w:r w:rsidRPr="00FC2211">
        <w:rPr>
          <w:rFonts w:cstheme="minorHAnsi"/>
          <w:szCs w:val="20"/>
          <w:lang w:val="en-GB"/>
        </w:rPr>
        <w:t xml:space="preserve"> BREAKDOWN OF EXPENSES </w:t>
      </w:r>
    </w:p>
    <w:p w14:paraId="049303D4" w14:textId="77777777" w:rsidR="00A16401" w:rsidRPr="00FC2211" w:rsidRDefault="00A16401" w:rsidP="00A16401">
      <w:pPr>
        <w:rPr>
          <w:lang w:val="en-GB"/>
        </w:rPr>
      </w:pPr>
    </w:p>
    <w:p w14:paraId="17068FDE" w14:textId="77777777" w:rsidR="005F0975" w:rsidRPr="00FC2211" w:rsidRDefault="005A5ED1" w:rsidP="002B36BD">
      <w:pPr>
        <w:ind w:left="426"/>
        <w:rPr>
          <w:rFonts w:cstheme="minorHAnsi"/>
          <w:szCs w:val="20"/>
        </w:rPr>
      </w:pPr>
      <w:r w:rsidRPr="00FC2211">
        <w:rPr>
          <w:rFonts w:cstheme="minorHAnsi"/>
          <w:szCs w:val="20"/>
        </w:rPr>
        <w:t>General and administrative expenses are composed of the following</w:t>
      </w:r>
      <w:r w:rsidR="00F36EA7" w:rsidRPr="00FC2211">
        <w:rPr>
          <w:rFonts w:cstheme="minorHAnsi"/>
          <w:szCs w:val="20"/>
        </w:rPr>
        <w:t>:</w:t>
      </w:r>
    </w:p>
    <w:p w14:paraId="55695F36" w14:textId="77777777" w:rsidR="00210933" w:rsidRPr="00FC2211" w:rsidRDefault="00210933" w:rsidP="002B36BD">
      <w:pPr>
        <w:ind w:left="426"/>
        <w:rPr>
          <w:rFonts w:cstheme="minorHAnsi"/>
          <w:szCs w:val="20"/>
        </w:rPr>
      </w:pPr>
    </w:p>
    <w:tbl>
      <w:tblPr>
        <w:tblW w:w="9322" w:type="dxa"/>
        <w:tblLook w:val="04A0" w:firstRow="1" w:lastRow="0" w:firstColumn="1" w:lastColumn="0" w:noHBand="0" w:noVBand="1"/>
      </w:tblPr>
      <w:tblGrid>
        <w:gridCol w:w="3496"/>
        <w:gridCol w:w="1511"/>
        <w:gridCol w:w="1438"/>
        <w:gridCol w:w="1439"/>
        <w:gridCol w:w="1438"/>
      </w:tblGrid>
      <w:tr w:rsidR="00E36C20" w:rsidRPr="00E36C20" w14:paraId="086A642D" w14:textId="77777777" w:rsidTr="00E36C20">
        <w:trPr>
          <w:trHeight w:val="276"/>
        </w:trPr>
        <w:tc>
          <w:tcPr>
            <w:tcW w:w="3496" w:type="dxa"/>
            <w:tcBorders>
              <w:top w:val="nil"/>
              <w:left w:val="nil"/>
              <w:bottom w:val="single" w:sz="4" w:space="0" w:color="auto"/>
              <w:right w:val="nil"/>
            </w:tcBorders>
            <w:shd w:val="clear" w:color="auto" w:fill="auto"/>
            <w:noWrap/>
            <w:vAlign w:val="center"/>
            <w:hideMark/>
          </w:tcPr>
          <w:p w14:paraId="1F5C7B06" w14:textId="77777777" w:rsidR="00E36C20" w:rsidRPr="00E36C20" w:rsidRDefault="00E36C20" w:rsidP="00E36C20">
            <w:pPr>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w:t>
            </w:r>
          </w:p>
        </w:tc>
        <w:tc>
          <w:tcPr>
            <w:tcW w:w="2949" w:type="dxa"/>
            <w:gridSpan w:val="2"/>
            <w:tcBorders>
              <w:top w:val="nil"/>
              <w:left w:val="nil"/>
              <w:bottom w:val="single" w:sz="4" w:space="0" w:color="auto"/>
              <w:right w:val="nil"/>
            </w:tcBorders>
            <w:shd w:val="clear" w:color="auto" w:fill="auto"/>
            <w:vAlign w:val="center"/>
            <w:hideMark/>
          </w:tcPr>
          <w:p w14:paraId="39E8673A" w14:textId="77777777"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For the three months ended March 31</w:t>
            </w:r>
          </w:p>
        </w:tc>
        <w:tc>
          <w:tcPr>
            <w:tcW w:w="2877" w:type="dxa"/>
            <w:gridSpan w:val="2"/>
            <w:tcBorders>
              <w:top w:val="nil"/>
              <w:left w:val="nil"/>
              <w:bottom w:val="single" w:sz="4" w:space="0" w:color="auto"/>
              <w:right w:val="nil"/>
            </w:tcBorders>
            <w:shd w:val="clear" w:color="auto" w:fill="auto"/>
            <w:vAlign w:val="center"/>
            <w:hideMark/>
          </w:tcPr>
          <w:p w14:paraId="23CCF1F1" w14:textId="77777777"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For the nine months ended March 31</w:t>
            </w:r>
          </w:p>
        </w:tc>
      </w:tr>
      <w:tr w:rsidR="00E36C20" w:rsidRPr="00E36C20" w14:paraId="4836838A" w14:textId="77777777" w:rsidTr="00E36C20">
        <w:trPr>
          <w:trHeight w:val="288"/>
        </w:trPr>
        <w:tc>
          <w:tcPr>
            <w:tcW w:w="3496" w:type="dxa"/>
            <w:tcBorders>
              <w:top w:val="nil"/>
              <w:left w:val="nil"/>
              <w:bottom w:val="single" w:sz="8" w:space="0" w:color="auto"/>
              <w:right w:val="nil"/>
            </w:tcBorders>
            <w:shd w:val="clear" w:color="auto" w:fill="auto"/>
            <w:noWrap/>
            <w:vAlign w:val="center"/>
            <w:hideMark/>
          </w:tcPr>
          <w:p w14:paraId="7491B99B" w14:textId="77777777"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w:t>
            </w:r>
          </w:p>
        </w:tc>
        <w:tc>
          <w:tcPr>
            <w:tcW w:w="1511" w:type="dxa"/>
            <w:tcBorders>
              <w:top w:val="nil"/>
              <w:left w:val="nil"/>
              <w:bottom w:val="single" w:sz="8" w:space="0" w:color="auto"/>
              <w:right w:val="nil"/>
            </w:tcBorders>
            <w:shd w:val="clear" w:color="auto" w:fill="auto"/>
            <w:vAlign w:val="center"/>
            <w:hideMark/>
          </w:tcPr>
          <w:p w14:paraId="158A7668" w14:textId="77777777"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2024</w:t>
            </w:r>
          </w:p>
        </w:tc>
        <w:tc>
          <w:tcPr>
            <w:tcW w:w="1438" w:type="dxa"/>
            <w:tcBorders>
              <w:top w:val="nil"/>
              <w:left w:val="nil"/>
              <w:bottom w:val="single" w:sz="8" w:space="0" w:color="auto"/>
              <w:right w:val="nil"/>
            </w:tcBorders>
            <w:shd w:val="clear" w:color="auto" w:fill="auto"/>
            <w:vAlign w:val="center"/>
            <w:hideMark/>
          </w:tcPr>
          <w:p w14:paraId="7BED3A6F" w14:textId="77777777"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2023</w:t>
            </w:r>
          </w:p>
        </w:tc>
        <w:tc>
          <w:tcPr>
            <w:tcW w:w="1439" w:type="dxa"/>
            <w:tcBorders>
              <w:top w:val="nil"/>
              <w:left w:val="nil"/>
              <w:bottom w:val="single" w:sz="8" w:space="0" w:color="auto"/>
              <w:right w:val="nil"/>
            </w:tcBorders>
            <w:shd w:val="clear" w:color="auto" w:fill="auto"/>
            <w:vAlign w:val="center"/>
            <w:hideMark/>
          </w:tcPr>
          <w:p w14:paraId="56E7BF8A" w14:textId="77777777"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2024</w:t>
            </w:r>
          </w:p>
        </w:tc>
        <w:tc>
          <w:tcPr>
            <w:tcW w:w="1438" w:type="dxa"/>
            <w:tcBorders>
              <w:top w:val="nil"/>
              <w:left w:val="nil"/>
              <w:bottom w:val="single" w:sz="8" w:space="0" w:color="auto"/>
              <w:right w:val="nil"/>
            </w:tcBorders>
            <w:shd w:val="clear" w:color="auto" w:fill="auto"/>
            <w:vAlign w:val="center"/>
            <w:hideMark/>
          </w:tcPr>
          <w:p w14:paraId="13ABFDDB" w14:textId="77777777"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2023</w:t>
            </w:r>
          </w:p>
        </w:tc>
      </w:tr>
      <w:tr w:rsidR="00E36C20" w:rsidRPr="00E36C20" w14:paraId="457B8374" w14:textId="77777777" w:rsidTr="00E36C20">
        <w:trPr>
          <w:trHeight w:val="276"/>
        </w:trPr>
        <w:tc>
          <w:tcPr>
            <w:tcW w:w="3496" w:type="dxa"/>
            <w:tcBorders>
              <w:top w:val="nil"/>
              <w:left w:val="nil"/>
              <w:bottom w:val="nil"/>
              <w:right w:val="nil"/>
            </w:tcBorders>
            <w:shd w:val="clear" w:color="auto" w:fill="auto"/>
            <w:noWrap/>
            <w:vAlign w:val="center"/>
            <w:hideMark/>
          </w:tcPr>
          <w:p w14:paraId="6E611BD3" w14:textId="77777777" w:rsidR="00E36C20" w:rsidRPr="00E36C20" w:rsidRDefault="00E36C20" w:rsidP="00E36C20">
            <w:pPr>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Remuneration and benefits (Note 18)</w:t>
            </w:r>
          </w:p>
        </w:tc>
        <w:tc>
          <w:tcPr>
            <w:tcW w:w="1511" w:type="dxa"/>
            <w:tcBorders>
              <w:top w:val="nil"/>
              <w:left w:val="nil"/>
              <w:bottom w:val="nil"/>
              <w:right w:val="nil"/>
            </w:tcBorders>
            <w:shd w:val="clear" w:color="auto" w:fill="auto"/>
            <w:noWrap/>
            <w:vAlign w:val="center"/>
            <w:hideMark/>
          </w:tcPr>
          <w:p w14:paraId="1E754D90" w14:textId="6473008E" w:rsidR="00E36C20" w:rsidRPr="00E36C20" w:rsidRDefault="00E36C20" w:rsidP="00E36C20">
            <w:pPr>
              <w:jc w:val="right"/>
              <w:rPr>
                <w:rFonts w:ascii="Calibri" w:hAnsi="Calibri" w:cs="Calibri"/>
                <w:b/>
                <w:bCs/>
                <w:color w:val="000000"/>
                <w:sz w:val="18"/>
                <w:szCs w:val="18"/>
                <w:lang w:val="en-CA" w:eastAsia="en-CA"/>
              </w:rPr>
            </w:pPr>
            <w:r>
              <w:rPr>
                <w:rFonts w:ascii="Calibri" w:hAnsi="Calibri" w:cs="Calibri"/>
                <w:b/>
                <w:bCs/>
                <w:color w:val="000000"/>
                <w:sz w:val="18"/>
                <w:szCs w:val="18"/>
                <w:lang w:val="en-CA" w:eastAsia="en-CA"/>
              </w:rPr>
              <w:t>$</w:t>
            </w:r>
            <w:r w:rsidRPr="00E36C20">
              <w:rPr>
                <w:rFonts w:ascii="Calibri" w:hAnsi="Calibri" w:cs="Calibri"/>
                <w:b/>
                <w:bCs/>
                <w:color w:val="000000"/>
                <w:sz w:val="18"/>
                <w:szCs w:val="18"/>
                <w:lang w:val="en-CA" w:eastAsia="en-CA"/>
              </w:rPr>
              <w:t xml:space="preserve"> 176,606 </w:t>
            </w:r>
          </w:p>
        </w:tc>
        <w:tc>
          <w:tcPr>
            <w:tcW w:w="1438" w:type="dxa"/>
            <w:tcBorders>
              <w:top w:val="nil"/>
              <w:left w:val="nil"/>
              <w:bottom w:val="nil"/>
              <w:right w:val="nil"/>
            </w:tcBorders>
            <w:shd w:val="clear" w:color="auto" w:fill="auto"/>
            <w:noWrap/>
            <w:vAlign w:val="center"/>
            <w:hideMark/>
          </w:tcPr>
          <w:p w14:paraId="152D53F9" w14:textId="0C7942AF"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 </w:t>
            </w:r>
            <w:r w:rsidR="005E48F8">
              <w:rPr>
                <w:rFonts w:ascii="Calibri" w:hAnsi="Calibri" w:cs="Calibri"/>
                <w:color w:val="000000"/>
                <w:sz w:val="18"/>
                <w:szCs w:val="18"/>
                <w:lang w:val="en-CA" w:eastAsia="en-CA"/>
              </w:rPr>
              <w:t>$</w:t>
            </w:r>
            <w:r w:rsidRPr="00E36C20">
              <w:rPr>
                <w:rFonts w:ascii="Calibri" w:hAnsi="Calibri" w:cs="Calibri"/>
                <w:color w:val="000000"/>
                <w:sz w:val="18"/>
                <w:szCs w:val="18"/>
                <w:lang w:val="en-CA" w:eastAsia="en-CA"/>
              </w:rPr>
              <w:t xml:space="preserve"> 144,933 </w:t>
            </w:r>
          </w:p>
        </w:tc>
        <w:tc>
          <w:tcPr>
            <w:tcW w:w="1439" w:type="dxa"/>
            <w:tcBorders>
              <w:top w:val="nil"/>
              <w:left w:val="nil"/>
              <w:bottom w:val="nil"/>
              <w:right w:val="nil"/>
            </w:tcBorders>
            <w:shd w:val="clear" w:color="auto" w:fill="auto"/>
            <w:noWrap/>
            <w:vAlign w:val="center"/>
            <w:hideMark/>
          </w:tcPr>
          <w:p w14:paraId="06FB35F3" w14:textId="22FFEE52"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 $ 481,905 </w:t>
            </w:r>
          </w:p>
        </w:tc>
        <w:tc>
          <w:tcPr>
            <w:tcW w:w="1438" w:type="dxa"/>
            <w:tcBorders>
              <w:top w:val="nil"/>
              <w:left w:val="nil"/>
              <w:bottom w:val="nil"/>
              <w:right w:val="nil"/>
            </w:tcBorders>
            <w:shd w:val="clear" w:color="auto" w:fill="auto"/>
            <w:noWrap/>
            <w:vAlign w:val="center"/>
            <w:hideMark/>
          </w:tcPr>
          <w:p w14:paraId="6E51717C" w14:textId="4F6682D9"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 $ 576,221 </w:t>
            </w:r>
          </w:p>
        </w:tc>
      </w:tr>
      <w:tr w:rsidR="00E36C20" w:rsidRPr="00E36C20" w14:paraId="07EFCAE8" w14:textId="77777777" w:rsidTr="00E36C20">
        <w:trPr>
          <w:trHeight w:val="276"/>
        </w:trPr>
        <w:tc>
          <w:tcPr>
            <w:tcW w:w="3496" w:type="dxa"/>
            <w:tcBorders>
              <w:top w:val="nil"/>
              <w:left w:val="nil"/>
              <w:bottom w:val="nil"/>
              <w:right w:val="nil"/>
            </w:tcBorders>
            <w:shd w:val="clear" w:color="auto" w:fill="auto"/>
            <w:noWrap/>
            <w:vAlign w:val="center"/>
            <w:hideMark/>
          </w:tcPr>
          <w:p w14:paraId="2E6ED813" w14:textId="77777777" w:rsidR="00E36C20" w:rsidRPr="00E36C20" w:rsidRDefault="00E36C20" w:rsidP="00E36C20">
            <w:pPr>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Amortization and depreciation (Note 9, 21)</w:t>
            </w:r>
          </w:p>
        </w:tc>
        <w:tc>
          <w:tcPr>
            <w:tcW w:w="1511" w:type="dxa"/>
            <w:tcBorders>
              <w:top w:val="nil"/>
              <w:left w:val="nil"/>
              <w:bottom w:val="nil"/>
              <w:right w:val="nil"/>
            </w:tcBorders>
            <w:shd w:val="clear" w:color="auto" w:fill="auto"/>
            <w:noWrap/>
            <w:vAlign w:val="center"/>
            <w:hideMark/>
          </w:tcPr>
          <w:p w14:paraId="6D64300F" w14:textId="7887C1F6"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105,326 </w:t>
            </w:r>
          </w:p>
        </w:tc>
        <w:tc>
          <w:tcPr>
            <w:tcW w:w="1438" w:type="dxa"/>
            <w:tcBorders>
              <w:top w:val="nil"/>
              <w:left w:val="nil"/>
              <w:bottom w:val="nil"/>
              <w:right w:val="nil"/>
            </w:tcBorders>
            <w:shd w:val="clear" w:color="auto" w:fill="auto"/>
            <w:noWrap/>
            <w:vAlign w:val="center"/>
            <w:hideMark/>
          </w:tcPr>
          <w:p w14:paraId="3794A384" w14:textId="4C47C61A"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51,564 </w:t>
            </w:r>
          </w:p>
        </w:tc>
        <w:tc>
          <w:tcPr>
            <w:tcW w:w="1439" w:type="dxa"/>
            <w:tcBorders>
              <w:top w:val="nil"/>
              <w:left w:val="nil"/>
              <w:bottom w:val="nil"/>
              <w:right w:val="nil"/>
            </w:tcBorders>
            <w:shd w:val="clear" w:color="auto" w:fill="auto"/>
            <w:noWrap/>
            <w:vAlign w:val="center"/>
            <w:hideMark/>
          </w:tcPr>
          <w:p w14:paraId="5C51C05D" w14:textId="3D504A86"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307,958 </w:t>
            </w:r>
          </w:p>
        </w:tc>
        <w:tc>
          <w:tcPr>
            <w:tcW w:w="1438" w:type="dxa"/>
            <w:tcBorders>
              <w:top w:val="nil"/>
              <w:left w:val="nil"/>
              <w:bottom w:val="nil"/>
              <w:right w:val="nil"/>
            </w:tcBorders>
            <w:shd w:val="clear" w:color="auto" w:fill="auto"/>
            <w:noWrap/>
            <w:vAlign w:val="center"/>
            <w:hideMark/>
          </w:tcPr>
          <w:p w14:paraId="474D9F94" w14:textId="2AB6AE7A"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151,505 </w:t>
            </w:r>
          </w:p>
        </w:tc>
      </w:tr>
      <w:tr w:rsidR="00E36C20" w:rsidRPr="00E36C20" w14:paraId="79B5C1FF" w14:textId="77777777" w:rsidTr="00E36C20">
        <w:trPr>
          <w:trHeight w:val="276"/>
        </w:trPr>
        <w:tc>
          <w:tcPr>
            <w:tcW w:w="3496" w:type="dxa"/>
            <w:tcBorders>
              <w:top w:val="nil"/>
              <w:left w:val="nil"/>
              <w:bottom w:val="nil"/>
              <w:right w:val="nil"/>
            </w:tcBorders>
            <w:shd w:val="clear" w:color="auto" w:fill="auto"/>
            <w:noWrap/>
            <w:vAlign w:val="center"/>
            <w:hideMark/>
          </w:tcPr>
          <w:p w14:paraId="1547ED77" w14:textId="77777777" w:rsidR="00E36C20" w:rsidRPr="00E36C20" w:rsidRDefault="00E36C20" w:rsidP="00E36C20">
            <w:pPr>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Office expenses</w:t>
            </w:r>
          </w:p>
        </w:tc>
        <w:tc>
          <w:tcPr>
            <w:tcW w:w="1511" w:type="dxa"/>
            <w:tcBorders>
              <w:top w:val="nil"/>
              <w:left w:val="nil"/>
              <w:bottom w:val="nil"/>
              <w:right w:val="nil"/>
            </w:tcBorders>
            <w:shd w:val="clear" w:color="auto" w:fill="auto"/>
            <w:noWrap/>
            <w:vAlign w:val="center"/>
            <w:hideMark/>
          </w:tcPr>
          <w:p w14:paraId="036DB724" w14:textId="0B28F780"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55,477 </w:t>
            </w:r>
          </w:p>
        </w:tc>
        <w:tc>
          <w:tcPr>
            <w:tcW w:w="1438" w:type="dxa"/>
            <w:tcBorders>
              <w:top w:val="nil"/>
              <w:left w:val="nil"/>
              <w:bottom w:val="nil"/>
              <w:right w:val="nil"/>
            </w:tcBorders>
            <w:shd w:val="clear" w:color="auto" w:fill="auto"/>
            <w:noWrap/>
            <w:vAlign w:val="center"/>
            <w:hideMark/>
          </w:tcPr>
          <w:p w14:paraId="23178971" w14:textId="3DABAA2A"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92,331 </w:t>
            </w:r>
          </w:p>
        </w:tc>
        <w:tc>
          <w:tcPr>
            <w:tcW w:w="1439" w:type="dxa"/>
            <w:tcBorders>
              <w:top w:val="nil"/>
              <w:left w:val="nil"/>
              <w:bottom w:val="nil"/>
              <w:right w:val="nil"/>
            </w:tcBorders>
            <w:shd w:val="clear" w:color="auto" w:fill="auto"/>
            <w:noWrap/>
            <w:vAlign w:val="center"/>
            <w:hideMark/>
          </w:tcPr>
          <w:p w14:paraId="590071B7" w14:textId="7DABDDBA"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219,346 </w:t>
            </w:r>
          </w:p>
        </w:tc>
        <w:tc>
          <w:tcPr>
            <w:tcW w:w="1438" w:type="dxa"/>
            <w:tcBorders>
              <w:top w:val="nil"/>
              <w:left w:val="nil"/>
              <w:bottom w:val="nil"/>
              <w:right w:val="nil"/>
            </w:tcBorders>
            <w:shd w:val="clear" w:color="auto" w:fill="auto"/>
            <w:noWrap/>
            <w:vAlign w:val="center"/>
            <w:hideMark/>
          </w:tcPr>
          <w:p w14:paraId="01176621" w14:textId="45662BEB"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229,924 </w:t>
            </w:r>
          </w:p>
        </w:tc>
      </w:tr>
      <w:tr w:rsidR="00E36C20" w:rsidRPr="00E36C20" w14:paraId="03B06BA9" w14:textId="77777777" w:rsidTr="00E36C20">
        <w:trPr>
          <w:trHeight w:val="276"/>
        </w:trPr>
        <w:tc>
          <w:tcPr>
            <w:tcW w:w="3496" w:type="dxa"/>
            <w:tcBorders>
              <w:top w:val="nil"/>
              <w:left w:val="nil"/>
              <w:bottom w:val="nil"/>
              <w:right w:val="nil"/>
            </w:tcBorders>
            <w:shd w:val="clear" w:color="auto" w:fill="auto"/>
            <w:noWrap/>
            <w:vAlign w:val="bottom"/>
            <w:hideMark/>
          </w:tcPr>
          <w:p w14:paraId="4CE054D0" w14:textId="77777777" w:rsidR="00E36C20" w:rsidRPr="00E36C20" w:rsidRDefault="00E36C20" w:rsidP="00E36C20">
            <w:pPr>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Stock-based compensation (Note 16,18)</w:t>
            </w:r>
          </w:p>
        </w:tc>
        <w:tc>
          <w:tcPr>
            <w:tcW w:w="1511" w:type="dxa"/>
            <w:tcBorders>
              <w:top w:val="nil"/>
              <w:left w:val="nil"/>
              <w:bottom w:val="nil"/>
              <w:right w:val="nil"/>
            </w:tcBorders>
            <w:shd w:val="clear" w:color="auto" w:fill="auto"/>
            <w:noWrap/>
            <w:vAlign w:val="bottom"/>
            <w:hideMark/>
          </w:tcPr>
          <w:p w14:paraId="55229AA2" w14:textId="7BAFC03E"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79,122 </w:t>
            </w:r>
          </w:p>
        </w:tc>
        <w:tc>
          <w:tcPr>
            <w:tcW w:w="1438" w:type="dxa"/>
            <w:tcBorders>
              <w:top w:val="nil"/>
              <w:left w:val="nil"/>
              <w:bottom w:val="nil"/>
              <w:right w:val="nil"/>
            </w:tcBorders>
            <w:shd w:val="clear" w:color="auto" w:fill="auto"/>
            <w:noWrap/>
            <w:vAlign w:val="bottom"/>
            <w:hideMark/>
          </w:tcPr>
          <w:p w14:paraId="2B932859" w14:textId="206EFD9E" w:rsidR="00E36C20" w:rsidRPr="00E36C20" w:rsidRDefault="00E36C20" w:rsidP="00896405">
            <w:pPr>
              <w:ind w:right="-62"/>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 (19,061)</w:t>
            </w:r>
          </w:p>
        </w:tc>
        <w:tc>
          <w:tcPr>
            <w:tcW w:w="1439" w:type="dxa"/>
            <w:tcBorders>
              <w:top w:val="nil"/>
              <w:left w:val="nil"/>
              <w:bottom w:val="nil"/>
              <w:right w:val="nil"/>
            </w:tcBorders>
            <w:shd w:val="clear" w:color="auto" w:fill="auto"/>
            <w:noWrap/>
            <w:vAlign w:val="center"/>
            <w:hideMark/>
          </w:tcPr>
          <w:p w14:paraId="477F9C99" w14:textId="5D0449DF"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164,647 </w:t>
            </w:r>
          </w:p>
        </w:tc>
        <w:tc>
          <w:tcPr>
            <w:tcW w:w="1438" w:type="dxa"/>
            <w:tcBorders>
              <w:top w:val="nil"/>
              <w:left w:val="nil"/>
              <w:bottom w:val="nil"/>
              <w:right w:val="nil"/>
            </w:tcBorders>
            <w:shd w:val="clear" w:color="auto" w:fill="auto"/>
            <w:noWrap/>
            <w:vAlign w:val="center"/>
            <w:hideMark/>
          </w:tcPr>
          <w:p w14:paraId="05A77141" w14:textId="0892E80D"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13,455 </w:t>
            </w:r>
          </w:p>
        </w:tc>
      </w:tr>
      <w:tr w:rsidR="00E36C20" w:rsidRPr="00E36C20" w14:paraId="7E84627E" w14:textId="77777777" w:rsidTr="00E36C20">
        <w:trPr>
          <w:trHeight w:val="276"/>
        </w:trPr>
        <w:tc>
          <w:tcPr>
            <w:tcW w:w="3496" w:type="dxa"/>
            <w:tcBorders>
              <w:top w:val="nil"/>
              <w:left w:val="nil"/>
              <w:bottom w:val="nil"/>
              <w:right w:val="nil"/>
            </w:tcBorders>
            <w:shd w:val="clear" w:color="auto" w:fill="auto"/>
            <w:noWrap/>
            <w:vAlign w:val="center"/>
            <w:hideMark/>
          </w:tcPr>
          <w:p w14:paraId="221EE9D8" w14:textId="77777777" w:rsidR="00E36C20" w:rsidRPr="00E36C20" w:rsidRDefault="00E36C20" w:rsidP="00E36C20">
            <w:pPr>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Accounting and legal</w:t>
            </w:r>
          </w:p>
        </w:tc>
        <w:tc>
          <w:tcPr>
            <w:tcW w:w="1511" w:type="dxa"/>
            <w:tcBorders>
              <w:top w:val="nil"/>
              <w:left w:val="nil"/>
              <w:bottom w:val="nil"/>
              <w:right w:val="nil"/>
            </w:tcBorders>
            <w:shd w:val="clear" w:color="auto" w:fill="auto"/>
            <w:noWrap/>
            <w:vAlign w:val="center"/>
            <w:hideMark/>
          </w:tcPr>
          <w:p w14:paraId="16FDC6D5" w14:textId="06DCEDC1"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7,881 </w:t>
            </w:r>
          </w:p>
        </w:tc>
        <w:tc>
          <w:tcPr>
            <w:tcW w:w="1438" w:type="dxa"/>
            <w:tcBorders>
              <w:top w:val="nil"/>
              <w:left w:val="nil"/>
              <w:bottom w:val="nil"/>
              <w:right w:val="nil"/>
            </w:tcBorders>
            <w:shd w:val="clear" w:color="auto" w:fill="auto"/>
            <w:noWrap/>
            <w:vAlign w:val="center"/>
            <w:hideMark/>
          </w:tcPr>
          <w:p w14:paraId="20C1982C" w14:textId="6499ACF9"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24,417 </w:t>
            </w:r>
          </w:p>
        </w:tc>
        <w:tc>
          <w:tcPr>
            <w:tcW w:w="1439" w:type="dxa"/>
            <w:tcBorders>
              <w:top w:val="nil"/>
              <w:left w:val="nil"/>
              <w:bottom w:val="nil"/>
              <w:right w:val="nil"/>
            </w:tcBorders>
            <w:shd w:val="clear" w:color="auto" w:fill="auto"/>
            <w:noWrap/>
            <w:vAlign w:val="center"/>
            <w:hideMark/>
          </w:tcPr>
          <w:p w14:paraId="3DF78BB4" w14:textId="768DBE92"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47,387 </w:t>
            </w:r>
          </w:p>
        </w:tc>
        <w:tc>
          <w:tcPr>
            <w:tcW w:w="1438" w:type="dxa"/>
            <w:tcBorders>
              <w:top w:val="nil"/>
              <w:left w:val="nil"/>
              <w:bottom w:val="nil"/>
              <w:right w:val="nil"/>
            </w:tcBorders>
            <w:shd w:val="clear" w:color="auto" w:fill="auto"/>
            <w:noWrap/>
            <w:vAlign w:val="center"/>
            <w:hideMark/>
          </w:tcPr>
          <w:p w14:paraId="5CB74950" w14:textId="36D4D961"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112,099 </w:t>
            </w:r>
          </w:p>
        </w:tc>
      </w:tr>
      <w:tr w:rsidR="00E36C20" w:rsidRPr="00E36C20" w14:paraId="40D54E01" w14:textId="77777777" w:rsidTr="00E36C20">
        <w:trPr>
          <w:trHeight w:val="276"/>
        </w:trPr>
        <w:tc>
          <w:tcPr>
            <w:tcW w:w="3496" w:type="dxa"/>
            <w:tcBorders>
              <w:top w:val="nil"/>
              <w:left w:val="nil"/>
              <w:bottom w:val="nil"/>
              <w:right w:val="nil"/>
            </w:tcBorders>
            <w:shd w:val="clear" w:color="auto" w:fill="auto"/>
            <w:noWrap/>
            <w:vAlign w:val="center"/>
            <w:hideMark/>
          </w:tcPr>
          <w:p w14:paraId="37C37336" w14:textId="77777777" w:rsidR="00E36C20" w:rsidRPr="00E36C20" w:rsidRDefault="00E36C20" w:rsidP="00E36C20">
            <w:pPr>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Rent (Note 22)</w:t>
            </w:r>
          </w:p>
        </w:tc>
        <w:tc>
          <w:tcPr>
            <w:tcW w:w="1511" w:type="dxa"/>
            <w:tcBorders>
              <w:top w:val="nil"/>
              <w:left w:val="nil"/>
              <w:bottom w:val="nil"/>
              <w:right w:val="nil"/>
            </w:tcBorders>
            <w:shd w:val="clear" w:color="auto" w:fill="auto"/>
            <w:noWrap/>
            <w:vAlign w:val="center"/>
            <w:hideMark/>
          </w:tcPr>
          <w:p w14:paraId="6027A6C6" w14:textId="3BDE196F"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  11,210 </w:t>
            </w:r>
          </w:p>
        </w:tc>
        <w:tc>
          <w:tcPr>
            <w:tcW w:w="1438" w:type="dxa"/>
            <w:tcBorders>
              <w:top w:val="nil"/>
              <w:left w:val="nil"/>
              <w:bottom w:val="nil"/>
              <w:right w:val="nil"/>
            </w:tcBorders>
            <w:shd w:val="clear" w:color="auto" w:fill="auto"/>
            <w:noWrap/>
            <w:vAlign w:val="center"/>
            <w:hideMark/>
          </w:tcPr>
          <w:p w14:paraId="6C35D0B2" w14:textId="52828493"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9,694 </w:t>
            </w:r>
          </w:p>
        </w:tc>
        <w:tc>
          <w:tcPr>
            <w:tcW w:w="1439" w:type="dxa"/>
            <w:tcBorders>
              <w:top w:val="nil"/>
              <w:left w:val="nil"/>
              <w:bottom w:val="nil"/>
              <w:right w:val="nil"/>
            </w:tcBorders>
            <w:shd w:val="clear" w:color="auto" w:fill="auto"/>
            <w:noWrap/>
            <w:vAlign w:val="center"/>
            <w:hideMark/>
          </w:tcPr>
          <w:p w14:paraId="6794238A" w14:textId="7424DFA7"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33,010 </w:t>
            </w:r>
          </w:p>
        </w:tc>
        <w:tc>
          <w:tcPr>
            <w:tcW w:w="1438" w:type="dxa"/>
            <w:tcBorders>
              <w:top w:val="nil"/>
              <w:left w:val="nil"/>
              <w:bottom w:val="nil"/>
              <w:right w:val="nil"/>
            </w:tcBorders>
            <w:shd w:val="clear" w:color="auto" w:fill="auto"/>
            <w:noWrap/>
            <w:vAlign w:val="center"/>
            <w:hideMark/>
          </w:tcPr>
          <w:p w14:paraId="39244E1C" w14:textId="45A50B38"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28,750 </w:t>
            </w:r>
          </w:p>
        </w:tc>
      </w:tr>
      <w:tr w:rsidR="00E36C20" w:rsidRPr="00E36C20" w14:paraId="3F7D0B31" w14:textId="77777777" w:rsidTr="00E36C20">
        <w:trPr>
          <w:trHeight w:val="276"/>
        </w:trPr>
        <w:tc>
          <w:tcPr>
            <w:tcW w:w="3496" w:type="dxa"/>
            <w:tcBorders>
              <w:top w:val="nil"/>
              <w:left w:val="nil"/>
              <w:bottom w:val="nil"/>
              <w:right w:val="nil"/>
            </w:tcBorders>
            <w:shd w:val="clear" w:color="auto" w:fill="auto"/>
            <w:noWrap/>
            <w:vAlign w:val="center"/>
            <w:hideMark/>
          </w:tcPr>
          <w:p w14:paraId="521E614A" w14:textId="77777777" w:rsidR="00E36C20" w:rsidRPr="00E36C20" w:rsidRDefault="00E36C20" w:rsidP="00E36C20">
            <w:pPr>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Insurance </w:t>
            </w:r>
          </w:p>
        </w:tc>
        <w:tc>
          <w:tcPr>
            <w:tcW w:w="1511" w:type="dxa"/>
            <w:tcBorders>
              <w:top w:val="nil"/>
              <w:left w:val="nil"/>
              <w:bottom w:val="nil"/>
              <w:right w:val="nil"/>
            </w:tcBorders>
            <w:shd w:val="clear" w:color="auto" w:fill="auto"/>
            <w:noWrap/>
            <w:vAlign w:val="center"/>
            <w:hideMark/>
          </w:tcPr>
          <w:p w14:paraId="7287476B" w14:textId="2E42D0DB"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11,132 </w:t>
            </w:r>
          </w:p>
        </w:tc>
        <w:tc>
          <w:tcPr>
            <w:tcW w:w="1438" w:type="dxa"/>
            <w:tcBorders>
              <w:top w:val="nil"/>
              <w:left w:val="nil"/>
              <w:bottom w:val="nil"/>
              <w:right w:val="nil"/>
            </w:tcBorders>
            <w:shd w:val="clear" w:color="auto" w:fill="auto"/>
            <w:noWrap/>
            <w:vAlign w:val="center"/>
            <w:hideMark/>
          </w:tcPr>
          <w:p w14:paraId="4ACBD785" w14:textId="628DB27F"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12,375 </w:t>
            </w:r>
          </w:p>
        </w:tc>
        <w:tc>
          <w:tcPr>
            <w:tcW w:w="1439" w:type="dxa"/>
            <w:tcBorders>
              <w:top w:val="nil"/>
              <w:left w:val="nil"/>
              <w:bottom w:val="nil"/>
              <w:right w:val="nil"/>
            </w:tcBorders>
            <w:shd w:val="clear" w:color="auto" w:fill="auto"/>
            <w:noWrap/>
            <w:vAlign w:val="center"/>
            <w:hideMark/>
          </w:tcPr>
          <w:p w14:paraId="0917E8B4" w14:textId="560A41DE"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30,945 </w:t>
            </w:r>
          </w:p>
        </w:tc>
        <w:tc>
          <w:tcPr>
            <w:tcW w:w="1438" w:type="dxa"/>
            <w:tcBorders>
              <w:top w:val="nil"/>
              <w:left w:val="nil"/>
              <w:bottom w:val="nil"/>
              <w:right w:val="nil"/>
            </w:tcBorders>
            <w:shd w:val="clear" w:color="auto" w:fill="auto"/>
            <w:noWrap/>
            <w:vAlign w:val="center"/>
            <w:hideMark/>
          </w:tcPr>
          <w:p w14:paraId="7546FDA1" w14:textId="67AC3F6E"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29,325 </w:t>
            </w:r>
          </w:p>
        </w:tc>
      </w:tr>
      <w:tr w:rsidR="00E36C20" w:rsidRPr="00E36C20" w14:paraId="71E31099" w14:textId="77777777" w:rsidTr="00E36C20">
        <w:trPr>
          <w:trHeight w:val="276"/>
        </w:trPr>
        <w:tc>
          <w:tcPr>
            <w:tcW w:w="3496" w:type="dxa"/>
            <w:tcBorders>
              <w:top w:val="nil"/>
              <w:left w:val="nil"/>
              <w:bottom w:val="nil"/>
              <w:right w:val="nil"/>
            </w:tcBorders>
            <w:shd w:val="clear" w:color="auto" w:fill="auto"/>
            <w:noWrap/>
            <w:vAlign w:val="center"/>
            <w:hideMark/>
          </w:tcPr>
          <w:p w14:paraId="3B231A76" w14:textId="77777777" w:rsidR="00E36C20" w:rsidRPr="00E36C20" w:rsidRDefault="00E36C20" w:rsidP="00E36C20">
            <w:pPr>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Bad debt (Note 5)</w:t>
            </w:r>
          </w:p>
        </w:tc>
        <w:tc>
          <w:tcPr>
            <w:tcW w:w="1511" w:type="dxa"/>
            <w:tcBorders>
              <w:top w:val="nil"/>
              <w:left w:val="nil"/>
              <w:bottom w:val="nil"/>
              <w:right w:val="nil"/>
            </w:tcBorders>
            <w:shd w:val="clear" w:color="auto" w:fill="auto"/>
            <w:noWrap/>
            <w:vAlign w:val="center"/>
            <w:hideMark/>
          </w:tcPr>
          <w:p w14:paraId="4CBAFB88" w14:textId="54533135" w:rsidR="00E36C20" w:rsidRPr="00E36C20" w:rsidRDefault="00E36C20" w:rsidP="00EB4A7A">
            <w:pPr>
              <w:ind w:right="-62"/>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 (11,344)</w:t>
            </w:r>
          </w:p>
        </w:tc>
        <w:tc>
          <w:tcPr>
            <w:tcW w:w="1438" w:type="dxa"/>
            <w:tcBorders>
              <w:top w:val="nil"/>
              <w:left w:val="nil"/>
              <w:bottom w:val="nil"/>
              <w:right w:val="nil"/>
            </w:tcBorders>
            <w:shd w:val="clear" w:color="auto" w:fill="auto"/>
            <w:noWrap/>
            <w:vAlign w:val="center"/>
            <w:hideMark/>
          </w:tcPr>
          <w:p w14:paraId="3C506201" w14:textId="16939B51" w:rsidR="00E36C20" w:rsidRPr="00E36C20" w:rsidRDefault="00E36C20" w:rsidP="00896405">
            <w:pPr>
              <w:ind w:right="125"/>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   </w:t>
            </w:r>
          </w:p>
        </w:tc>
        <w:tc>
          <w:tcPr>
            <w:tcW w:w="1439" w:type="dxa"/>
            <w:tcBorders>
              <w:top w:val="nil"/>
              <w:left w:val="nil"/>
              <w:bottom w:val="nil"/>
              <w:right w:val="nil"/>
            </w:tcBorders>
            <w:shd w:val="clear" w:color="auto" w:fill="auto"/>
            <w:noWrap/>
            <w:vAlign w:val="center"/>
            <w:hideMark/>
          </w:tcPr>
          <w:p w14:paraId="72CC92C8" w14:textId="37BA3CD5"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6,614 </w:t>
            </w:r>
          </w:p>
        </w:tc>
        <w:tc>
          <w:tcPr>
            <w:tcW w:w="1438" w:type="dxa"/>
            <w:tcBorders>
              <w:top w:val="nil"/>
              <w:left w:val="nil"/>
              <w:bottom w:val="nil"/>
              <w:right w:val="nil"/>
            </w:tcBorders>
            <w:shd w:val="clear" w:color="auto" w:fill="auto"/>
            <w:noWrap/>
            <w:vAlign w:val="center"/>
            <w:hideMark/>
          </w:tcPr>
          <w:p w14:paraId="2D27FB5E" w14:textId="7EBC7903" w:rsidR="00E36C20" w:rsidRPr="00E36C20" w:rsidRDefault="00E36C20" w:rsidP="00896405">
            <w:pPr>
              <w:ind w:right="125"/>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   </w:t>
            </w:r>
          </w:p>
        </w:tc>
      </w:tr>
      <w:tr w:rsidR="00E36C20" w:rsidRPr="00E36C20" w14:paraId="47540FFB" w14:textId="77777777" w:rsidTr="00F33548">
        <w:trPr>
          <w:trHeight w:val="276"/>
        </w:trPr>
        <w:tc>
          <w:tcPr>
            <w:tcW w:w="3496" w:type="dxa"/>
            <w:tcBorders>
              <w:top w:val="nil"/>
              <w:left w:val="nil"/>
              <w:bottom w:val="single" w:sz="4" w:space="0" w:color="auto"/>
              <w:right w:val="nil"/>
            </w:tcBorders>
            <w:shd w:val="clear" w:color="auto" w:fill="auto"/>
            <w:noWrap/>
            <w:vAlign w:val="bottom"/>
            <w:hideMark/>
          </w:tcPr>
          <w:p w14:paraId="2F00BA6A" w14:textId="77777777" w:rsidR="00E36C20" w:rsidRPr="00E36C20" w:rsidRDefault="00E36C20" w:rsidP="00E36C20">
            <w:pPr>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Lease interest (Note 22)</w:t>
            </w:r>
          </w:p>
        </w:tc>
        <w:tc>
          <w:tcPr>
            <w:tcW w:w="1511" w:type="dxa"/>
            <w:tcBorders>
              <w:top w:val="nil"/>
              <w:left w:val="nil"/>
              <w:bottom w:val="single" w:sz="4" w:space="0" w:color="auto"/>
              <w:right w:val="nil"/>
            </w:tcBorders>
            <w:shd w:val="clear" w:color="auto" w:fill="auto"/>
            <w:noWrap/>
            <w:vAlign w:val="bottom"/>
            <w:hideMark/>
          </w:tcPr>
          <w:p w14:paraId="49FC3FA9" w14:textId="1F7B6CCA"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1,347 </w:t>
            </w:r>
          </w:p>
        </w:tc>
        <w:tc>
          <w:tcPr>
            <w:tcW w:w="1438" w:type="dxa"/>
            <w:tcBorders>
              <w:top w:val="nil"/>
              <w:left w:val="nil"/>
              <w:bottom w:val="single" w:sz="4" w:space="0" w:color="auto"/>
              <w:right w:val="nil"/>
            </w:tcBorders>
            <w:shd w:val="clear" w:color="auto" w:fill="auto"/>
            <w:noWrap/>
            <w:vAlign w:val="bottom"/>
            <w:hideMark/>
          </w:tcPr>
          <w:p w14:paraId="6D231759" w14:textId="5D094F3B"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2,415 </w:t>
            </w:r>
          </w:p>
        </w:tc>
        <w:tc>
          <w:tcPr>
            <w:tcW w:w="1439" w:type="dxa"/>
            <w:tcBorders>
              <w:top w:val="nil"/>
              <w:left w:val="nil"/>
              <w:bottom w:val="single" w:sz="4" w:space="0" w:color="auto"/>
              <w:right w:val="nil"/>
            </w:tcBorders>
            <w:shd w:val="clear" w:color="auto" w:fill="auto"/>
            <w:noWrap/>
            <w:vAlign w:val="center"/>
            <w:hideMark/>
          </w:tcPr>
          <w:p w14:paraId="7643B32E" w14:textId="49318012"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4,874 </w:t>
            </w:r>
          </w:p>
        </w:tc>
        <w:tc>
          <w:tcPr>
            <w:tcW w:w="1438" w:type="dxa"/>
            <w:tcBorders>
              <w:top w:val="nil"/>
              <w:left w:val="nil"/>
              <w:bottom w:val="single" w:sz="4" w:space="0" w:color="auto"/>
              <w:right w:val="nil"/>
            </w:tcBorders>
            <w:shd w:val="clear" w:color="auto" w:fill="auto"/>
            <w:noWrap/>
            <w:vAlign w:val="center"/>
            <w:hideMark/>
          </w:tcPr>
          <w:p w14:paraId="1E3DE3AC" w14:textId="0B0B1320"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7,962 </w:t>
            </w:r>
          </w:p>
        </w:tc>
      </w:tr>
      <w:tr w:rsidR="00E36C20" w:rsidRPr="00E36C20" w14:paraId="1D76806B" w14:textId="77777777" w:rsidTr="00F33548">
        <w:trPr>
          <w:trHeight w:val="288"/>
        </w:trPr>
        <w:tc>
          <w:tcPr>
            <w:tcW w:w="3496" w:type="dxa"/>
            <w:tcBorders>
              <w:top w:val="single" w:sz="4" w:space="0" w:color="auto"/>
              <w:left w:val="nil"/>
              <w:bottom w:val="single" w:sz="12" w:space="0" w:color="auto"/>
              <w:right w:val="nil"/>
            </w:tcBorders>
            <w:shd w:val="clear" w:color="auto" w:fill="auto"/>
            <w:noWrap/>
            <w:vAlign w:val="center"/>
            <w:hideMark/>
          </w:tcPr>
          <w:p w14:paraId="7EF5E97F" w14:textId="77777777" w:rsidR="00E36C20" w:rsidRPr="00E36C20" w:rsidRDefault="00E36C20" w:rsidP="00E36C20">
            <w:pPr>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Total</w:t>
            </w:r>
          </w:p>
        </w:tc>
        <w:tc>
          <w:tcPr>
            <w:tcW w:w="1511" w:type="dxa"/>
            <w:tcBorders>
              <w:top w:val="single" w:sz="4" w:space="0" w:color="auto"/>
              <w:left w:val="nil"/>
              <w:bottom w:val="single" w:sz="12" w:space="0" w:color="auto"/>
              <w:right w:val="nil"/>
            </w:tcBorders>
            <w:shd w:val="clear" w:color="auto" w:fill="auto"/>
            <w:noWrap/>
            <w:vAlign w:val="center"/>
            <w:hideMark/>
          </w:tcPr>
          <w:p w14:paraId="3B0B9AC2" w14:textId="42E96B45"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 $ 436,757 </w:t>
            </w:r>
          </w:p>
        </w:tc>
        <w:tc>
          <w:tcPr>
            <w:tcW w:w="1438" w:type="dxa"/>
            <w:tcBorders>
              <w:top w:val="single" w:sz="4" w:space="0" w:color="auto"/>
              <w:left w:val="nil"/>
              <w:bottom w:val="single" w:sz="12" w:space="0" w:color="auto"/>
              <w:right w:val="nil"/>
            </w:tcBorders>
            <w:shd w:val="clear" w:color="auto" w:fill="auto"/>
            <w:noWrap/>
            <w:vAlign w:val="center"/>
            <w:hideMark/>
          </w:tcPr>
          <w:p w14:paraId="473CD46D" w14:textId="0FC51C32"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 $ 318,668 </w:t>
            </w:r>
          </w:p>
        </w:tc>
        <w:tc>
          <w:tcPr>
            <w:tcW w:w="1439" w:type="dxa"/>
            <w:tcBorders>
              <w:top w:val="single" w:sz="4" w:space="0" w:color="auto"/>
              <w:left w:val="nil"/>
              <w:bottom w:val="single" w:sz="12" w:space="0" w:color="auto"/>
              <w:right w:val="nil"/>
            </w:tcBorders>
            <w:shd w:val="clear" w:color="auto" w:fill="auto"/>
            <w:noWrap/>
            <w:vAlign w:val="center"/>
            <w:hideMark/>
          </w:tcPr>
          <w:p w14:paraId="03AE2C2C" w14:textId="17D773BF" w:rsidR="00E36C20" w:rsidRPr="00E36C20" w:rsidRDefault="00E36C20" w:rsidP="00E36C20">
            <w:pPr>
              <w:jc w:val="right"/>
              <w:rPr>
                <w:rFonts w:ascii="Calibri" w:hAnsi="Calibri" w:cs="Calibri"/>
                <w:b/>
                <w:bCs/>
                <w:color w:val="000000"/>
                <w:sz w:val="18"/>
                <w:szCs w:val="18"/>
                <w:lang w:val="en-CA" w:eastAsia="en-CA"/>
              </w:rPr>
            </w:pPr>
            <w:r w:rsidRPr="00E36C20">
              <w:rPr>
                <w:rFonts w:ascii="Calibri" w:hAnsi="Calibri" w:cs="Calibri"/>
                <w:b/>
                <w:bCs/>
                <w:color w:val="000000"/>
                <w:sz w:val="18"/>
                <w:szCs w:val="18"/>
                <w:lang w:val="en-CA" w:eastAsia="en-CA"/>
              </w:rPr>
              <w:t xml:space="preserve"> $ 1,296,686 </w:t>
            </w:r>
          </w:p>
        </w:tc>
        <w:tc>
          <w:tcPr>
            <w:tcW w:w="1438" w:type="dxa"/>
            <w:tcBorders>
              <w:top w:val="single" w:sz="4" w:space="0" w:color="auto"/>
              <w:left w:val="nil"/>
              <w:bottom w:val="single" w:sz="12" w:space="0" w:color="auto"/>
              <w:right w:val="nil"/>
            </w:tcBorders>
            <w:shd w:val="clear" w:color="auto" w:fill="auto"/>
            <w:noWrap/>
            <w:vAlign w:val="center"/>
            <w:hideMark/>
          </w:tcPr>
          <w:p w14:paraId="4BE14DE7" w14:textId="328F2C63" w:rsidR="00E36C20" w:rsidRPr="00E36C20" w:rsidRDefault="00E36C20" w:rsidP="00E36C20">
            <w:pPr>
              <w:jc w:val="right"/>
              <w:rPr>
                <w:rFonts w:ascii="Calibri" w:hAnsi="Calibri" w:cs="Calibri"/>
                <w:color w:val="000000"/>
                <w:sz w:val="18"/>
                <w:szCs w:val="18"/>
                <w:lang w:val="en-CA" w:eastAsia="en-CA"/>
              </w:rPr>
            </w:pPr>
            <w:r w:rsidRPr="00E36C20">
              <w:rPr>
                <w:rFonts w:ascii="Calibri" w:hAnsi="Calibri" w:cs="Calibri"/>
                <w:color w:val="000000"/>
                <w:sz w:val="18"/>
                <w:szCs w:val="18"/>
                <w:lang w:val="en-CA" w:eastAsia="en-CA"/>
              </w:rPr>
              <w:t xml:space="preserve"> $</w:t>
            </w:r>
            <w:r w:rsidR="00AA29FB">
              <w:rPr>
                <w:rFonts w:ascii="Calibri" w:hAnsi="Calibri" w:cs="Calibri"/>
                <w:color w:val="000000"/>
                <w:sz w:val="18"/>
                <w:szCs w:val="18"/>
                <w:lang w:val="en-CA" w:eastAsia="en-CA"/>
              </w:rPr>
              <w:t xml:space="preserve"> </w:t>
            </w:r>
            <w:r w:rsidRPr="00E36C20">
              <w:rPr>
                <w:rFonts w:ascii="Calibri" w:hAnsi="Calibri" w:cs="Calibri"/>
                <w:color w:val="000000"/>
                <w:sz w:val="18"/>
                <w:szCs w:val="18"/>
                <w:lang w:val="en-CA" w:eastAsia="en-CA"/>
              </w:rPr>
              <w:t xml:space="preserve">1,149,241 </w:t>
            </w:r>
          </w:p>
        </w:tc>
      </w:tr>
    </w:tbl>
    <w:p w14:paraId="6CFFC374" w14:textId="62BD8645" w:rsidR="00A278F1" w:rsidRPr="00FC2211" w:rsidRDefault="00A278F1" w:rsidP="002B36BD">
      <w:pPr>
        <w:ind w:left="426"/>
        <w:rPr>
          <w:rFonts w:cstheme="minorHAnsi"/>
          <w:szCs w:val="20"/>
        </w:rPr>
      </w:pPr>
    </w:p>
    <w:p w14:paraId="0A2FB3EA" w14:textId="19C1C759" w:rsidR="00D67793" w:rsidRPr="00FC2211" w:rsidRDefault="001B39F6" w:rsidP="002B36BD">
      <w:pPr>
        <w:pStyle w:val="Heading1"/>
        <w:ind w:left="426" w:hanging="426"/>
        <w:rPr>
          <w:rFonts w:cstheme="minorHAnsi"/>
          <w:szCs w:val="20"/>
          <w:lang w:val="en-GB"/>
        </w:rPr>
      </w:pPr>
      <w:r w:rsidRPr="00FC2211">
        <w:rPr>
          <w:rFonts w:cstheme="minorHAnsi"/>
          <w:szCs w:val="20"/>
          <w:lang w:val="en-GB"/>
        </w:rPr>
        <w:t>1</w:t>
      </w:r>
      <w:r w:rsidR="00CC1E02">
        <w:rPr>
          <w:rFonts w:cstheme="minorHAnsi"/>
          <w:szCs w:val="20"/>
          <w:lang w:val="en-GB"/>
        </w:rPr>
        <w:t>8</w:t>
      </w:r>
      <w:r w:rsidRPr="00FC2211">
        <w:rPr>
          <w:rFonts w:cstheme="minorHAnsi"/>
          <w:szCs w:val="20"/>
          <w:lang w:val="en-GB"/>
        </w:rPr>
        <w:t xml:space="preserve">.  </w:t>
      </w:r>
      <w:r w:rsidR="007971C8" w:rsidRPr="00FC2211">
        <w:rPr>
          <w:rFonts w:cstheme="minorHAnsi"/>
          <w:szCs w:val="20"/>
          <w:lang w:val="en-GB"/>
        </w:rPr>
        <w:t xml:space="preserve"> </w:t>
      </w:r>
      <w:r w:rsidR="00D67793" w:rsidRPr="00FC2211">
        <w:rPr>
          <w:rFonts w:cstheme="minorHAnsi"/>
          <w:szCs w:val="20"/>
          <w:lang w:val="en-GB"/>
        </w:rPr>
        <w:t>RELATED PARTY TRANSACTIONS</w:t>
      </w:r>
    </w:p>
    <w:p w14:paraId="6315E15C" w14:textId="77777777" w:rsidR="00D67793" w:rsidRPr="00FC2211" w:rsidRDefault="00D67793" w:rsidP="00D67793">
      <w:pPr>
        <w:pStyle w:val="NormalCalibri"/>
        <w:spacing w:before="0" w:line="230" w:lineRule="auto"/>
        <w:ind w:left="360"/>
        <w:rPr>
          <w:rFonts w:asciiTheme="minorHAnsi" w:hAnsiTheme="minorHAnsi" w:cstheme="minorHAnsi"/>
          <w:sz w:val="20"/>
          <w:szCs w:val="20"/>
        </w:rPr>
      </w:pPr>
    </w:p>
    <w:p w14:paraId="59737FF4" w14:textId="77777777" w:rsidR="00D67793" w:rsidRPr="00FC2211" w:rsidRDefault="00D67793" w:rsidP="002B36BD">
      <w:pPr>
        <w:pStyle w:val="NormalCalibri"/>
        <w:spacing w:before="0" w:line="230" w:lineRule="auto"/>
        <w:ind w:left="426"/>
        <w:rPr>
          <w:rFonts w:asciiTheme="minorHAnsi" w:hAnsiTheme="minorHAnsi" w:cstheme="minorHAnsi"/>
          <w:b/>
          <w:sz w:val="20"/>
          <w:szCs w:val="20"/>
        </w:rPr>
      </w:pPr>
      <w:r w:rsidRPr="00FC2211">
        <w:rPr>
          <w:rFonts w:asciiTheme="minorHAnsi" w:hAnsiTheme="minorHAnsi" w:cstheme="minorHAnsi"/>
          <w:b/>
          <w:sz w:val="20"/>
          <w:szCs w:val="20"/>
        </w:rPr>
        <w:t>Key management personnel:</w:t>
      </w:r>
    </w:p>
    <w:p w14:paraId="3F00A54F" w14:textId="77777777" w:rsidR="00D67793" w:rsidRPr="00FC2211" w:rsidRDefault="00D67793" w:rsidP="002B36BD">
      <w:pPr>
        <w:pStyle w:val="ListParagraph"/>
        <w:spacing w:after="0" w:line="230" w:lineRule="auto"/>
        <w:ind w:left="426"/>
        <w:rPr>
          <w:rFonts w:asciiTheme="minorHAnsi" w:hAnsiTheme="minorHAnsi" w:cstheme="minorHAnsi"/>
          <w:b/>
          <w:bCs/>
          <w:sz w:val="20"/>
          <w:szCs w:val="20"/>
          <w:lang w:val="en-CA"/>
        </w:rPr>
      </w:pPr>
    </w:p>
    <w:p w14:paraId="16D2903C" w14:textId="255FA56C" w:rsidR="00D67793" w:rsidRPr="00FC2211" w:rsidRDefault="00D67793" w:rsidP="00BE709D">
      <w:pPr>
        <w:ind w:left="426"/>
        <w:jc w:val="both"/>
        <w:rPr>
          <w:rFonts w:cstheme="minorHAnsi"/>
          <w:szCs w:val="20"/>
        </w:rPr>
      </w:pPr>
      <w:bookmarkStart w:id="6" w:name="_Hlk48870324"/>
      <w:r w:rsidRPr="00FC2211">
        <w:rPr>
          <w:rFonts w:cstheme="minorHAnsi"/>
          <w:szCs w:val="20"/>
        </w:rPr>
        <w:t xml:space="preserve">Key management </w:t>
      </w:r>
      <w:bookmarkEnd w:id="6"/>
      <w:r w:rsidRPr="00FC2211">
        <w:rPr>
          <w:rFonts w:cstheme="minorHAnsi"/>
          <w:szCs w:val="20"/>
        </w:rPr>
        <w:t>personnel include those persons having authority and responsibility for planning, directing</w:t>
      </w:r>
      <w:r w:rsidR="00BE709D" w:rsidRPr="00FC2211">
        <w:rPr>
          <w:rFonts w:cstheme="minorHAnsi"/>
          <w:szCs w:val="20"/>
        </w:rPr>
        <w:t>,</w:t>
      </w:r>
      <w:r w:rsidRPr="00FC2211">
        <w:rPr>
          <w:rFonts w:cstheme="minorHAnsi"/>
          <w:szCs w:val="20"/>
        </w:rPr>
        <w:t xml:space="preserve"> and controlling the activities of the Company as a whole. The Company has determined that key management personnel consist of executive and non-executive members of the Company’s Board of Directors and corporate officers. Related party transactions are in the </w:t>
      </w:r>
      <w:r w:rsidR="00C83304" w:rsidRPr="00FC2211">
        <w:rPr>
          <w:rFonts w:cstheme="minorHAnsi"/>
          <w:szCs w:val="20"/>
        </w:rPr>
        <w:t>ordinary</w:t>
      </w:r>
      <w:r w:rsidRPr="00FC2211">
        <w:rPr>
          <w:rFonts w:cstheme="minorHAnsi"/>
          <w:szCs w:val="20"/>
        </w:rPr>
        <w:t xml:space="preserve"> course of operations and measured at the exchange amount, which is the amount of consideration established and agreed </w:t>
      </w:r>
      <w:r w:rsidR="00BE709D" w:rsidRPr="00FC2211">
        <w:rPr>
          <w:rFonts w:cstheme="minorHAnsi"/>
          <w:szCs w:val="20"/>
        </w:rPr>
        <w:t xml:space="preserve">upon </w:t>
      </w:r>
      <w:r w:rsidRPr="00FC2211">
        <w:rPr>
          <w:rFonts w:cstheme="minorHAnsi"/>
          <w:szCs w:val="20"/>
        </w:rPr>
        <w:t>by the related parties. Amounts due to or from related parties are non-interest</w:t>
      </w:r>
      <w:r w:rsidR="002B484B" w:rsidRPr="00FC2211">
        <w:rPr>
          <w:rFonts w:cstheme="minorHAnsi"/>
          <w:szCs w:val="20"/>
        </w:rPr>
        <w:t>-</w:t>
      </w:r>
      <w:r w:rsidRPr="00FC2211">
        <w:rPr>
          <w:rFonts w:cstheme="minorHAnsi"/>
          <w:szCs w:val="20"/>
        </w:rPr>
        <w:t xml:space="preserve">bearing and unsecured unless specified. </w:t>
      </w:r>
    </w:p>
    <w:p w14:paraId="26F3FAAE" w14:textId="77777777" w:rsidR="000C247C" w:rsidRPr="00FC2211" w:rsidRDefault="000C247C" w:rsidP="00BE709D">
      <w:pPr>
        <w:ind w:left="426" w:firstLine="144"/>
        <w:jc w:val="both"/>
        <w:rPr>
          <w:rFonts w:cstheme="minorHAnsi"/>
          <w:bCs/>
          <w:szCs w:val="20"/>
          <w:lang w:val="en-CA"/>
        </w:rPr>
      </w:pPr>
    </w:p>
    <w:p w14:paraId="78E4B77B" w14:textId="2C2B8426" w:rsidR="00DF368B" w:rsidRPr="00FC2211" w:rsidRDefault="00916A38" w:rsidP="00BE709D">
      <w:pPr>
        <w:ind w:left="426"/>
        <w:jc w:val="both"/>
        <w:rPr>
          <w:rFonts w:cstheme="minorHAnsi"/>
          <w:bCs/>
          <w:szCs w:val="20"/>
          <w:lang w:val="en-CA"/>
        </w:rPr>
      </w:pPr>
      <w:r w:rsidRPr="00FC2211">
        <w:rPr>
          <w:rFonts w:cstheme="minorHAnsi"/>
          <w:bCs/>
          <w:szCs w:val="20"/>
          <w:lang w:val="en-CA"/>
        </w:rPr>
        <w:t xml:space="preserve">As at </w:t>
      </w:r>
      <w:r w:rsidR="00B0014D">
        <w:rPr>
          <w:rFonts w:cstheme="minorHAnsi"/>
          <w:bCs/>
          <w:szCs w:val="20"/>
          <w:lang w:val="en-CA"/>
        </w:rPr>
        <w:t>March 31, 2024</w:t>
      </w:r>
      <w:r w:rsidR="00C86907" w:rsidRPr="00FC2211">
        <w:rPr>
          <w:rFonts w:cstheme="minorHAnsi"/>
          <w:bCs/>
          <w:szCs w:val="20"/>
          <w:lang w:val="en-CA"/>
        </w:rPr>
        <w:t>,</w:t>
      </w:r>
      <w:r w:rsidRPr="00FC2211">
        <w:rPr>
          <w:rFonts w:cstheme="minorHAnsi"/>
          <w:bCs/>
          <w:szCs w:val="20"/>
          <w:lang w:val="en-CA"/>
        </w:rPr>
        <w:t xml:space="preserve"> the Company has $</w:t>
      </w:r>
      <w:r w:rsidR="00B0014D">
        <w:rPr>
          <w:rFonts w:cstheme="minorHAnsi"/>
          <w:bCs/>
          <w:szCs w:val="20"/>
          <w:lang w:val="en-CA"/>
        </w:rPr>
        <w:t>Nil</w:t>
      </w:r>
      <w:r w:rsidR="00FC5D29" w:rsidRPr="00FC2211">
        <w:rPr>
          <w:rFonts w:cstheme="minorHAnsi"/>
          <w:bCs/>
          <w:szCs w:val="20"/>
          <w:lang w:val="en-CA"/>
        </w:rPr>
        <w:t xml:space="preserve"> </w:t>
      </w:r>
      <w:r w:rsidR="00C42890" w:rsidRPr="00FC2211">
        <w:rPr>
          <w:rFonts w:cstheme="minorHAnsi"/>
          <w:bCs/>
          <w:szCs w:val="20"/>
          <w:lang w:val="en-CA"/>
        </w:rPr>
        <w:t xml:space="preserve">due to </w:t>
      </w:r>
      <w:r w:rsidR="000406EF" w:rsidRPr="00FC2211">
        <w:rPr>
          <w:rFonts w:cstheme="minorHAnsi"/>
          <w:bCs/>
          <w:szCs w:val="20"/>
          <w:lang w:val="en-CA"/>
        </w:rPr>
        <w:t>a</w:t>
      </w:r>
      <w:r w:rsidR="00610A87" w:rsidRPr="00FC2211">
        <w:rPr>
          <w:rFonts w:cstheme="minorHAnsi"/>
          <w:bCs/>
          <w:szCs w:val="20"/>
          <w:lang w:val="en-CA"/>
        </w:rPr>
        <w:t>n officer of the C</w:t>
      </w:r>
      <w:r w:rsidR="000406EF" w:rsidRPr="00FC2211">
        <w:rPr>
          <w:rFonts w:cstheme="minorHAnsi"/>
          <w:bCs/>
          <w:szCs w:val="20"/>
          <w:lang w:val="en-CA"/>
        </w:rPr>
        <w:t xml:space="preserve">ompany </w:t>
      </w:r>
      <w:r w:rsidR="005D2782" w:rsidRPr="00FC2211">
        <w:rPr>
          <w:rFonts w:cstheme="minorHAnsi"/>
          <w:bCs/>
          <w:szCs w:val="20"/>
          <w:lang w:val="en-CA"/>
        </w:rPr>
        <w:t>(</w:t>
      </w:r>
      <w:r w:rsidR="00EC0240" w:rsidRPr="00FC2211">
        <w:rPr>
          <w:rFonts w:cstheme="minorHAnsi"/>
          <w:bCs/>
          <w:szCs w:val="20"/>
          <w:lang w:val="en-CA"/>
        </w:rPr>
        <w:t>June 30, 202</w:t>
      </w:r>
      <w:r w:rsidR="00EB3918" w:rsidRPr="00FC2211">
        <w:rPr>
          <w:rFonts w:cstheme="minorHAnsi"/>
          <w:bCs/>
          <w:szCs w:val="20"/>
          <w:lang w:val="en-CA"/>
        </w:rPr>
        <w:t>3</w:t>
      </w:r>
      <w:r w:rsidR="00C42890" w:rsidRPr="00FC2211">
        <w:rPr>
          <w:rFonts w:cstheme="minorHAnsi"/>
          <w:bCs/>
          <w:szCs w:val="20"/>
          <w:lang w:val="en-CA"/>
        </w:rPr>
        <w:t xml:space="preserve"> - $</w:t>
      </w:r>
      <w:r w:rsidR="00EB3918" w:rsidRPr="00FC2211">
        <w:rPr>
          <w:rFonts w:cstheme="minorHAnsi"/>
          <w:bCs/>
          <w:szCs w:val="20"/>
          <w:lang w:val="en-CA"/>
        </w:rPr>
        <w:t>9,950</w:t>
      </w:r>
      <w:r w:rsidR="00C42890" w:rsidRPr="00FC2211">
        <w:rPr>
          <w:rFonts w:cstheme="minorHAnsi"/>
          <w:bCs/>
          <w:szCs w:val="20"/>
          <w:lang w:val="en-CA"/>
        </w:rPr>
        <w:t>)</w:t>
      </w:r>
      <w:r w:rsidR="00E94D63" w:rsidRPr="00FC2211">
        <w:rPr>
          <w:rFonts w:cstheme="minorHAnsi"/>
          <w:bCs/>
          <w:szCs w:val="20"/>
          <w:lang w:val="en-CA"/>
        </w:rPr>
        <w:t>.</w:t>
      </w:r>
    </w:p>
    <w:p w14:paraId="27E62678" w14:textId="77777777" w:rsidR="00B0014D" w:rsidRDefault="00B0014D" w:rsidP="00BE709D">
      <w:pPr>
        <w:ind w:left="426"/>
        <w:jc w:val="both"/>
        <w:rPr>
          <w:rFonts w:cstheme="minorHAnsi"/>
          <w:bCs/>
          <w:szCs w:val="20"/>
          <w:lang w:val="en-CA"/>
        </w:rPr>
      </w:pPr>
    </w:p>
    <w:p w14:paraId="6C666032" w14:textId="0084542B" w:rsidR="00C3548B" w:rsidRPr="00FC2211" w:rsidRDefault="00C3548B" w:rsidP="00BE709D">
      <w:pPr>
        <w:ind w:left="426"/>
        <w:jc w:val="both"/>
        <w:rPr>
          <w:rFonts w:cstheme="minorHAnsi"/>
          <w:bCs/>
          <w:szCs w:val="20"/>
          <w:lang w:val="en-CA"/>
        </w:rPr>
      </w:pPr>
      <w:r w:rsidRPr="00FC2211">
        <w:rPr>
          <w:rFonts w:cstheme="minorHAnsi"/>
          <w:bCs/>
          <w:szCs w:val="20"/>
          <w:lang w:val="en-CA"/>
        </w:rPr>
        <w:t>During the</w:t>
      </w:r>
      <w:r w:rsidR="00F665CB" w:rsidRPr="00FC2211">
        <w:rPr>
          <w:rFonts w:cstheme="minorHAnsi"/>
          <w:bCs/>
          <w:szCs w:val="20"/>
          <w:lang w:val="en-CA"/>
        </w:rPr>
        <w:t xml:space="preserve"> </w:t>
      </w:r>
      <w:r w:rsidR="004D3B2F">
        <w:rPr>
          <w:rFonts w:cstheme="minorHAnsi"/>
          <w:bCs/>
          <w:szCs w:val="20"/>
          <w:lang w:val="en-CA"/>
        </w:rPr>
        <w:t>nine</w:t>
      </w:r>
      <w:r w:rsidR="00EB3918" w:rsidRPr="00FC2211">
        <w:rPr>
          <w:rFonts w:cstheme="minorHAnsi"/>
          <w:bCs/>
          <w:szCs w:val="20"/>
          <w:lang w:val="en-CA"/>
        </w:rPr>
        <w:t xml:space="preserve"> months</w:t>
      </w:r>
      <w:r w:rsidRPr="00FC2211">
        <w:rPr>
          <w:rFonts w:cstheme="minorHAnsi"/>
          <w:bCs/>
          <w:szCs w:val="20"/>
          <w:lang w:val="en-CA"/>
        </w:rPr>
        <w:t xml:space="preserve"> ended </w:t>
      </w:r>
      <w:r w:rsidR="004D3B2F">
        <w:rPr>
          <w:rFonts w:cstheme="minorHAnsi"/>
          <w:bCs/>
          <w:szCs w:val="20"/>
          <w:lang w:val="en-CA"/>
        </w:rPr>
        <w:t>March 31, 2024</w:t>
      </w:r>
      <w:r w:rsidR="00BE709D" w:rsidRPr="00FC2211">
        <w:rPr>
          <w:rFonts w:cstheme="minorHAnsi"/>
          <w:bCs/>
          <w:szCs w:val="20"/>
          <w:lang w:val="en-CA"/>
        </w:rPr>
        <w:t>,</w:t>
      </w:r>
      <w:r w:rsidR="00FB780D" w:rsidRPr="00FC2211">
        <w:rPr>
          <w:rFonts w:cstheme="minorHAnsi"/>
          <w:bCs/>
          <w:szCs w:val="20"/>
          <w:lang w:val="en-CA"/>
        </w:rPr>
        <w:t xml:space="preserve"> and 202</w:t>
      </w:r>
      <w:r w:rsidR="004D3B2F">
        <w:rPr>
          <w:rFonts w:cstheme="minorHAnsi"/>
          <w:bCs/>
          <w:szCs w:val="20"/>
          <w:lang w:val="en-CA"/>
        </w:rPr>
        <w:t>3</w:t>
      </w:r>
      <w:r w:rsidRPr="00FC2211">
        <w:rPr>
          <w:rFonts w:cstheme="minorHAnsi"/>
          <w:bCs/>
          <w:szCs w:val="20"/>
          <w:lang w:val="en-CA"/>
        </w:rPr>
        <w:t xml:space="preserve">, the Company </w:t>
      </w:r>
      <w:r w:rsidR="00C50C2A" w:rsidRPr="00FC2211">
        <w:rPr>
          <w:rFonts w:cstheme="minorHAnsi"/>
          <w:bCs/>
          <w:szCs w:val="20"/>
          <w:lang w:val="en-CA"/>
        </w:rPr>
        <w:t>incurred t</w:t>
      </w:r>
      <w:r w:rsidRPr="00FC2211">
        <w:rPr>
          <w:rFonts w:cstheme="minorHAnsi"/>
          <w:bCs/>
          <w:szCs w:val="20"/>
          <w:lang w:val="en-CA"/>
        </w:rPr>
        <w:t xml:space="preserve">he following </w:t>
      </w:r>
      <w:r w:rsidR="00C50C2A" w:rsidRPr="00FC2211">
        <w:rPr>
          <w:rFonts w:cstheme="minorHAnsi"/>
          <w:bCs/>
          <w:szCs w:val="20"/>
          <w:lang w:val="en-CA"/>
        </w:rPr>
        <w:t>key management compensation</w:t>
      </w:r>
      <w:r w:rsidRPr="00FC2211">
        <w:rPr>
          <w:rFonts w:cstheme="minorHAnsi"/>
          <w:bCs/>
          <w:szCs w:val="20"/>
          <w:lang w:val="en-CA"/>
        </w:rPr>
        <w:t>:</w:t>
      </w:r>
    </w:p>
    <w:tbl>
      <w:tblPr>
        <w:tblW w:w="8338" w:type="dxa"/>
        <w:jc w:val="center"/>
        <w:tblLook w:val="04A0" w:firstRow="1" w:lastRow="0" w:firstColumn="1" w:lastColumn="0" w:noHBand="0" w:noVBand="1"/>
      </w:tblPr>
      <w:tblGrid>
        <w:gridCol w:w="2694"/>
        <w:gridCol w:w="1456"/>
        <w:gridCol w:w="1396"/>
        <w:gridCol w:w="1396"/>
        <w:gridCol w:w="1396"/>
      </w:tblGrid>
      <w:tr w:rsidR="00E81E7E" w:rsidRPr="00E81E7E" w14:paraId="6C3A183E" w14:textId="77777777" w:rsidTr="001257AA">
        <w:trPr>
          <w:trHeight w:val="552"/>
          <w:jc w:val="center"/>
        </w:trPr>
        <w:tc>
          <w:tcPr>
            <w:tcW w:w="2694" w:type="dxa"/>
            <w:tcBorders>
              <w:top w:val="nil"/>
              <w:left w:val="nil"/>
              <w:bottom w:val="single" w:sz="12" w:space="0" w:color="auto"/>
              <w:right w:val="nil"/>
            </w:tcBorders>
            <w:shd w:val="clear" w:color="auto" w:fill="auto"/>
            <w:noWrap/>
            <w:vAlign w:val="center"/>
            <w:hideMark/>
          </w:tcPr>
          <w:p w14:paraId="43E12FE1" w14:textId="77777777" w:rsidR="00E81E7E" w:rsidRPr="00E81E7E" w:rsidRDefault="00E81E7E" w:rsidP="00E81E7E">
            <w:pPr>
              <w:rPr>
                <w:rFonts w:ascii="Calibri" w:hAnsi="Calibri" w:cs="Calibri"/>
                <w:b/>
                <w:bCs/>
                <w:color w:val="000000"/>
                <w:szCs w:val="20"/>
                <w:lang w:val="en-CA" w:eastAsia="en-CA"/>
              </w:rPr>
            </w:pPr>
            <w:r w:rsidRPr="00E81E7E">
              <w:rPr>
                <w:rFonts w:ascii="Calibri" w:hAnsi="Calibri" w:cs="Calibri"/>
                <w:b/>
                <w:bCs/>
                <w:color w:val="000000"/>
                <w:szCs w:val="20"/>
                <w:lang w:val="en-CA" w:eastAsia="en-CA"/>
              </w:rPr>
              <w:t> </w:t>
            </w:r>
          </w:p>
        </w:tc>
        <w:tc>
          <w:tcPr>
            <w:tcW w:w="2852" w:type="dxa"/>
            <w:gridSpan w:val="2"/>
            <w:tcBorders>
              <w:top w:val="nil"/>
              <w:left w:val="nil"/>
              <w:bottom w:val="single" w:sz="12" w:space="0" w:color="auto"/>
              <w:right w:val="nil"/>
            </w:tcBorders>
            <w:shd w:val="clear" w:color="auto" w:fill="auto"/>
            <w:vAlign w:val="center"/>
            <w:hideMark/>
          </w:tcPr>
          <w:p w14:paraId="30F698D1" w14:textId="77777777"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For the three months ended March 31</w:t>
            </w:r>
          </w:p>
        </w:tc>
        <w:tc>
          <w:tcPr>
            <w:tcW w:w="2792" w:type="dxa"/>
            <w:gridSpan w:val="2"/>
            <w:tcBorders>
              <w:top w:val="nil"/>
              <w:left w:val="nil"/>
              <w:bottom w:val="single" w:sz="12" w:space="0" w:color="auto"/>
              <w:right w:val="nil"/>
            </w:tcBorders>
            <w:shd w:val="clear" w:color="auto" w:fill="auto"/>
            <w:vAlign w:val="center"/>
            <w:hideMark/>
          </w:tcPr>
          <w:p w14:paraId="7F5147BD" w14:textId="77777777"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For the nine months ended March 31</w:t>
            </w:r>
          </w:p>
        </w:tc>
      </w:tr>
      <w:tr w:rsidR="00E81E7E" w:rsidRPr="00E81E7E" w14:paraId="109386EA" w14:textId="77777777" w:rsidTr="001257AA">
        <w:trPr>
          <w:trHeight w:val="288"/>
          <w:jc w:val="center"/>
        </w:trPr>
        <w:tc>
          <w:tcPr>
            <w:tcW w:w="2694" w:type="dxa"/>
            <w:tcBorders>
              <w:top w:val="single" w:sz="12" w:space="0" w:color="auto"/>
              <w:left w:val="nil"/>
              <w:bottom w:val="single" w:sz="8" w:space="0" w:color="auto"/>
              <w:right w:val="nil"/>
            </w:tcBorders>
            <w:shd w:val="clear" w:color="auto" w:fill="auto"/>
            <w:noWrap/>
            <w:vAlign w:val="center"/>
            <w:hideMark/>
          </w:tcPr>
          <w:p w14:paraId="0BC0E2A9" w14:textId="77777777"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 </w:t>
            </w:r>
          </w:p>
        </w:tc>
        <w:tc>
          <w:tcPr>
            <w:tcW w:w="1456" w:type="dxa"/>
            <w:tcBorders>
              <w:top w:val="single" w:sz="12" w:space="0" w:color="auto"/>
              <w:left w:val="nil"/>
              <w:bottom w:val="single" w:sz="8" w:space="0" w:color="auto"/>
              <w:right w:val="nil"/>
            </w:tcBorders>
            <w:shd w:val="clear" w:color="auto" w:fill="auto"/>
            <w:vAlign w:val="center"/>
            <w:hideMark/>
          </w:tcPr>
          <w:p w14:paraId="01C422AC" w14:textId="77777777"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2024</w:t>
            </w:r>
          </w:p>
        </w:tc>
        <w:tc>
          <w:tcPr>
            <w:tcW w:w="1396" w:type="dxa"/>
            <w:tcBorders>
              <w:top w:val="single" w:sz="12" w:space="0" w:color="auto"/>
              <w:left w:val="nil"/>
              <w:bottom w:val="single" w:sz="8" w:space="0" w:color="auto"/>
              <w:right w:val="nil"/>
            </w:tcBorders>
            <w:shd w:val="clear" w:color="auto" w:fill="auto"/>
            <w:vAlign w:val="center"/>
            <w:hideMark/>
          </w:tcPr>
          <w:p w14:paraId="5C72D994" w14:textId="77777777" w:rsidR="00E81E7E" w:rsidRPr="00E81E7E" w:rsidRDefault="00E81E7E" w:rsidP="00E81E7E">
            <w:pPr>
              <w:jc w:val="right"/>
              <w:rPr>
                <w:rFonts w:ascii="Calibri" w:hAnsi="Calibri" w:cs="Calibri"/>
                <w:color w:val="000000"/>
                <w:szCs w:val="20"/>
                <w:lang w:val="en-CA" w:eastAsia="en-CA"/>
              </w:rPr>
            </w:pPr>
            <w:r w:rsidRPr="00E81E7E">
              <w:rPr>
                <w:rFonts w:ascii="Calibri" w:hAnsi="Calibri" w:cs="Calibri"/>
                <w:color w:val="000000"/>
                <w:szCs w:val="20"/>
                <w:lang w:val="en-CA" w:eastAsia="en-CA"/>
              </w:rPr>
              <w:t>2023</w:t>
            </w:r>
          </w:p>
        </w:tc>
        <w:tc>
          <w:tcPr>
            <w:tcW w:w="1396" w:type="dxa"/>
            <w:tcBorders>
              <w:top w:val="single" w:sz="12" w:space="0" w:color="auto"/>
              <w:left w:val="nil"/>
              <w:bottom w:val="single" w:sz="8" w:space="0" w:color="auto"/>
              <w:right w:val="nil"/>
            </w:tcBorders>
            <w:shd w:val="clear" w:color="auto" w:fill="auto"/>
            <w:vAlign w:val="center"/>
            <w:hideMark/>
          </w:tcPr>
          <w:p w14:paraId="3D11EC58" w14:textId="77777777"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2024</w:t>
            </w:r>
          </w:p>
        </w:tc>
        <w:tc>
          <w:tcPr>
            <w:tcW w:w="1396" w:type="dxa"/>
            <w:tcBorders>
              <w:top w:val="single" w:sz="12" w:space="0" w:color="auto"/>
              <w:left w:val="nil"/>
              <w:bottom w:val="single" w:sz="8" w:space="0" w:color="auto"/>
              <w:right w:val="nil"/>
            </w:tcBorders>
            <w:shd w:val="clear" w:color="auto" w:fill="auto"/>
            <w:vAlign w:val="center"/>
            <w:hideMark/>
          </w:tcPr>
          <w:p w14:paraId="73A4B3D2" w14:textId="77777777" w:rsidR="00E81E7E" w:rsidRPr="00E81E7E" w:rsidRDefault="00E81E7E" w:rsidP="00E81E7E">
            <w:pPr>
              <w:jc w:val="right"/>
              <w:rPr>
                <w:rFonts w:ascii="Calibri" w:hAnsi="Calibri" w:cs="Calibri"/>
                <w:color w:val="000000"/>
                <w:szCs w:val="20"/>
                <w:lang w:val="en-CA" w:eastAsia="en-CA"/>
              </w:rPr>
            </w:pPr>
            <w:r w:rsidRPr="00E81E7E">
              <w:rPr>
                <w:rFonts w:ascii="Calibri" w:hAnsi="Calibri" w:cs="Calibri"/>
                <w:color w:val="000000"/>
                <w:szCs w:val="20"/>
                <w:lang w:val="en-CA" w:eastAsia="en-CA"/>
              </w:rPr>
              <w:t>2023</w:t>
            </w:r>
          </w:p>
        </w:tc>
      </w:tr>
      <w:tr w:rsidR="00E81E7E" w:rsidRPr="00E81E7E" w14:paraId="5E601A8B" w14:textId="77777777" w:rsidTr="001257AA">
        <w:trPr>
          <w:trHeight w:val="276"/>
          <w:jc w:val="center"/>
        </w:trPr>
        <w:tc>
          <w:tcPr>
            <w:tcW w:w="2694" w:type="dxa"/>
            <w:tcBorders>
              <w:top w:val="nil"/>
              <w:left w:val="nil"/>
              <w:bottom w:val="nil"/>
              <w:right w:val="nil"/>
            </w:tcBorders>
            <w:shd w:val="clear" w:color="000000" w:fill="FFFFFF"/>
            <w:noWrap/>
            <w:vAlign w:val="center"/>
            <w:hideMark/>
          </w:tcPr>
          <w:p w14:paraId="06AB69CC" w14:textId="77777777" w:rsidR="00E81E7E" w:rsidRPr="00E81E7E" w:rsidRDefault="00E81E7E" w:rsidP="00E81E7E">
            <w:pPr>
              <w:rPr>
                <w:rFonts w:ascii="Calibri" w:hAnsi="Calibri" w:cs="Calibri"/>
                <w:color w:val="000000"/>
                <w:szCs w:val="20"/>
                <w:lang w:val="en-CA" w:eastAsia="en-CA"/>
              </w:rPr>
            </w:pPr>
            <w:r w:rsidRPr="00E81E7E">
              <w:rPr>
                <w:rFonts w:ascii="Calibri" w:hAnsi="Calibri" w:cs="Calibri"/>
                <w:color w:val="000000"/>
                <w:szCs w:val="20"/>
                <w:lang w:val="en-CA" w:eastAsia="en-CA"/>
              </w:rPr>
              <w:t>Remuneration and benefits</w:t>
            </w:r>
          </w:p>
        </w:tc>
        <w:tc>
          <w:tcPr>
            <w:tcW w:w="1456" w:type="dxa"/>
            <w:tcBorders>
              <w:top w:val="nil"/>
              <w:left w:val="nil"/>
              <w:bottom w:val="nil"/>
              <w:right w:val="nil"/>
            </w:tcBorders>
            <w:shd w:val="clear" w:color="auto" w:fill="auto"/>
            <w:noWrap/>
            <w:vAlign w:val="center"/>
            <w:hideMark/>
          </w:tcPr>
          <w:p w14:paraId="79065FB8" w14:textId="72EDC541"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 xml:space="preserve"> $  143,731 </w:t>
            </w:r>
          </w:p>
        </w:tc>
        <w:tc>
          <w:tcPr>
            <w:tcW w:w="1396" w:type="dxa"/>
            <w:tcBorders>
              <w:top w:val="nil"/>
              <w:left w:val="nil"/>
              <w:bottom w:val="nil"/>
              <w:right w:val="nil"/>
            </w:tcBorders>
            <w:shd w:val="clear" w:color="auto" w:fill="auto"/>
            <w:noWrap/>
            <w:vAlign w:val="center"/>
            <w:hideMark/>
          </w:tcPr>
          <w:p w14:paraId="049300EC" w14:textId="5AD15607" w:rsidR="00E81E7E" w:rsidRPr="00E81E7E" w:rsidRDefault="00E81E7E" w:rsidP="00E81E7E">
            <w:pPr>
              <w:jc w:val="right"/>
              <w:rPr>
                <w:rFonts w:ascii="Calibri" w:hAnsi="Calibri" w:cs="Calibri"/>
                <w:color w:val="000000"/>
                <w:szCs w:val="20"/>
                <w:lang w:val="en-CA" w:eastAsia="en-CA"/>
              </w:rPr>
            </w:pPr>
            <w:r w:rsidRPr="00E81E7E">
              <w:rPr>
                <w:rFonts w:ascii="Calibri" w:hAnsi="Calibri" w:cs="Calibri"/>
                <w:color w:val="000000"/>
                <w:szCs w:val="20"/>
                <w:lang w:val="en-CA" w:eastAsia="en-CA"/>
              </w:rPr>
              <w:t xml:space="preserve"> $  117,406 </w:t>
            </w:r>
          </w:p>
        </w:tc>
        <w:tc>
          <w:tcPr>
            <w:tcW w:w="1396" w:type="dxa"/>
            <w:tcBorders>
              <w:top w:val="nil"/>
              <w:left w:val="nil"/>
              <w:bottom w:val="nil"/>
              <w:right w:val="nil"/>
            </w:tcBorders>
            <w:shd w:val="clear" w:color="auto" w:fill="auto"/>
            <w:noWrap/>
            <w:vAlign w:val="center"/>
            <w:hideMark/>
          </w:tcPr>
          <w:p w14:paraId="16970094" w14:textId="5AC905BB"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 xml:space="preserve"> $  349,500 </w:t>
            </w:r>
          </w:p>
        </w:tc>
        <w:tc>
          <w:tcPr>
            <w:tcW w:w="1396" w:type="dxa"/>
            <w:tcBorders>
              <w:top w:val="nil"/>
              <w:left w:val="nil"/>
              <w:bottom w:val="nil"/>
              <w:right w:val="nil"/>
            </w:tcBorders>
            <w:shd w:val="clear" w:color="auto" w:fill="auto"/>
            <w:noWrap/>
            <w:vAlign w:val="center"/>
            <w:hideMark/>
          </w:tcPr>
          <w:p w14:paraId="39FDF300" w14:textId="797D613D" w:rsidR="00E81E7E" w:rsidRPr="00E81E7E" w:rsidRDefault="00E81E7E" w:rsidP="00E81E7E">
            <w:pPr>
              <w:jc w:val="right"/>
              <w:rPr>
                <w:rFonts w:ascii="Calibri" w:hAnsi="Calibri" w:cs="Calibri"/>
                <w:color w:val="000000"/>
                <w:szCs w:val="20"/>
                <w:lang w:val="en-CA" w:eastAsia="en-CA"/>
              </w:rPr>
            </w:pPr>
            <w:r w:rsidRPr="00E81E7E">
              <w:rPr>
                <w:rFonts w:ascii="Calibri" w:hAnsi="Calibri" w:cs="Calibri"/>
                <w:color w:val="000000"/>
                <w:szCs w:val="20"/>
                <w:lang w:val="en-CA" w:eastAsia="en-CA"/>
              </w:rPr>
              <w:t xml:space="preserve"> $   450,445 </w:t>
            </w:r>
          </w:p>
        </w:tc>
      </w:tr>
      <w:tr w:rsidR="00E81E7E" w:rsidRPr="00E81E7E" w14:paraId="7EC8E044" w14:textId="77777777" w:rsidTr="001257AA">
        <w:trPr>
          <w:trHeight w:val="276"/>
          <w:jc w:val="center"/>
        </w:trPr>
        <w:tc>
          <w:tcPr>
            <w:tcW w:w="2694" w:type="dxa"/>
            <w:tcBorders>
              <w:top w:val="nil"/>
              <w:left w:val="nil"/>
              <w:bottom w:val="single" w:sz="4" w:space="0" w:color="auto"/>
              <w:right w:val="nil"/>
            </w:tcBorders>
            <w:shd w:val="clear" w:color="000000" w:fill="FFFFFF"/>
            <w:noWrap/>
            <w:vAlign w:val="center"/>
            <w:hideMark/>
          </w:tcPr>
          <w:p w14:paraId="27E734A4" w14:textId="77777777" w:rsidR="00E81E7E" w:rsidRPr="00E81E7E" w:rsidRDefault="00E81E7E" w:rsidP="00E81E7E">
            <w:pPr>
              <w:rPr>
                <w:rFonts w:ascii="Calibri" w:hAnsi="Calibri" w:cs="Calibri"/>
                <w:color w:val="000000"/>
                <w:szCs w:val="20"/>
                <w:lang w:val="en-CA" w:eastAsia="en-CA"/>
              </w:rPr>
            </w:pPr>
            <w:r w:rsidRPr="00E81E7E">
              <w:rPr>
                <w:rFonts w:ascii="Calibri" w:hAnsi="Calibri" w:cs="Calibri"/>
                <w:color w:val="000000"/>
                <w:szCs w:val="20"/>
                <w:lang w:val="en-CA" w:eastAsia="en-CA"/>
              </w:rPr>
              <w:t>Stock-based compensation</w:t>
            </w:r>
          </w:p>
        </w:tc>
        <w:tc>
          <w:tcPr>
            <w:tcW w:w="1456" w:type="dxa"/>
            <w:tcBorders>
              <w:top w:val="nil"/>
              <w:left w:val="nil"/>
              <w:bottom w:val="single" w:sz="4" w:space="0" w:color="auto"/>
              <w:right w:val="nil"/>
            </w:tcBorders>
            <w:shd w:val="clear" w:color="auto" w:fill="auto"/>
            <w:noWrap/>
            <w:vAlign w:val="center"/>
            <w:hideMark/>
          </w:tcPr>
          <w:p w14:paraId="6BDB51DD" w14:textId="26B54D52"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 xml:space="preserve">  37,640 </w:t>
            </w:r>
          </w:p>
        </w:tc>
        <w:tc>
          <w:tcPr>
            <w:tcW w:w="1396" w:type="dxa"/>
            <w:tcBorders>
              <w:top w:val="nil"/>
              <w:left w:val="nil"/>
              <w:bottom w:val="single" w:sz="4" w:space="0" w:color="auto"/>
              <w:right w:val="nil"/>
            </w:tcBorders>
            <w:shd w:val="clear" w:color="auto" w:fill="auto"/>
            <w:noWrap/>
            <w:vAlign w:val="center"/>
            <w:hideMark/>
          </w:tcPr>
          <w:p w14:paraId="57E086C4" w14:textId="066B3B27" w:rsidR="00E81E7E" w:rsidRPr="00E81E7E" w:rsidRDefault="00E81E7E" w:rsidP="00E81E7E">
            <w:pPr>
              <w:jc w:val="right"/>
              <w:rPr>
                <w:rFonts w:ascii="Calibri" w:hAnsi="Calibri" w:cs="Calibri"/>
                <w:color w:val="000000"/>
                <w:szCs w:val="20"/>
                <w:lang w:val="en-CA" w:eastAsia="en-CA"/>
              </w:rPr>
            </w:pPr>
            <w:r w:rsidRPr="00E81E7E">
              <w:rPr>
                <w:rFonts w:ascii="Calibri" w:hAnsi="Calibri" w:cs="Calibri"/>
                <w:color w:val="000000"/>
                <w:szCs w:val="20"/>
                <w:lang w:val="en-CA" w:eastAsia="en-CA"/>
              </w:rPr>
              <w:t xml:space="preserve">   27,547 </w:t>
            </w:r>
          </w:p>
        </w:tc>
        <w:tc>
          <w:tcPr>
            <w:tcW w:w="1396" w:type="dxa"/>
            <w:tcBorders>
              <w:top w:val="nil"/>
              <w:left w:val="nil"/>
              <w:bottom w:val="single" w:sz="4" w:space="0" w:color="auto"/>
              <w:right w:val="nil"/>
            </w:tcBorders>
            <w:shd w:val="clear" w:color="auto" w:fill="auto"/>
            <w:noWrap/>
            <w:vAlign w:val="center"/>
            <w:hideMark/>
          </w:tcPr>
          <w:p w14:paraId="5B9EF43A" w14:textId="6CEDCA78"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 xml:space="preserve">   122,405 </w:t>
            </w:r>
          </w:p>
        </w:tc>
        <w:tc>
          <w:tcPr>
            <w:tcW w:w="1396" w:type="dxa"/>
            <w:tcBorders>
              <w:top w:val="nil"/>
              <w:left w:val="nil"/>
              <w:bottom w:val="single" w:sz="4" w:space="0" w:color="auto"/>
              <w:right w:val="nil"/>
            </w:tcBorders>
            <w:shd w:val="clear" w:color="auto" w:fill="auto"/>
            <w:noWrap/>
            <w:vAlign w:val="center"/>
            <w:hideMark/>
          </w:tcPr>
          <w:p w14:paraId="7C0C4BE7" w14:textId="5A0866E8" w:rsidR="00E81E7E" w:rsidRPr="00E81E7E" w:rsidRDefault="00E81E7E" w:rsidP="00E81E7E">
            <w:pPr>
              <w:jc w:val="right"/>
              <w:rPr>
                <w:rFonts w:ascii="Calibri" w:hAnsi="Calibri" w:cs="Calibri"/>
                <w:color w:val="000000"/>
                <w:szCs w:val="20"/>
                <w:lang w:val="en-CA" w:eastAsia="en-CA"/>
              </w:rPr>
            </w:pPr>
            <w:r w:rsidRPr="00E81E7E">
              <w:rPr>
                <w:rFonts w:ascii="Calibri" w:hAnsi="Calibri" w:cs="Calibri"/>
                <w:color w:val="000000"/>
                <w:szCs w:val="20"/>
                <w:lang w:val="en-CA" w:eastAsia="en-CA"/>
              </w:rPr>
              <w:t xml:space="preserve">52,618 </w:t>
            </w:r>
          </w:p>
        </w:tc>
      </w:tr>
      <w:tr w:rsidR="00E81E7E" w:rsidRPr="00E81E7E" w14:paraId="59EFC13D" w14:textId="77777777" w:rsidTr="001257AA">
        <w:trPr>
          <w:trHeight w:val="288"/>
          <w:jc w:val="center"/>
        </w:trPr>
        <w:tc>
          <w:tcPr>
            <w:tcW w:w="2694" w:type="dxa"/>
            <w:tcBorders>
              <w:top w:val="single" w:sz="4" w:space="0" w:color="auto"/>
              <w:left w:val="nil"/>
              <w:bottom w:val="single" w:sz="12" w:space="0" w:color="auto"/>
              <w:right w:val="nil"/>
            </w:tcBorders>
            <w:shd w:val="clear" w:color="auto" w:fill="auto"/>
            <w:noWrap/>
            <w:vAlign w:val="center"/>
            <w:hideMark/>
          </w:tcPr>
          <w:p w14:paraId="7B507A93" w14:textId="77777777" w:rsidR="00E81E7E" w:rsidRPr="00E81E7E" w:rsidRDefault="00E81E7E" w:rsidP="00E81E7E">
            <w:pPr>
              <w:rPr>
                <w:rFonts w:ascii="Calibri" w:hAnsi="Calibri" w:cs="Calibri"/>
                <w:color w:val="000000"/>
                <w:szCs w:val="20"/>
                <w:lang w:val="en-CA" w:eastAsia="en-CA"/>
              </w:rPr>
            </w:pPr>
            <w:r w:rsidRPr="00E81E7E">
              <w:rPr>
                <w:rFonts w:ascii="Calibri" w:hAnsi="Calibri" w:cs="Calibri"/>
                <w:color w:val="000000"/>
                <w:szCs w:val="20"/>
                <w:lang w:val="en-CA" w:eastAsia="en-CA"/>
              </w:rPr>
              <w:t>Total</w:t>
            </w:r>
          </w:p>
        </w:tc>
        <w:tc>
          <w:tcPr>
            <w:tcW w:w="1456" w:type="dxa"/>
            <w:tcBorders>
              <w:top w:val="single" w:sz="4" w:space="0" w:color="auto"/>
              <w:left w:val="nil"/>
              <w:bottom w:val="single" w:sz="12" w:space="0" w:color="auto"/>
              <w:right w:val="nil"/>
            </w:tcBorders>
            <w:shd w:val="clear" w:color="auto" w:fill="auto"/>
            <w:noWrap/>
            <w:vAlign w:val="center"/>
            <w:hideMark/>
          </w:tcPr>
          <w:p w14:paraId="597B4C91" w14:textId="1463FC43"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 xml:space="preserve"> $  181,371 </w:t>
            </w:r>
          </w:p>
        </w:tc>
        <w:tc>
          <w:tcPr>
            <w:tcW w:w="1396" w:type="dxa"/>
            <w:tcBorders>
              <w:top w:val="single" w:sz="4" w:space="0" w:color="auto"/>
              <w:left w:val="nil"/>
              <w:bottom w:val="single" w:sz="12" w:space="0" w:color="auto"/>
              <w:right w:val="nil"/>
            </w:tcBorders>
            <w:shd w:val="clear" w:color="auto" w:fill="auto"/>
            <w:noWrap/>
            <w:vAlign w:val="center"/>
            <w:hideMark/>
          </w:tcPr>
          <w:p w14:paraId="6A35378E" w14:textId="2BDE3385" w:rsidR="00E81E7E" w:rsidRPr="00E81E7E" w:rsidRDefault="00E81E7E" w:rsidP="00E81E7E">
            <w:pPr>
              <w:jc w:val="right"/>
              <w:rPr>
                <w:rFonts w:ascii="Calibri" w:hAnsi="Calibri" w:cs="Calibri"/>
                <w:color w:val="000000"/>
                <w:szCs w:val="20"/>
                <w:lang w:val="en-CA" w:eastAsia="en-CA"/>
              </w:rPr>
            </w:pPr>
            <w:r w:rsidRPr="00E81E7E">
              <w:rPr>
                <w:rFonts w:ascii="Calibri" w:hAnsi="Calibri" w:cs="Calibri"/>
                <w:color w:val="000000"/>
                <w:szCs w:val="20"/>
                <w:lang w:val="en-CA" w:eastAsia="en-CA"/>
              </w:rPr>
              <w:t xml:space="preserve"> $   144,953 </w:t>
            </w:r>
          </w:p>
        </w:tc>
        <w:tc>
          <w:tcPr>
            <w:tcW w:w="1396" w:type="dxa"/>
            <w:tcBorders>
              <w:top w:val="single" w:sz="4" w:space="0" w:color="auto"/>
              <w:left w:val="nil"/>
              <w:bottom w:val="single" w:sz="12" w:space="0" w:color="auto"/>
              <w:right w:val="nil"/>
            </w:tcBorders>
            <w:shd w:val="clear" w:color="auto" w:fill="auto"/>
            <w:noWrap/>
            <w:vAlign w:val="center"/>
            <w:hideMark/>
          </w:tcPr>
          <w:p w14:paraId="16A13D79" w14:textId="0C0B23AD" w:rsidR="00E81E7E" w:rsidRPr="00E81E7E" w:rsidRDefault="00E81E7E" w:rsidP="00E81E7E">
            <w:pPr>
              <w:jc w:val="right"/>
              <w:rPr>
                <w:rFonts w:ascii="Calibri" w:hAnsi="Calibri" w:cs="Calibri"/>
                <w:b/>
                <w:bCs/>
                <w:color w:val="000000"/>
                <w:szCs w:val="20"/>
                <w:lang w:val="en-CA" w:eastAsia="en-CA"/>
              </w:rPr>
            </w:pPr>
            <w:r w:rsidRPr="00E81E7E">
              <w:rPr>
                <w:rFonts w:ascii="Calibri" w:hAnsi="Calibri" w:cs="Calibri"/>
                <w:b/>
                <w:bCs/>
                <w:color w:val="000000"/>
                <w:szCs w:val="20"/>
                <w:lang w:val="en-CA" w:eastAsia="en-CA"/>
              </w:rPr>
              <w:t xml:space="preserve"> $  471,905 </w:t>
            </w:r>
          </w:p>
        </w:tc>
        <w:tc>
          <w:tcPr>
            <w:tcW w:w="1396" w:type="dxa"/>
            <w:tcBorders>
              <w:top w:val="single" w:sz="4" w:space="0" w:color="auto"/>
              <w:left w:val="nil"/>
              <w:bottom w:val="single" w:sz="12" w:space="0" w:color="auto"/>
              <w:right w:val="nil"/>
            </w:tcBorders>
            <w:shd w:val="clear" w:color="auto" w:fill="auto"/>
            <w:noWrap/>
            <w:vAlign w:val="center"/>
            <w:hideMark/>
          </w:tcPr>
          <w:p w14:paraId="42BFFA3D" w14:textId="0F60B4F7" w:rsidR="00E81E7E" w:rsidRPr="00E81E7E" w:rsidRDefault="00E81E7E" w:rsidP="00E81E7E">
            <w:pPr>
              <w:jc w:val="right"/>
              <w:rPr>
                <w:rFonts w:ascii="Calibri" w:hAnsi="Calibri" w:cs="Calibri"/>
                <w:color w:val="000000"/>
                <w:szCs w:val="20"/>
                <w:lang w:val="en-CA" w:eastAsia="en-CA"/>
              </w:rPr>
            </w:pPr>
            <w:r w:rsidRPr="00E81E7E">
              <w:rPr>
                <w:rFonts w:ascii="Calibri" w:hAnsi="Calibri" w:cs="Calibri"/>
                <w:color w:val="000000"/>
                <w:szCs w:val="20"/>
                <w:lang w:val="en-CA" w:eastAsia="en-CA"/>
              </w:rPr>
              <w:t xml:space="preserve"> $  503,063 </w:t>
            </w:r>
          </w:p>
        </w:tc>
      </w:tr>
    </w:tbl>
    <w:p w14:paraId="70C8791F" w14:textId="772C256C" w:rsidR="00282FF9" w:rsidRDefault="00282FF9" w:rsidP="00683FFA">
      <w:pPr>
        <w:ind w:left="450"/>
        <w:jc w:val="center"/>
        <w:rPr>
          <w:rFonts w:cstheme="minorHAnsi"/>
          <w:bCs/>
          <w:szCs w:val="20"/>
          <w:lang w:val="en-CA"/>
        </w:rPr>
      </w:pPr>
    </w:p>
    <w:p w14:paraId="3144AF37" w14:textId="1F1FB3B2" w:rsidR="00220F31" w:rsidRDefault="00220F31" w:rsidP="00683FFA">
      <w:pPr>
        <w:ind w:left="450"/>
        <w:jc w:val="center"/>
        <w:rPr>
          <w:rFonts w:cstheme="minorHAnsi"/>
          <w:bCs/>
          <w:szCs w:val="20"/>
          <w:lang w:val="en-CA"/>
        </w:rPr>
      </w:pPr>
      <w:r>
        <w:rPr>
          <w:rFonts w:cstheme="minorHAnsi"/>
          <w:bCs/>
          <w:szCs w:val="20"/>
          <w:lang w:val="en-CA"/>
        </w:rPr>
        <w:br w:type="page"/>
      </w:r>
    </w:p>
    <w:p w14:paraId="2D287F72" w14:textId="73105D3E" w:rsidR="007A39D0" w:rsidRPr="00FC2211" w:rsidRDefault="00C47E16" w:rsidP="00C47E16">
      <w:pPr>
        <w:pStyle w:val="Heading1"/>
        <w:ind w:left="426" w:hanging="426"/>
        <w:rPr>
          <w:rFonts w:cstheme="minorHAnsi"/>
          <w:szCs w:val="20"/>
          <w:lang w:val="en-GB"/>
        </w:rPr>
      </w:pPr>
      <w:r w:rsidRPr="00FC2211">
        <w:rPr>
          <w:rFonts w:cstheme="minorHAnsi"/>
          <w:szCs w:val="20"/>
          <w:lang w:val="en-GB"/>
        </w:rPr>
        <w:lastRenderedPageBreak/>
        <w:t>1</w:t>
      </w:r>
      <w:r w:rsidR="00CC1E02">
        <w:rPr>
          <w:rFonts w:cstheme="minorHAnsi"/>
          <w:szCs w:val="20"/>
          <w:lang w:val="en-GB"/>
        </w:rPr>
        <w:t>9</w:t>
      </w:r>
      <w:r w:rsidRPr="00FC2211">
        <w:rPr>
          <w:rFonts w:cstheme="minorHAnsi"/>
          <w:szCs w:val="20"/>
          <w:lang w:val="en-GB"/>
        </w:rPr>
        <w:t xml:space="preserve">.   </w:t>
      </w:r>
      <w:r w:rsidR="00587048" w:rsidRPr="00FC2211">
        <w:rPr>
          <w:rFonts w:cstheme="minorHAnsi"/>
          <w:szCs w:val="20"/>
          <w:lang w:val="en-GB"/>
        </w:rPr>
        <w:t>C</w:t>
      </w:r>
      <w:r w:rsidR="007A39D0" w:rsidRPr="00FC2211">
        <w:rPr>
          <w:rFonts w:cstheme="minorHAnsi"/>
          <w:szCs w:val="20"/>
          <w:lang w:val="en-GB"/>
        </w:rPr>
        <w:t>APITAL MANAGEMENT</w:t>
      </w:r>
    </w:p>
    <w:p w14:paraId="05ADF436" w14:textId="77777777" w:rsidR="007A39D0" w:rsidRPr="00FC2211" w:rsidRDefault="007A39D0" w:rsidP="007A39D0">
      <w:pPr>
        <w:pStyle w:val="ListParagraph"/>
        <w:spacing w:after="0" w:line="240" w:lineRule="auto"/>
        <w:ind w:left="360"/>
        <w:rPr>
          <w:rFonts w:asciiTheme="minorHAnsi" w:hAnsiTheme="minorHAnsi" w:cstheme="minorHAnsi"/>
          <w:b/>
          <w:bCs/>
          <w:sz w:val="20"/>
          <w:szCs w:val="20"/>
          <w:lang w:val="en-CA"/>
        </w:rPr>
      </w:pPr>
    </w:p>
    <w:p w14:paraId="7D7E6D24" w14:textId="77777777" w:rsidR="00D67793" w:rsidRPr="00FC2211" w:rsidRDefault="007A39D0" w:rsidP="00BE709D">
      <w:pPr>
        <w:tabs>
          <w:tab w:val="right" w:pos="10080"/>
        </w:tabs>
        <w:ind w:left="426"/>
        <w:jc w:val="both"/>
        <w:rPr>
          <w:rFonts w:cstheme="minorHAnsi"/>
          <w:szCs w:val="20"/>
        </w:rPr>
      </w:pPr>
      <w:r w:rsidRPr="00FC2211">
        <w:rPr>
          <w:rFonts w:cstheme="minorHAnsi"/>
          <w:szCs w:val="20"/>
          <w:lang w:val="en-GB"/>
        </w:rPr>
        <w:t xml:space="preserve">The Company defines capital as consisting of shareholders’ equity. The Company’s objectives when managing capital are to support the further advancement of the Company’s business objectives and existing product lines, as well as to ensure that the Company </w:t>
      </w:r>
      <w:r w:rsidR="00F25DAB" w:rsidRPr="00FC2211">
        <w:rPr>
          <w:rFonts w:cstheme="minorHAnsi"/>
          <w:szCs w:val="20"/>
          <w:lang w:val="en-GB"/>
        </w:rPr>
        <w:t>can</w:t>
      </w:r>
      <w:r w:rsidRPr="00FC2211">
        <w:rPr>
          <w:rFonts w:cstheme="minorHAnsi"/>
          <w:szCs w:val="20"/>
          <w:lang w:val="en-GB"/>
        </w:rPr>
        <w:t xml:space="preserve"> meet its financial obligations as they become due.</w:t>
      </w:r>
    </w:p>
    <w:p w14:paraId="762E00C0" w14:textId="77777777" w:rsidR="007A39D0" w:rsidRPr="00FC2211" w:rsidRDefault="007A39D0" w:rsidP="00BE709D">
      <w:pPr>
        <w:tabs>
          <w:tab w:val="right" w:pos="10080"/>
        </w:tabs>
        <w:ind w:left="426"/>
        <w:jc w:val="both"/>
        <w:rPr>
          <w:rFonts w:cstheme="minorHAnsi"/>
          <w:b/>
          <w:szCs w:val="20"/>
          <w:lang w:val="en-GB"/>
        </w:rPr>
      </w:pPr>
    </w:p>
    <w:p w14:paraId="5DDFBD8F" w14:textId="3D4A12B7" w:rsidR="00002EBE" w:rsidRPr="00FC2211" w:rsidRDefault="00D67793" w:rsidP="00BE709D">
      <w:pPr>
        <w:tabs>
          <w:tab w:val="right" w:pos="10080"/>
        </w:tabs>
        <w:ind w:left="426"/>
        <w:jc w:val="both"/>
        <w:rPr>
          <w:rFonts w:cstheme="minorHAnsi"/>
          <w:szCs w:val="20"/>
          <w:lang w:val="en-GB"/>
        </w:rPr>
      </w:pPr>
      <w:r w:rsidRPr="00FC2211">
        <w:rPr>
          <w:rFonts w:cstheme="minorHAnsi"/>
          <w:szCs w:val="20"/>
          <w:lang w:val="en-GB"/>
        </w:rPr>
        <w:t>The Company manages its capital structure to maximize its financial flexibility</w:t>
      </w:r>
      <w:r w:rsidR="00C83304" w:rsidRPr="00FC2211">
        <w:rPr>
          <w:rFonts w:cstheme="minorHAnsi"/>
          <w:szCs w:val="20"/>
          <w:lang w:val="en-GB"/>
        </w:rPr>
        <w:t>,</w:t>
      </w:r>
      <w:r w:rsidRPr="00FC2211">
        <w:rPr>
          <w:rFonts w:cstheme="minorHAnsi"/>
          <w:szCs w:val="20"/>
          <w:lang w:val="en-GB"/>
        </w:rPr>
        <w:t xml:space="preserve"> </w:t>
      </w:r>
      <w:r w:rsidR="00F25DAB" w:rsidRPr="00FC2211">
        <w:rPr>
          <w:rFonts w:cstheme="minorHAnsi"/>
          <w:szCs w:val="20"/>
          <w:lang w:val="en-GB"/>
        </w:rPr>
        <w:t>adjusting</w:t>
      </w:r>
      <w:r w:rsidRPr="00FC2211">
        <w:rPr>
          <w:rFonts w:cstheme="minorHAnsi"/>
          <w:szCs w:val="20"/>
          <w:lang w:val="en-GB"/>
        </w:rPr>
        <w:t xml:space="preserve"> it in response to changes in economic conditions and the risk characteristics of the underlying assets and business opportunities. The Company relies on the expertise of the Company’s management to sustain the future development of the business. Management reviews its capital management approach on an ongoing basis and believes that this approach, given the </w:t>
      </w:r>
      <w:r w:rsidR="00C83304" w:rsidRPr="00FC2211">
        <w:rPr>
          <w:rFonts w:cstheme="minorHAnsi"/>
          <w:szCs w:val="20"/>
          <w:lang w:val="en-GB"/>
        </w:rPr>
        <w:t>Company's relative size</w:t>
      </w:r>
      <w:r w:rsidRPr="00FC2211">
        <w:rPr>
          <w:rFonts w:cstheme="minorHAnsi"/>
          <w:szCs w:val="20"/>
          <w:lang w:val="en-GB"/>
        </w:rPr>
        <w:t xml:space="preserve">, is reasonable. </w:t>
      </w:r>
      <w:r w:rsidR="00002EBE" w:rsidRPr="00FC2211">
        <w:rPr>
          <w:rFonts w:cstheme="minorHAnsi"/>
          <w:szCs w:val="20"/>
          <w:lang w:val="en-GB"/>
        </w:rPr>
        <w:t>The approach to capital management has not changed since the prior year, and the Company is not subjected to externally imposed capital requirements.</w:t>
      </w:r>
    </w:p>
    <w:p w14:paraId="6B7801DF" w14:textId="77777777" w:rsidR="007E2CCB" w:rsidRPr="00FC2211" w:rsidRDefault="007E2CCB" w:rsidP="00BE709D">
      <w:pPr>
        <w:tabs>
          <w:tab w:val="right" w:pos="10080"/>
        </w:tabs>
        <w:ind w:left="426"/>
        <w:jc w:val="both"/>
        <w:rPr>
          <w:rFonts w:cstheme="minorHAnsi"/>
          <w:szCs w:val="20"/>
          <w:lang w:val="en-GB"/>
        </w:rPr>
      </w:pPr>
    </w:p>
    <w:p w14:paraId="40431AAA" w14:textId="4D14ABB9" w:rsidR="00D67793" w:rsidRPr="00FC2211" w:rsidRDefault="00A45D82" w:rsidP="006B686D">
      <w:pPr>
        <w:pStyle w:val="Heading1"/>
        <w:rPr>
          <w:rFonts w:cstheme="minorHAnsi"/>
          <w:szCs w:val="20"/>
          <w:lang w:val="en-GB"/>
        </w:rPr>
      </w:pPr>
      <w:bookmarkStart w:id="7" w:name="_Hlk77838003"/>
      <w:r>
        <w:rPr>
          <w:rFonts w:cstheme="minorHAnsi"/>
          <w:szCs w:val="20"/>
          <w:lang w:val="en-GB"/>
        </w:rPr>
        <w:t>20</w:t>
      </w:r>
      <w:r w:rsidR="006B686D" w:rsidRPr="00FC2211">
        <w:rPr>
          <w:rFonts w:cstheme="minorHAnsi"/>
          <w:szCs w:val="20"/>
          <w:lang w:val="en-GB"/>
        </w:rPr>
        <w:t xml:space="preserve">.   </w:t>
      </w:r>
      <w:r w:rsidR="00D67793" w:rsidRPr="00FC2211">
        <w:rPr>
          <w:rFonts w:cstheme="minorHAnsi"/>
          <w:szCs w:val="20"/>
          <w:lang w:val="en-GB"/>
        </w:rPr>
        <w:t>FINANCIAL INSTRUMENTS AND RISK MANAGEMENT</w:t>
      </w:r>
    </w:p>
    <w:bookmarkEnd w:id="7"/>
    <w:p w14:paraId="6962D33B" w14:textId="77777777" w:rsidR="00D67793" w:rsidRPr="00FC2211" w:rsidRDefault="00D67793" w:rsidP="00D67793">
      <w:pPr>
        <w:rPr>
          <w:rFonts w:cstheme="minorHAnsi"/>
          <w:bCs/>
          <w:szCs w:val="20"/>
          <w:lang w:val="en-CA"/>
        </w:rPr>
      </w:pPr>
    </w:p>
    <w:p w14:paraId="0F4E78B8" w14:textId="77777777" w:rsidR="00D67793" w:rsidRPr="00FC2211" w:rsidRDefault="006B686D" w:rsidP="006B686D">
      <w:pPr>
        <w:contextualSpacing/>
        <w:rPr>
          <w:rFonts w:cstheme="minorHAnsi"/>
          <w:b/>
          <w:szCs w:val="20"/>
        </w:rPr>
      </w:pPr>
      <w:r w:rsidRPr="00FC2211">
        <w:rPr>
          <w:rFonts w:cstheme="minorHAnsi"/>
          <w:b/>
          <w:szCs w:val="20"/>
        </w:rPr>
        <w:t xml:space="preserve">         </w:t>
      </w:r>
      <w:r w:rsidR="009627BF" w:rsidRPr="00FC2211">
        <w:rPr>
          <w:rFonts w:cstheme="minorHAnsi"/>
          <w:b/>
          <w:szCs w:val="20"/>
        </w:rPr>
        <w:t xml:space="preserve"> </w:t>
      </w:r>
      <w:r w:rsidRPr="00FC2211">
        <w:rPr>
          <w:rFonts w:cstheme="minorHAnsi"/>
          <w:b/>
          <w:szCs w:val="20"/>
        </w:rPr>
        <w:t xml:space="preserve">a)    </w:t>
      </w:r>
      <w:r w:rsidR="00D67793" w:rsidRPr="00FC2211">
        <w:rPr>
          <w:rFonts w:cstheme="minorHAnsi"/>
          <w:b/>
          <w:szCs w:val="20"/>
        </w:rPr>
        <w:t>Fair value risk</w:t>
      </w:r>
    </w:p>
    <w:p w14:paraId="5079EF1A" w14:textId="77777777" w:rsidR="00D67793" w:rsidRPr="00FC2211" w:rsidRDefault="00D67793" w:rsidP="00D67793">
      <w:pPr>
        <w:ind w:left="720"/>
        <w:contextualSpacing/>
        <w:rPr>
          <w:rFonts w:cstheme="minorHAnsi"/>
          <w:b/>
          <w:szCs w:val="20"/>
        </w:rPr>
      </w:pPr>
    </w:p>
    <w:p w14:paraId="70D6A47D" w14:textId="03828C06" w:rsidR="00D67793" w:rsidRPr="00FC2211" w:rsidRDefault="00D67793" w:rsidP="00D02C78">
      <w:pPr>
        <w:ind w:left="737"/>
        <w:contextualSpacing/>
        <w:jc w:val="both"/>
        <w:rPr>
          <w:rFonts w:cstheme="minorHAnsi"/>
          <w:szCs w:val="20"/>
          <w:lang w:val="en-GB"/>
        </w:rPr>
      </w:pPr>
      <w:r w:rsidRPr="00FC2211">
        <w:rPr>
          <w:rFonts w:cstheme="minorHAnsi"/>
          <w:szCs w:val="20"/>
          <w:lang w:val="en-GB"/>
        </w:rPr>
        <w:t xml:space="preserve">The Company’s financial instruments consist of cash, </w:t>
      </w:r>
      <w:r w:rsidR="00E23D9C" w:rsidRPr="00FC2211">
        <w:rPr>
          <w:rFonts w:cstheme="minorHAnsi"/>
          <w:szCs w:val="20"/>
          <w:lang w:val="en-GB"/>
        </w:rPr>
        <w:t>account</w:t>
      </w:r>
      <w:r w:rsidR="45F8CD72" w:rsidRPr="00FC2211">
        <w:rPr>
          <w:rFonts w:cstheme="minorHAnsi"/>
          <w:szCs w:val="20"/>
          <w:lang w:val="en-GB"/>
        </w:rPr>
        <w:t>s</w:t>
      </w:r>
      <w:r w:rsidR="00E23D9C" w:rsidRPr="00FC2211">
        <w:rPr>
          <w:rFonts w:cstheme="minorHAnsi"/>
          <w:szCs w:val="20"/>
          <w:lang w:val="en-GB"/>
        </w:rPr>
        <w:t xml:space="preserve"> </w:t>
      </w:r>
      <w:r w:rsidRPr="00FC2211">
        <w:rPr>
          <w:rFonts w:cstheme="minorHAnsi"/>
          <w:szCs w:val="20"/>
          <w:lang w:val="en-GB"/>
        </w:rPr>
        <w:t>receivable</w:t>
      </w:r>
      <w:r w:rsidR="00B30B49" w:rsidRPr="00FC2211">
        <w:rPr>
          <w:rFonts w:cstheme="minorHAnsi"/>
          <w:szCs w:val="20"/>
          <w:lang w:val="en-GB"/>
        </w:rPr>
        <w:t>,</w:t>
      </w:r>
      <w:r w:rsidR="002B484B" w:rsidRPr="00FC2211">
        <w:rPr>
          <w:rFonts w:cstheme="minorHAnsi"/>
          <w:szCs w:val="20"/>
          <w:lang w:val="en-GB"/>
        </w:rPr>
        <w:t xml:space="preserve"> notes receivable,</w:t>
      </w:r>
      <w:r w:rsidR="004A7845" w:rsidRPr="00FC2211">
        <w:rPr>
          <w:rFonts w:cstheme="minorHAnsi"/>
          <w:szCs w:val="20"/>
          <w:lang w:val="en-GB"/>
        </w:rPr>
        <w:t xml:space="preserve"> </w:t>
      </w:r>
      <w:r w:rsidRPr="00FC2211">
        <w:rPr>
          <w:rFonts w:cstheme="minorHAnsi"/>
          <w:szCs w:val="20"/>
          <w:lang w:val="en-GB"/>
        </w:rPr>
        <w:t>accounts payable</w:t>
      </w:r>
      <w:r w:rsidR="00EC506E" w:rsidRPr="00FC2211">
        <w:rPr>
          <w:rFonts w:cstheme="minorHAnsi"/>
          <w:szCs w:val="20"/>
          <w:lang w:val="en-GB"/>
        </w:rPr>
        <w:t xml:space="preserve"> and accrued liabilities</w:t>
      </w:r>
      <w:r w:rsidR="00A943DC" w:rsidRPr="00FC2211">
        <w:rPr>
          <w:rFonts w:cstheme="minorHAnsi"/>
          <w:szCs w:val="20"/>
          <w:lang w:val="en-GB"/>
        </w:rPr>
        <w:t>,</w:t>
      </w:r>
      <w:r w:rsidRPr="00FC2211">
        <w:rPr>
          <w:rFonts w:cstheme="minorHAnsi"/>
          <w:szCs w:val="20"/>
          <w:lang w:val="en-GB"/>
        </w:rPr>
        <w:t xml:space="preserve"> due to related parties</w:t>
      </w:r>
      <w:r w:rsidR="00123CD1" w:rsidRPr="00FC2211">
        <w:rPr>
          <w:rFonts w:cstheme="minorHAnsi"/>
          <w:szCs w:val="20"/>
          <w:lang w:val="en-GB"/>
        </w:rPr>
        <w:t>,</w:t>
      </w:r>
      <w:r w:rsidRPr="00FC2211">
        <w:rPr>
          <w:rFonts w:cstheme="minorHAnsi"/>
          <w:szCs w:val="20"/>
          <w:lang w:val="en-GB"/>
        </w:rPr>
        <w:t xml:space="preserve"> loan</w:t>
      </w:r>
      <w:r w:rsidR="00EC506E" w:rsidRPr="00FC2211">
        <w:rPr>
          <w:rFonts w:cstheme="minorHAnsi"/>
          <w:szCs w:val="20"/>
          <w:lang w:val="en-GB"/>
        </w:rPr>
        <w:t>s</w:t>
      </w:r>
      <w:r w:rsidRPr="00FC2211">
        <w:rPr>
          <w:rFonts w:cstheme="minorHAnsi"/>
          <w:szCs w:val="20"/>
          <w:lang w:val="en-GB"/>
        </w:rPr>
        <w:t xml:space="preserve"> payable</w:t>
      </w:r>
      <w:r w:rsidR="0070234B" w:rsidRPr="00FC2211">
        <w:rPr>
          <w:rFonts w:cstheme="minorHAnsi"/>
          <w:szCs w:val="20"/>
          <w:lang w:val="en-GB"/>
        </w:rPr>
        <w:t>,</w:t>
      </w:r>
      <w:r w:rsidR="002B484B" w:rsidRPr="00FC2211">
        <w:rPr>
          <w:rFonts w:cstheme="minorHAnsi"/>
          <w:szCs w:val="20"/>
          <w:lang w:val="en-GB"/>
        </w:rPr>
        <w:t xml:space="preserve"> notes payable,</w:t>
      </w:r>
      <w:r w:rsidR="00D57981" w:rsidRPr="00FC2211">
        <w:rPr>
          <w:rFonts w:cstheme="minorHAnsi"/>
          <w:szCs w:val="20"/>
          <w:lang w:val="en-GB"/>
        </w:rPr>
        <w:t xml:space="preserve"> interest payable</w:t>
      </w:r>
      <w:r w:rsidR="00312216">
        <w:rPr>
          <w:rFonts w:cstheme="minorHAnsi"/>
          <w:szCs w:val="20"/>
          <w:lang w:val="en-GB"/>
        </w:rPr>
        <w:t>, long-term</w:t>
      </w:r>
      <w:r w:rsidR="001F6FBB">
        <w:rPr>
          <w:rFonts w:cstheme="minorHAnsi"/>
          <w:szCs w:val="20"/>
          <w:lang w:val="en-GB"/>
        </w:rPr>
        <w:t xml:space="preserve"> debt</w:t>
      </w:r>
      <w:r w:rsidR="00D57981" w:rsidRPr="00FC2211">
        <w:rPr>
          <w:rFonts w:cstheme="minorHAnsi"/>
          <w:szCs w:val="20"/>
          <w:lang w:val="en-GB"/>
        </w:rPr>
        <w:t>,</w:t>
      </w:r>
      <w:r w:rsidR="00123CD1" w:rsidRPr="00FC2211">
        <w:rPr>
          <w:rFonts w:cstheme="minorHAnsi"/>
          <w:szCs w:val="20"/>
          <w:lang w:val="en-GB"/>
        </w:rPr>
        <w:t xml:space="preserve"> </w:t>
      </w:r>
      <w:r w:rsidR="00A943DC" w:rsidRPr="00FC2211">
        <w:rPr>
          <w:rFonts w:cstheme="minorHAnsi"/>
          <w:szCs w:val="20"/>
          <w:lang w:val="en-GB"/>
        </w:rPr>
        <w:t xml:space="preserve">bank loan payable, </w:t>
      </w:r>
      <w:r w:rsidR="00123CD1" w:rsidRPr="00FC2211">
        <w:rPr>
          <w:rFonts w:cstheme="minorHAnsi"/>
          <w:szCs w:val="20"/>
          <w:lang w:val="en-GB"/>
        </w:rPr>
        <w:t xml:space="preserve">and </w:t>
      </w:r>
      <w:r w:rsidR="003F496E" w:rsidRPr="00FC2211">
        <w:rPr>
          <w:rFonts w:cstheme="minorHAnsi"/>
          <w:szCs w:val="20"/>
          <w:lang w:val="en-GB"/>
        </w:rPr>
        <w:t xml:space="preserve">government </w:t>
      </w:r>
      <w:r w:rsidR="0070234B" w:rsidRPr="00FC2211">
        <w:rPr>
          <w:rFonts w:cstheme="minorHAnsi"/>
          <w:szCs w:val="20"/>
          <w:lang w:val="en-GB"/>
        </w:rPr>
        <w:t>grants</w:t>
      </w:r>
      <w:r w:rsidRPr="00FC2211">
        <w:rPr>
          <w:rFonts w:cstheme="minorHAnsi"/>
          <w:szCs w:val="20"/>
          <w:lang w:val="en-GB"/>
        </w:rPr>
        <w:t>.</w:t>
      </w:r>
    </w:p>
    <w:p w14:paraId="75714CC3" w14:textId="77777777" w:rsidR="00D67793" w:rsidRPr="00FC2211" w:rsidRDefault="00D67793" w:rsidP="00D02C78">
      <w:pPr>
        <w:ind w:left="737"/>
        <w:contextualSpacing/>
        <w:jc w:val="both"/>
        <w:rPr>
          <w:rFonts w:cstheme="minorHAnsi"/>
          <w:szCs w:val="20"/>
          <w:lang w:val="en-GB"/>
        </w:rPr>
      </w:pPr>
    </w:p>
    <w:p w14:paraId="4C45203E" w14:textId="002EEAC8" w:rsidR="00D67793" w:rsidRPr="00FC2211" w:rsidRDefault="00D67793" w:rsidP="00D02C78">
      <w:pPr>
        <w:ind w:left="737"/>
        <w:contextualSpacing/>
        <w:jc w:val="both"/>
        <w:rPr>
          <w:rFonts w:cstheme="minorHAnsi"/>
          <w:szCs w:val="20"/>
          <w:lang w:val="en-GB"/>
        </w:rPr>
      </w:pPr>
      <w:r w:rsidRPr="00FC2211">
        <w:rPr>
          <w:rFonts w:cstheme="minorHAnsi"/>
          <w:szCs w:val="20"/>
          <w:lang w:val="en-GB"/>
        </w:rPr>
        <w:t xml:space="preserve">Financial instruments recorded at fair value on the statements of financial position are classified using a </w:t>
      </w:r>
      <w:r w:rsidR="009627BF" w:rsidRPr="00FC2211">
        <w:rPr>
          <w:rFonts w:cstheme="minorHAnsi"/>
          <w:szCs w:val="20"/>
          <w:lang w:val="en-GB"/>
        </w:rPr>
        <w:t xml:space="preserve">  </w:t>
      </w:r>
      <w:r w:rsidR="00C57831" w:rsidRPr="00FC2211">
        <w:rPr>
          <w:rFonts w:cstheme="minorHAnsi"/>
          <w:szCs w:val="20"/>
          <w:lang w:val="en-GB"/>
        </w:rPr>
        <w:t xml:space="preserve">   </w:t>
      </w:r>
      <w:r w:rsidRPr="00FC2211">
        <w:rPr>
          <w:rFonts w:cstheme="minorHAnsi"/>
          <w:szCs w:val="20"/>
          <w:lang w:val="en-GB"/>
        </w:rPr>
        <w:t xml:space="preserve">fair value hierarchy that reflects the significance of the inputs used in making the measurements. The hierarchy gives the highest priority to unadjusted quoted prices in active markets for identical assets or </w:t>
      </w:r>
      <w:bookmarkStart w:id="8" w:name="_Hlk95824751"/>
      <w:r w:rsidRPr="00FC2211">
        <w:rPr>
          <w:rFonts w:cstheme="minorHAnsi"/>
          <w:szCs w:val="20"/>
          <w:lang w:val="en-GB"/>
        </w:rPr>
        <w:t>liabilities and the lowest priority to unobservable inputs. The three levels of the fair value hierarchy are as follows:</w:t>
      </w:r>
    </w:p>
    <w:p w14:paraId="12F2D3BA" w14:textId="77777777" w:rsidR="00D67793" w:rsidRPr="00FC2211" w:rsidRDefault="00D67793" w:rsidP="00D02C78">
      <w:pPr>
        <w:ind w:left="720"/>
        <w:contextualSpacing/>
        <w:jc w:val="both"/>
        <w:rPr>
          <w:rFonts w:cstheme="minorHAnsi"/>
          <w:szCs w:val="20"/>
          <w:lang w:val="en-GB"/>
        </w:rPr>
      </w:pPr>
    </w:p>
    <w:p w14:paraId="08B13AF3" w14:textId="77777777" w:rsidR="00D67793" w:rsidRPr="00FC2211" w:rsidRDefault="00D67793" w:rsidP="00D02C78">
      <w:pPr>
        <w:pStyle w:val="ListParagraph"/>
        <w:numPr>
          <w:ilvl w:val="0"/>
          <w:numId w:val="16"/>
        </w:numPr>
        <w:tabs>
          <w:tab w:val="right" w:pos="10080"/>
        </w:tabs>
        <w:ind w:left="1434" w:hanging="357"/>
        <w:jc w:val="both"/>
        <w:rPr>
          <w:rFonts w:cstheme="minorHAnsi"/>
          <w:sz w:val="20"/>
          <w:szCs w:val="20"/>
          <w:lang w:val="en-GB"/>
        </w:rPr>
      </w:pPr>
      <w:r w:rsidRPr="00FC2211">
        <w:rPr>
          <w:rFonts w:cstheme="minorHAnsi"/>
          <w:sz w:val="20"/>
          <w:szCs w:val="20"/>
          <w:lang w:val="en-GB"/>
        </w:rPr>
        <w:t xml:space="preserve">Level 1: Unadjusted quoted prices in active markets for identical assets or </w:t>
      </w:r>
      <w:r w:rsidR="004B7FFA" w:rsidRPr="00FC2211">
        <w:rPr>
          <w:rFonts w:cstheme="minorHAnsi"/>
          <w:sz w:val="20"/>
          <w:szCs w:val="20"/>
          <w:lang w:val="en-GB"/>
        </w:rPr>
        <w:t>liabilities</w:t>
      </w:r>
      <w:r w:rsidR="33D956C5" w:rsidRPr="00FC2211">
        <w:rPr>
          <w:rFonts w:cstheme="minorHAnsi"/>
          <w:sz w:val="20"/>
          <w:szCs w:val="20"/>
          <w:lang w:val="en-GB"/>
        </w:rPr>
        <w:t>;</w:t>
      </w:r>
    </w:p>
    <w:p w14:paraId="122F2E7C" w14:textId="37E54940" w:rsidR="009627BF" w:rsidRPr="00FC2211" w:rsidRDefault="00D67793" w:rsidP="00D02C78">
      <w:pPr>
        <w:pStyle w:val="ListParagraph"/>
        <w:numPr>
          <w:ilvl w:val="0"/>
          <w:numId w:val="16"/>
        </w:numPr>
        <w:tabs>
          <w:tab w:val="right" w:pos="10080"/>
        </w:tabs>
        <w:ind w:left="1434" w:hanging="357"/>
        <w:jc w:val="both"/>
        <w:rPr>
          <w:rFonts w:cstheme="minorHAnsi"/>
          <w:sz w:val="20"/>
          <w:szCs w:val="20"/>
          <w:lang w:val="en-GB"/>
        </w:rPr>
      </w:pPr>
      <w:r w:rsidRPr="00FC2211">
        <w:rPr>
          <w:rFonts w:cstheme="minorHAnsi"/>
          <w:sz w:val="20"/>
          <w:szCs w:val="20"/>
          <w:lang w:val="en-GB"/>
        </w:rPr>
        <w:t>Level 2: Inputs other than quoted prices included in Level 1 that are observable for the asset or</w:t>
      </w:r>
      <w:r w:rsidR="009627BF" w:rsidRPr="00FC2211">
        <w:rPr>
          <w:rFonts w:cstheme="minorHAnsi"/>
          <w:sz w:val="20"/>
          <w:szCs w:val="20"/>
          <w:lang w:val="en-GB"/>
        </w:rPr>
        <w:t xml:space="preserve"> </w:t>
      </w:r>
      <w:r w:rsidRPr="00FC2211">
        <w:rPr>
          <w:rFonts w:cstheme="minorHAnsi"/>
          <w:sz w:val="20"/>
          <w:szCs w:val="20"/>
          <w:lang w:val="en-GB"/>
        </w:rPr>
        <w:t>liability either directly (i.e., as prices) or indirectly (i.e., derived from prices); and</w:t>
      </w:r>
    </w:p>
    <w:p w14:paraId="3716F2FC" w14:textId="77777777" w:rsidR="00C74106" w:rsidRPr="00FC2211" w:rsidRDefault="00C74106" w:rsidP="00D02C78">
      <w:pPr>
        <w:pStyle w:val="ListParagraph"/>
        <w:numPr>
          <w:ilvl w:val="0"/>
          <w:numId w:val="16"/>
        </w:numPr>
        <w:tabs>
          <w:tab w:val="right" w:pos="10080"/>
        </w:tabs>
        <w:ind w:left="1434" w:hanging="357"/>
        <w:jc w:val="both"/>
        <w:rPr>
          <w:rFonts w:cstheme="minorHAnsi"/>
          <w:sz w:val="20"/>
          <w:szCs w:val="20"/>
          <w:lang w:val="en-GB"/>
        </w:rPr>
      </w:pPr>
      <w:r w:rsidRPr="00FC2211">
        <w:rPr>
          <w:rFonts w:cstheme="minorHAnsi"/>
          <w:sz w:val="20"/>
          <w:szCs w:val="20"/>
          <w:lang w:val="en-GB"/>
        </w:rPr>
        <w:t>Level 3: Inputs that are not based on observable market data</w:t>
      </w:r>
    </w:p>
    <w:bookmarkEnd w:id="8"/>
    <w:p w14:paraId="7736D797" w14:textId="16B743DC" w:rsidR="008327C0" w:rsidRPr="00FC2211" w:rsidRDefault="00387EEB" w:rsidP="00220F31">
      <w:pPr>
        <w:ind w:left="737"/>
        <w:contextualSpacing/>
        <w:jc w:val="both"/>
        <w:rPr>
          <w:rFonts w:cstheme="minorHAnsi"/>
          <w:szCs w:val="20"/>
          <w:lang w:val="en-GB"/>
        </w:rPr>
      </w:pPr>
      <w:r w:rsidRPr="00FC2211">
        <w:rPr>
          <w:rFonts w:cstheme="minorHAnsi"/>
          <w:szCs w:val="20"/>
          <w:lang w:val="en-GB"/>
        </w:rPr>
        <w:t xml:space="preserve">Cash under the fair value hierarchy </w:t>
      </w:r>
      <w:r w:rsidR="002F788E" w:rsidRPr="00FC2211">
        <w:rPr>
          <w:rFonts w:cstheme="minorHAnsi"/>
          <w:szCs w:val="20"/>
          <w:lang w:val="en-GB"/>
        </w:rPr>
        <w:t>is</w:t>
      </w:r>
      <w:r w:rsidRPr="00FC2211">
        <w:rPr>
          <w:rFonts w:cstheme="minorHAnsi"/>
          <w:szCs w:val="20"/>
          <w:lang w:val="en-GB"/>
        </w:rPr>
        <w:t xml:space="preserve"> based on Level 1 quoted prices in active markets for identical assets or liabilities. Accounts </w:t>
      </w:r>
      <w:r w:rsidR="002F788E" w:rsidRPr="00FC2211">
        <w:rPr>
          <w:rFonts w:cstheme="minorHAnsi"/>
          <w:szCs w:val="20"/>
          <w:lang w:val="en-GB"/>
        </w:rPr>
        <w:t>receivable, notes</w:t>
      </w:r>
      <w:r w:rsidR="008E10DD" w:rsidRPr="00FC2211">
        <w:rPr>
          <w:rFonts w:cstheme="minorHAnsi"/>
          <w:szCs w:val="20"/>
          <w:lang w:val="en-GB"/>
        </w:rPr>
        <w:t xml:space="preserve"> receivable,</w:t>
      </w:r>
      <w:r w:rsidRPr="00FC2211">
        <w:rPr>
          <w:rFonts w:cstheme="minorHAnsi"/>
          <w:szCs w:val="20"/>
          <w:lang w:val="en-GB"/>
        </w:rPr>
        <w:t xml:space="preserve"> accounts payable</w:t>
      </w:r>
      <w:r w:rsidR="002F788E" w:rsidRPr="00FC2211">
        <w:rPr>
          <w:rFonts w:cstheme="minorHAnsi"/>
          <w:szCs w:val="20"/>
          <w:lang w:val="en-GB"/>
        </w:rPr>
        <w:t>,</w:t>
      </w:r>
      <w:r w:rsidRPr="00FC2211">
        <w:rPr>
          <w:rFonts w:cstheme="minorHAnsi"/>
          <w:szCs w:val="20"/>
          <w:lang w:val="en-GB"/>
        </w:rPr>
        <w:t xml:space="preserve"> and accrued liabilities</w:t>
      </w:r>
      <w:r w:rsidR="0093780C" w:rsidRPr="00FC2211">
        <w:rPr>
          <w:rFonts w:cstheme="minorHAnsi"/>
          <w:szCs w:val="20"/>
          <w:lang w:val="en-GB"/>
        </w:rPr>
        <w:t>,</w:t>
      </w:r>
      <w:r w:rsidRPr="00FC2211">
        <w:rPr>
          <w:rFonts w:cstheme="minorHAnsi"/>
          <w:szCs w:val="20"/>
          <w:lang w:val="en-GB"/>
        </w:rPr>
        <w:t xml:space="preserve"> due to related parties and loans payable approximate their fair value due to their short-term maturities. The fair value of </w:t>
      </w:r>
      <w:r w:rsidR="0023139B" w:rsidRPr="00FC2211">
        <w:rPr>
          <w:rFonts w:cstheme="minorHAnsi"/>
          <w:szCs w:val="20"/>
          <w:lang w:val="en-GB"/>
        </w:rPr>
        <w:t>notes payable,</w:t>
      </w:r>
      <w:r w:rsidR="0093780C" w:rsidRPr="00FC2211">
        <w:rPr>
          <w:rFonts w:cstheme="minorHAnsi"/>
          <w:szCs w:val="20"/>
          <w:lang w:val="en-GB"/>
        </w:rPr>
        <w:t xml:space="preserve"> bank </w:t>
      </w:r>
      <w:r w:rsidR="00EB1034" w:rsidRPr="00FC2211">
        <w:rPr>
          <w:rFonts w:cstheme="minorHAnsi"/>
          <w:szCs w:val="20"/>
          <w:lang w:val="en-GB"/>
        </w:rPr>
        <w:t>loans</w:t>
      </w:r>
      <w:r w:rsidR="0093780C" w:rsidRPr="00FC2211">
        <w:rPr>
          <w:rFonts w:cstheme="minorHAnsi"/>
          <w:szCs w:val="20"/>
          <w:lang w:val="en-GB"/>
        </w:rPr>
        <w:t xml:space="preserve"> payable,</w:t>
      </w:r>
      <w:r w:rsidR="0023139B" w:rsidRPr="00FC2211">
        <w:rPr>
          <w:rFonts w:cstheme="minorHAnsi"/>
          <w:szCs w:val="20"/>
          <w:lang w:val="en-GB"/>
        </w:rPr>
        <w:t xml:space="preserve"> and </w:t>
      </w:r>
      <w:r w:rsidRPr="00FC2211">
        <w:rPr>
          <w:rFonts w:cstheme="minorHAnsi"/>
          <w:szCs w:val="20"/>
          <w:lang w:val="en-GB"/>
        </w:rPr>
        <w:t xml:space="preserve">government </w:t>
      </w:r>
      <w:r w:rsidR="00EB1034" w:rsidRPr="00FC2211">
        <w:rPr>
          <w:rFonts w:cstheme="minorHAnsi"/>
          <w:szCs w:val="20"/>
          <w:lang w:val="en-GB"/>
        </w:rPr>
        <w:t>grants</w:t>
      </w:r>
      <w:r w:rsidRPr="00FC2211">
        <w:rPr>
          <w:rFonts w:cstheme="minorHAnsi"/>
          <w:szCs w:val="20"/>
          <w:lang w:val="en-GB"/>
        </w:rPr>
        <w:t xml:space="preserve"> also approximates </w:t>
      </w:r>
      <w:r w:rsidR="002F788E" w:rsidRPr="00FC2211">
        <w:rPr>
          <w:rFonts w:cstheme="minorHAnsi"/>
          <w:szCs w:val="20"/>
          <w:lang w:val="en-GB"/>
        </w:rPr>
        <w:t xml:space="preserve">the </w:t>
      </w:r>
      <w:r w:rsidRPr="00FC2211">
        <w:rPr>
          <w:rFonts w:cstheme="minorHAnsi"/>
          <w:szCs w:val="20"/>
          <w:lang w:val="en-GB"/>
        </w:rPr>
        <w:t xml:space="preserve">carrying value </w:t>
      </w:r>
      <w:r w:rsidR="00EB1034" w:rsidRPr="00FC2211">
        <w:rPr>
          <w:rFonts w:cstheme="minorHAnsi"/>
          <w:szCs w:val="20"/>
          <w:lang w:val="en-GB"/>
        </w:rPr>
        <w:t>since</w:t>
      </w:r>
      <w:r w:rsidRPr="00FC2211">
        <w:rPr>
          <w:rFonts w:cstheme="minorHAnsi"/>
          <w:szCs w:val="20"/>
          <w:lang w:val="en-GB"/>
        </w:rPr>
        <w:t xml:space="preserve"> the</w:t>
      </w:r>
      <w:r w:rsidR="00237E5E" w:rsidRPr="00FC2211">
        <w:rPr>
          <w:rFonts w:cstheme="minorHAnsi"/>
          <w:szCs w:val="20"/>
          <w:lang w:val="en-GB"/>
        </w:rPr>
        <w:t>y are</w:t>
      </w:r>
      <w:r w:rsidRPr="00FC2211">
        <w:rPr>
          <w:rFonts w:cstheme="minorHAnsi"/>
          <w:szCs w:val="20"/>
          <w:lang w:val="en-GB"/>
        </w:rPr>
        <w:t xml:space="preserve"> discounted using market rates</w:t>
      </w:r>
      <w:r w:rsidR="009F6FD4" w:rsidRPr="00FC2211">
        <w:rPr>
          <w:rFonts w:cstheme="minorHAnsi"/>
          <w:szCs w:val="20"/>
          <w:lang w:val="en-GB"/>
        </w:rPr>
        <w:t xml:space="preserve"> </w:t>
      </w:r>
    </w:p>
    <w:p w14:paraId="1AF86A38" w14:textId="77777777" w:rsidR="00EB1034" w:rsidRPr="00FC2211" w:rsidRDefault="00EB1034" w:rsidP="00EB1034">
      <w:pPr>
        <w:pStyle w:val="ListParagraph"/>
        <w:ind w:left="928"/>
        <w:rPr>
          <w:rFonts w:cstheme="minorHAnsi"/>
          <w:b/>
          <w:sz w:val="20"/>
          <w:szCs w:val="20"/>
        </w:rPr>
      </w:pPr>
    </w:p>
    <w:p w14:paraId="0DF9C640" w14:textId="73C656AF" w:rsidR="009116E1" w:rsidRPr="00FC2211" w:rsidRDefault="009116E1" w:rsidP="005F3B7D">
      <w:pPr>
        <w:pStyle w:val="ListParagraph"/>
        <w:numPr>
          <w:ilvl w:val="0"/>
          <w:numId w:val="15"/>
        </w:numPr>
        <w:rPr>
          <w:rFonts w:cstheme="minorHAnsi"/>
          <w:b/>
          <w:sz w:val="20"/>
          <w:szCs w:val="20"/>
        </w:rPr>
      </w:pPr>
      <w:r w:rsidRPr="00FC2211">
        <w:rPr>
          <w:rFonts w:cstheme="minorHAnsi"/>
          <w:b/>
          <w:sz w:val="20"/>
          <w:szCs w:val="20"/>
        </w:rPr>
        <w:t>Market risk</w:t>
      </w:r>
    </w:p>
    <w:p w14:paraId="42374B9C" w14:textId="3D7C5139" w:rsidR="002A0291" w:rsidRDefault="009116E1" w:rsidP="0070234B">
      <w:pPr>
        <w:ind w:left="737"/>
        <w:jc w:val="both"/>
        <w:rPr>
          <w:rFonts w:cstheme="minorHAnsi"/>
          <w:szCs w:val="20"/>
          <w:lang w:val="en-GB"/>
        </w:rPr>
      </w:pPr>
      <w:r w:rsidRPr="00FC2211">
        <w:rPr>
          <w:rFonts w:cstheme="minorHAnsi"/>
          <w:szCs w:val="20"/>
          <w:lang w:val="en-GB"/>
        </w:rPr>
        <w:t xml:space="preserve">Market risk is the risk that </w:t>
      </w:r>
      <w:r w:rsidR="00C83304" w:rsidRPr="00FC2211">
        <w:rPr>
          <w:rFonts w:cstheme="minorHAnsi"/>
          <w:szCs w:val="20"/>
          <w:lang w:val="en-GB"/>
        </w:rPr>
        <w:t xml:space="preserve">a financial instrument's fair value or future cash flows </w:t>
      </w:r>
      <w:r w:rsidRPr="00FC2211">
        <w:rPr>
          <w:rFonts w:cstheme="minorHAnsi"/>
          <w:szCs w:val="20"/>
          <w:lang w:val="en-GB"/>
        </w:rPr>
        <w:t>will fluctuate</w:t>
      </w:r>
      <w:r w:rsidR="002F788E" w:rsidRPr="00FC2211">
        <w:rPr>
          <w:rFonts w:cstheme="minorHAnsi"/>
          <w:szCs w:val="20"/>
          <w:lang w:val="en-GB"/>
        </w:rPr>
        <w:t xml:space="preserve"> </w:t>
      </w:r>
      <w:r w:rsidRPr="00FC2211">
        <w:rPr>
          <w:rFonts w:cstheme="minorHAnsi"/>
          <w:szCs w:val="20"/>
          <w:lang w:val="en-GB"/>
        </w:rPr>
        <w:t xml:space="preserve">because of changes in market prices or prevailing conditions. Market risk comprises three </w:t>
      </w:r>
      <w:r w:rsidR="009627BF" w:rsidRPr="00FC2211">
        <w:rPr>
          <w:rFonts w:cstheme="minorHAnsi"/>
          <w:szCs w:val="20"/>
          <w:lang w:val="en-GB"/>
        </w:rPr>
        <w:t xml:space="preserve">types of risk: </w:t>
      </w:r>
      <w:r w:rsidR="00C57831" w:rsidRPr="00FC2211">
        <w:rPr>
          <w:rFonts w:cstheme="minorHAnsi"/>
          <w:szCs w:val="20"/>
          <w:lang w:val="en-GB"/>
        </w:rPr>
        <w:t xml:space="preserve">  </w:t>
      </w:r>
      <w:r w:rsidRPr="00FC2211">
        <w:rPr>
          <w:rFonts w:cstheme="minorHAnsi"/>
          <w:szCs w:val="20"/>
          <w:lang w:val="en-GB"/>
        </w:rPr>
        <w:t>currency risk, interest rate risk</w:t>
      </w:r>
      <w:r w:rsidR="002F788E" w:rsidRPr="00FC2211">
        <w:rPr>
          <w:rFonts w:cstheme="minorHAnsi"/>
          <w:szCs w:val="20"/>
          <w:lang w:val="en-GB"/>
        </w:rPr>
        <w:t>,</w:t>
      </w:r>
      <w:r w:rsidRPr="00FC2211">
        <w:rPr>
          <w:rFonts w:cstheme="minorHAnsi"/>
          <w:szCs w:val="20"/>
          <w:lang w:val="en-GB"/>
        </w:rPr>
        <w:t xml:space="preserve"> and price risk</w:t>
      </w:r>
      <w:r w:rsidR="002F788E" w:rsidRPr="00FC2211">
        <w:rPr>
          <w:rFonts w:cstheme="minorHAnsi"/>
          <w:szCs w:val="20"/>
          <w:lang w:val="en-GB"/>
        </w:rPr>
        <w:t>,</w:t>
      </w:r>
      <w:r w:rsidRPr="00FC2211">
        <w:rPr>
          <w:rFonts w:cstheme="minorHAnsi"/>
          <w:szCs w:val="20"/>
          <w:lang w:val="en-GB"/>
        </w:rPr>
        <w:t xml:space="preserve"> and are disclosed as follows:</w:t>
      </w:r>
      <w:r w:rsidR="002A0291">
        <w:rPr>
          <w:rFonts w:cstheme="minorHAnsi"/>
          <w:szCs w:val="20"/>
          <w:lang w:val="en-GB"/>
        </w:rPr>
        <w:br w:type="page"/>
      </w:r>
    </w:p>
    <w:p w14:paraId="0FB30D91" w14:textId="77777777" w:rsidR="00220F31" w:rsidRPr="00FC2211" w:rsidRDefault="00220F31" w:rsidP="00220F31">
      <w:pPr>
        <w:pStyle w:val="Heading1"/>
        <w:rPr>
          <w:rFonts w:cstheme="minorHAnsi"/>
          <w:szCs w:val="20"/>
          <w:lang w:val="en-GB"/>
        </w:rPr>
      </w:pPr>
      <w:r>
        <w:rPr>
          <w:rFonts w:cstheme="minorHAnsi"/>
          <w:szCs w:val="20"/>
          <w:lang w:val="en-GB"/>
        </w:rPr>
        <w:lastRenderedPageBreak/>
        <w:t>20</w:t>
      </w:r>
      <w:r w:rsidRPr="00FC2211">
        <w:rPr>
          <w:rFonts w:cstheme="minorHAnsi"/>
          <w:szCs w:val="20"/>
          <w:lang w:val="en-GB"/>
        </w:rPr>
        <w:t>.   FINANCIAL INSTRUMENTS AND RISK MANAGEMENT (CONTINUED)</w:t>
      </w:r>
    </w:p>
    <w:p w14:paraId="4C3E5549" w14:textId="77777777" w:rsidR="00790ABF" w:rsidRPr="00FC2211" w:rsidRDefault="00790ABF" w:rsidP="00D63D3D">
      <w:pPr>
        <w:ind w:left="426"/>
        <w:rPr>
          <w:rFonts w:cstheme="minorHAnsi"/>
          <w:szCs w:val="20"/>
        </w:rPr>
      </w:pPr>
    </w:p>
    <w:p w14:paraId="1A27A55D" w14:textId="77777777" w:rsidR="007D2528" w:rsidRPr="00FC2211" w:rsidRDefault="007D2528" w:rsidP="00A17D4B">
      <w:pPr>
        <w:numPr>
          <w:ilvl w:val="1"/>
          <w:numId w:val="2"/>
        </w:numPr>
        <w:ind w:left="1080"/>
        <w:contextualSpacing/>
        <w:rPr>
          <w:rFonts w:cstheme="minorHAnsi"/>
          <w:b/>
          <w:szCs w:val="20"/>
        </w:rPr>
      </w:pPr>
      <w:r w:rsidRPr="00FC2211">
        <w:rPr>
          <w:rFonts w:cstheme="minorHAnsi"/>
          <w:b/>
          <w:szCs w:val="20"/>
        </w:rPr>
        <w:t>Currency risk</w:t>
      </w:r>
    </w:p>
    <w:p w14:paraId="7DFF9A54" w14:textId="77777777" w:rsidR="007D2528" w:rsidRPr="00FC2211" w:rsidRDefault="007D2528" w:rsidP="007D2528">
      <w:pPr>
        <w:ind w:left="1080"/>
        <w:contextualSpacing/>
        <w:rPr>
          <w:rFonts w:cstheme="minorHAnsi"/>
          <w:b/>
          <w:szCs w:val="20"/>
        </w:rPr>
      </w:pPr>
    </w:p>
    <w:p w14:paraId="0CF34D35" w14:textId="1CA5F4D2" w:rsidR="00C061DC" w:rsidRPr="00FC2211" w:rsidRDefault="00C061DC" w:rsidP="00C061DC">
      <w:pPr>
        <w:ind w:left="737"/>
        <w:contextualSpacing/>
        <w:jc w:val="both"/>
        <w:rPr>
          <w:rFonts w:cstheme="minorHAnsi"/>
          <w:szCs w:val="20"/>
          <w:lang w:val="en-GB"/>
        </w:rPr>
      </w:pPr>
      <w:r w:rsidRPr="00FC2211">
        <w:rPr>
          <w:rFonts w:cstheme="minorHAnsi"/>
          <w:szCs w:val="20"/>
          <w:lang w:val="en-GB"/>
        </w:rPr>
        <w:t xml:space="preserve">Currency risk is the risk of change in profit or loss that arises from fluctuations </w:t>
      </w:r>
      <w:r w:rsidR="00596EB9" w:rsidRPr="00FC2211">
        <w:rPr>
          <w:rFonts w:cstheme="minorHAnsi"/>
          <w:szCs w:val="20"/>
          <w:lang w:val="en-GB"/>
        </w:rPr>
        <w:t>in</w:t>
      </w:r>
      <w:r w:rsidRPr="00FC2211">
        <w:rPr>
          <w:rFonts w:cstheme="minorHAnsi"/>
          <w:szCs w:val="20"/>
          <w:lang w:val="en-GB"/>
        </w:rPr>
        <w:t xml:space="preserve"> foreign exchange rates and the degree of volatility of these rates. The Company’s exposure to the risk of changes in foreign exchange rates relates to its operational activities. The Company does not use derivative instruments to reduce its exposure to foreign currency risk. The Company’s international sales</w:t>
      </w:r>
      <w:r w:rsidR="00F36D54" w:rsidRPr="00FC2211">
        <w:rPr>
          <w:rFonts w:cstheme="minorHAnsi"/>
          <w:szCs w:val="20"/>
          <w:lang w:val="en-GB"/>
        </w:rPr>
        <w:t xml:space="preserve"> </w:t>
      </w:r>
      <w:r w:rsidRPr="00FC2211">
        <w:rPr>
          <w:rFonts w:cstheme="minorHAnsi"/>
          <w:szCs w:val="20"/>
          <w:lang w:val="en-GB"/>
        </w:rPr>
        <w:t xml:space="preserve">and purchases of goods and services from foreign companies are denominated in US </w:t>
      </w:r>
      <w:r w:rsidR="00596EB9" w:rsidRPr="00FC2211">
        <w:rPr>
          <w:rFonts w:cstheme="minorHAnsi"/>
          <w:szCs w:val="20"/>
          <w:lang w:val="en-GB"/>
        </w:rPr>
        <w:t>Dollars</w:t>
      </w:r>
      <w:r w:rsidRPr="00FC2211">
        <w:rPr>
          <w:rFonts w:cstheme="minorHAnsi"/>
          <w:szCs w:val="20"/>
          <w:lang w:val="en-GB"/>
        </w:rPr>
        <w:t xml:space="preserve"> and are exposed to foreign exchange fluctuations. Due to these fluctuations, operating results may differ materially from expectations</w:t>
      </w:r>
      <w:r w:rsidR="00C83304" w:rsidRPr="00FC2211">
        <w:rPr>
          <w:rFonts w:cstheme="minorHAnsi"/>
          <w:szCs w:val="20"/>
          <w:lang w:val="en-GB"/>
        </w:rPr>
        <w:t>, resulting</w:t>
      </w:r>
      <w:r w:rsidRPr="00FC2211">
        <w:rPr>
          <w:rFonts w:cstheme="minorHAnsi"/>
          <w:szCs w:val="20"/>
          <w:lang w:val="en-GB"/>
        </w:rPr>
        <w:t xml:space="preserve"> </w:t>
      </w:r>
      <w:r w:rsidR="00596EB9" w:rsidRPr="00FC2211">
        <w:rPr>
          <w:rFonts w:cstheme="minorHAnsi"/>
          <w:szCs w:val="20"/>
          <w:lang w:val="en-GB"/>
        </w:rPr>
        <w:t>in</w:t>
      </w:r>
      <w:r w:rsidRPr="00FC2211">
        <w:rPr>
          <w:rFonts w:cstheme="minorHAnsi"/>
          <w:szCs w:val="20"/>
          <w:lang w:val="en-GB"/>
        </w:rPr>
        <w:t xml:space="preserve"> significant gains and losses on the remeasurements associated with these transactions. As the company </w:t>
      </w:r>
      <w:r w:rsidR="00F77274" w:rsidRPr="00FC2211">
        <w:rPr>
          <w:rFonts w:cstheme="minorHAnsi"/>
          <w:szCs w:val="20"/>
          <w:lang w:val="en-GB"/>
        </w:rPr>
        <w:t>continues</w:t>
      </w:r>
      <w:r w:rsidR="00081F94" w:rsidRPr="00FC2211">
        <w:rPr>
          <w:rFonts w:cstheme="minorHAnsi"/>
          <w:szCs w:val="20"/>
          <w:lang w:val="en-GB"/>
        </w:rPr>
        <w:t xml:space="preserve"> it</w:t>
      </w:r>
      <w:r w:rsidR="00596EB9" w:rsidRPr="00FC2211">
        <w:rPr>
          <w:rFonts w:cstheme="minorHAnsi"/>
          <w:szCs w:val="20"/>
          <w:lang w:val="en-GB"/>
        </w:rPr>
        <w:t>s</w:t>
      </w:r>
      <w:r w:rsidRPr="00FC2211">
        <w:rPr>
          <w:rFonts w:cstheme="minorHAnsi"/>
          <w:szCs w:val="20"/>
          <w:lang w:val="en-GB"/>
        </w:rPr>
        <w:t xml:space="preserve"> </w:t>
      </w:r>
      <w:r w:rsidR="00C83304" w:rsidRPr="00FC2211">
        <w:rPr>
          <w:rFonts w:cstheme="minorHAnsi"/>
          <w:szCs w:val="20"/>
          <w:lang w:val="en-GB"/>
        </w:rPr>
        <w:t>expan</w:t>
      </w:r>
      <w:r w:rsidR="00081F94" w:rsidRPr="00FC2211">
        <w:rPr>
          <w:rFonts w:cstheme="minorHAnsi"/>
          <w:szCs w:val="20"/>
          <w:lang w:val="en-GB"/>
        </w:rPr>
        <w:t>sion</w:t>
      </w:r>
      <w:r w:rsidRPr="00FC2211">
        <w:rPr>
          <w:rFonts w:cstheme="minorHAnsi"/>
          <w:szCs w:val="20"/>
          <w:lang w:val="en-GB"/>
        </w:rPr>
        <w:t xml:space="preserve"> in the US, the exposure to exchange rate fluctuations also increases. </w:t>
      </w:r>
    </w:p>
    <w:p w14:paraId="6CE5A452" w14:textId="77777777" w:rsidR="00C061DC" w:rsidRPr="00FC2211" w:rsidRDefault="00C061DC" w:rsidP="00C061DC">
      <w:pPr>
        <w:ind w:left="737"/>
        <w:contextualSpacing/>
        <w:jc w:val="both"/>
        <w:rPr>
          <w:rFonts w:cstheme="minorHAnsi"/>
          <w:szCs w:val="20"/>
          <w:lang w:val="en-GB"/>
        </w:rPr>
      </w:pPr>
    </w:p>
    <w:p w14:paraId="51D07589" w14:textId="1F543A59" w:rsidR="007D2528" w:rsidRPr="00FC2211" w:rsidRDefault="00C061DC" w:rsidP="00C061DC">
      <w:pPr>
        <w:ind w:left="737"/>
        <w:contextualSpacing/>
        <w:rPr>
          <w:rFonts w:cstheme="minorHAnsi"/>
          <w:szCs w:val="20"/>
          <w:lang w:val="en-GB"/>
        </w:rPr>
      </w:pPr>
      <w:r w:rsidRPr="00FC2211">
        <w:rPr>
          <w:rFonts w:cstheme="minorHAnsi"/>
          <w:szCs w:val="20"/>
          <w:lang w:val="en-GB"/>
        </w:rPr>
        <w:t xml:space="preserve">As at </w:t>
      </w:r>
      <w:r w:rsidR="00D92EF7">
        <w:rPr>
          <w:rFonts w:cstheme="minorHAnsi"/>
          <w:szCs w:val="20"/>
          <w:lang w:val="en-GB"/>
        </w:rPr>
        <w:t>March</w:t>
      </w:r>
      <w:r w:rsidR="00905DA0" w:rsidRPr="00FC2211">
        <w:rPr>
          <w:rFonts w:cstheme="minorHAnsi"/>
          <w:szCs w:val="20"/>
          <w:lang w:val="en-GB"/>
        </w:rPr>
        <w:t xml:space="preserve"> 31</w:t>
      </w:r>
      <w:r w:rsidRPr="00FC2211">
        <w:rPr>
          <w:rFonts w:cstheme="minorHAnsi"/>
          <w:szCs w:val="20"/>
          <w:lang w:val="en-GB"/>
        </w:rPr>
        <w:t>, 202</w:t>
      </w:r>
      <w:r w:rsidR="00D92EF7">
        <w:rPr>
          <w:rFonts w:cstheme="minorHAnsi"/>
          <w:szCs w:val="20"/>
          <w:lang w:val="en-GB"/>
        </w:rPr>
        <w:t>4</w:t>
      </w:r>
      <w:r w:rsidR="00596EB9" w:rsidRPr="00FC2211">
        <w:rPr>
          <w:rFonts w:cstheme="minorHAnsi"/>
          <w:szCs w:val="20"/>
          <w:lang w:val="en-GB"/>
        </w:rPr>
        <w:t>,</w:t>
      </w:r>
      <w:r w:rsidR="002A361F" w:rsidRPr="00FC2211">
        <w:rPr>
          <w:rFonts w:cstheme="minorHAnsi"/>
          <w:szCs w:val="20"/>
          <w:lang w:val="en-GB"/>
        </w:rPr>
        <w:t xml:space="preserve"> and </w:t>
      </w:r>
      <w:r w:rsidR="000E0225" w:rsidRPr="00FC2211">
        <w:rPr>
          <w:rFonts w:cstheme="minorHAnsi"/>
          <w:szCs w:val="20"/>
          <w:lang w:val="en-GB"/>
        </w:rPr>
        <w:t xml:space="preserve">June 30, </w:t>
      </w:r>
      <w:r w:rsidR="002A361F" w:rsidRPr="00FC2211">
        <w:rPr>
          <w:rFonts w:cstheme="minorHAnsi"/>
          <w:szCs w:val="20"/>
          <w:lang w:val="en-GB"/>
        </w:rPr>
        <w:t>202</w:t>
      </w:r>
      <w:r w:rsidR="000E0225" w:rsidRPr="00FC2211">
        <w:rPr>
          <w:rFonts w:cstheme="minorHAnsi"/>
          <w:szCs w:val="20"/>
          <w:lang w:val="en-GB"/>
        </w:rPr>
        <w:t>3</w:t>
      </w:r>
      <w:r w:rsidRPr="00FC2211">
        <w:rPr>
          <w:rFonts w:cstheme="minorHAnsi"/>
          <w:szCs w:val="20"/>
          <w:lang w:val="en-GB"/>
        </w:rPr>
        <w:t>, a summary of the quantitative information of the exposure due to foreign currencies is provided as follows:</w:t>
      </w:r>
    </w:p>
    <w:tbl>
      <w:tblPr>
        <w:tblW w:w="6938" w:type="dxa"/>
        <w:jc w:val="center"/>
        <w:tblLook w:val="04A0" w:firstRow="1" w:lastRow="0" w:firstColumn="1" w:lastColumn="0" w:noHBand="0" w:noVBand="1"/>
      </w:tblPr>
      <w:tblGrid>
        <w:gridCol w:w="3828"/>
        <w:gridCol w:w="1550"/>
        <w:gridCol w:w="1560"/>
      </w:tblGrid>
      <w:tr w:rsidR="00EB4A7A" w:rsidRPr="00EB4A7A" w14:paraId="621BCFD4" w14:textId="77777777" w:rsidTr="00C35AF1">
        <w:trPr>
          <w:trHeight w:val="288"/>
          <w:jc w:val="center"/>
        </w:trPr>
        <w:tc>
          <w:tcPr>
            <w:tcW w:w="3828" w:type="dxa"/>
            <w:tcBorders>
              <w:top w:val="nil"/>
              <w:left w:val="nil"/>
              <w:bottom w:val="nil"/>
              <w:right w:val="nil"/>
            </w:tcBorders>
            <w:shd w:val="clear" w:color="auto" w:fill="auto"/>
            <w:noWrap/>
            <w:vAlign w:val="bottom"/>
            <w:hideMark/>
          </w:tcPr>
          <w:p w14:paraId="23DFA8BE" w14:textId="77777777" w:rsidR="00EB4A7A" w:rsidRPr="00EB4A7A" w:rsidRDefault="00EB4A7A" w:rsidP="00EB4A7A">
            <w:pPr>
              <w:rPr>
                <w:rFonts w:ascii="Times New Roman" w:hAnsi="Times New Roman"/>
                <w:sz w:val="24"/>
                <w:szCs w:val="20"/>
                <w:lang w:val="en-CA" w:eastAsia="en-CA"/>
              </w:rPr>
            </w:pPr>
          </w:p>
        </w:tc>
        <w:tc>
          <w:tcPr>
            <w:tcW w:w="1550" w:type="dxa"/>
            <w:tcBorders>
              <w:top w:val="nil"/>
              <w:left w:val="nil"/>
              <w:bottom w:val="single" w:sz="12" w:space="0" w:color="auto"/>
              <w:right w:val="nil"/>
            </w:tcBorders>
            <w:shd w:val="clear" w:color="auto" w:fill="auto"/>
            <w:vAlign w:val="center"/>
            <w:hideMark/>
          </w:tcPr>
          <w:p w14:paraId="565939AB" w14:textId="77777777" w:rsidR="00EB4A7A" w:rsidRPr="00EB4A7A" w:rsidRDefault="00EB4A7A" w:rsidP="00EB4A7A">
            <w:pPr>
              <w:jc w:val="right"/>
              <w:rPr>
                <w:rFonts w:ascii="Calibri" w:hAnsi="Calibri" w:cs="Calibri"/>
                <w:b/>
                <w:bCs/>
                <w:color w:val="000000"/>
                <w:szCs w:val="20"/>
                <w:lang w:val="en-CA" w:eastAsia="en-CA"/>
              </w:rPr>
            </w:pPr>
            <w:r w:rsidRPr="00EB4A7A">
              <w:rPr>
                <w:rFonts w:ascii="Calibri" w:hAnsi="Calibri" w:cs="Calibri"/>
                <w:b/>
                <w:bCs/>
                <w:color w:val="000000"/>
                <w:szCs w:val="20"/>
                <w:lang w:val="en-CA" w:eastAsia="en-CA"/>
              </w:rPr>
              <w:t>March 31, 2024</w:t>
            </w:r>
          </w:p>
        </w:tc>
        <w:tc>
          <w:tcPr>
            <w:tcW w:w="1560" w:type="dxa"/>
            <w:tcBorders>
              <w:top w:val="nil"/>
              <w:left w:val="nil"/>
              <w:bottom w:val="single" w:sz="12" w:space="0" w:color="auto"/>
              <w:right w:val="nil"/>
            </w:tcBorders>
            <w:shd w:val="clear" w:color="auto" w:fill="auto"/>
            <w:vAlign w:val="center"/>
            <w:hideMark/>
          </w:tcPr>
          <w:p w14:paraId="38063B40" w14:textId="77777777" w:rsidR="00EB4A7A" w:rsidRPr="00EB4A7A" w:rsidRDefault="00EB4A7A" w:rsidP="00EB4A7A">
            <w:pPr>
              <w:jc w:val="right"/>
              <w:rPr>
                <w:rFonts w:ascii="Calibri" w:hAnsi="Calibri" w:cs="Calibri"/>
                <w:color w:val="000000"/>
                <w:szCs w:val="20"/>
                <w:lang w:val="en-CA" w:eastAsia="en-CA"/>
              </w:rPr>
            </w:pPr>
            <w:r w:rsidRPr="00EB4A7A">
              <w:rPr>
                <w:rFonts w:ascii="Calibri" w:hAnsi="Calibri" w:cs="Calibri"/>
                <w:color w:val="000000"/>
                <w:szCs w:val="20"/>
                <w:lang w:val="en-CA" w:eastAsia="en-CA"/>
              </w:rPr>
              <w:t>June 30, 2023</w:t>
            </w:r>
          </w:p>
        </w:tc>
      </w:tr>
      <w:tr w:rsidR="00EB4A7A" w:rsidRPr="00EB4A7A" w14:paraId="0848F368" w14:textId="77777777" w:rsidTr="00C35AF1">
        <w:trPr>
          <w:trHeight w:val="276"/>
          <w:jc w:val="center"/>
        </w:trPr>
        <w:tc>
          <w:tcPr>
            <w:tcW w:w="3828" w:type="dxa"/>
            <w:tcBorders>
              <w:top w:val="nil"/>
              <w:left w:val="nil"/>
              <w:bottom w:val="nil"/>
              <w:right w:val="nil"/>
            </w:tcBorders>
            <w:shd w:val="clear" w:color="auto" w:fill="auto"/>
            <w:noWrap/>
            <w:vAlign w:val="bottom"/>
            <w:hideMark/>
          </w:tcPr>
          <w:p w14:paraId="6000E017" w14:textId="77777777" w:rsidR="00EB4A7A" w:rsidRPr="00EB4A7A" w:rsidRDefault="00EB4A7A" w:rsidP="00EB4A7A">
            <w:pPr>
              <w:jc w:val="right"/>
              <w:rPr>
                <w:rFonts w:ascii="Calibri" w:hAnsi="Calibri" w:cs="Calibri"/>
                <w:color w:val="000000"/>
                <w:szCs w:val="20"/>
                <w:lang w:val="en-CA" w:eastAsia="en-CA"/>
              </w:rPr>
            </w:pPr>
          </w:p>
        </w:tc>
        <w:tc>
          <w:tcPr>
            <w:tcW w:w="1550" w:type="dxa"/>
            <w:tcBorders>
              <w:top w:val="single" w:sz="12" w:space="0" w:color="auto"/>
              <w:left w:val="nil"/>
              <w:bottom w:val="single" w:sz="4" w:space="0" w:color="auto"/>
              <w:right w:val="nil"/>
            </w:tcBorders>
            <w:shd w:val="clear" w:color="auto" w:fill="auto"/>
            <w:noWrap/>
            <w:vAlign w:val="bottom"/>
            <w:hideMark/>
          </w:tcPr>
          <w:p w14:paraId="1CA1B7A9" w14:textId="77777777" w:rsidR="00EB4A7A" w:rsidRPr="00EB4A7A" w:rsidRDefault="00EB4A7A" w:rsidP="00EB4A7A">
            <w:pPr>
              <w:jc w:val="center"/>
              <w:rPr>
                <w:rFonts w:ascii="Calibri" w:hAnsi="Calibri" w:cs="Calibri"/>
                <w:b/>
                <w:bCs/>
                <w:i/>
                <w:iCs/>
                <w:color w:val="000000"/>
                <w:szCs w:val="20"/>
                <w:lang w:val="en-CA" w:eastAsia="en-CA"/>
              </w:rPr>
            </w:pPr>
            <w:r w:rsidRPr="00EB4A7A">
              <w:rPr>
                <w:rFonts w:ascii="Calibri" w:hAnsi="Calibri" w:cs="Calibri"/>
                <w:b/>
                <w:bCs/>
                <w:i/>
                <w:iCs/>
                <w:color w:val="000000"/>
                <w:szCs w:val="20"/>
                <w:lang w:val="en-CA" w:eastAsia="en-CA"/>
              </w:rPr>
              <w:t>in US Dollar</w:t>
            </w:r>
          </w:p>
        </w:tc>
        <w:tc>
          <w:tcPr>
            <w:tcW w:w="1560" w:type="dxa"/>
            <w:tcBorders>
              <w:top w:val="single" w:sz="12" w:space="0" w:color="auto"/>
              <w:left w:val="nil"/>
              <w:bottom w:val="single" w:sz="4" w:space="0" w:color="auto"/>
              <w:right w:val="nil"/>
            </w:tcBorders>
            <w:shd w:val="clear" w:color="auto" w:fill="auto"/>
            <w:noWrap/>
            <w:vAlign w:val="bottom"/>
            <w:hideMark/>
          </w:tcPr>
          <w:p w14:paraId="030F980E" w14:textId="77777777" w:rsidR="00EB4A7A" w:rsidRPr="00EB4A7A" w:rsidRDefault="00EB4A7A" w:rsidP="00EB4A7A">
            <w:pPr>
              <w:jc w:val="center"/>
              <w:rPr>
                <w:rFonts w:ascii="Calibri" w:hAnsi="Calibri" w:cs="Calibri"/>
                <w:i/>
                <w:iCs/>
                <w:color w:val="000000"/>
                <w:szCs w:val="20"/>
                <w:lang w:val="en-CA" w:eastAsia="en-CA"/>
              </w:rPr>
            </w:pPr>
            <w:r w:rsidRPr="00EB4A7A">
              <w:rPr>
                <w:rFonts w:ascii="Calibri" w:hAnsi="Calibri" w:cs="Calibri"/>
                <w:i/>
                <w:iCs/>
                <w:color w:val="000000"/>
                <w:szCs w:val="20"/>
                <w:lang w:val="en-CA" w:eastAsia="en-CA"/>
              </w:rPr>
              <w:t>in US Dollar</w:t>
            </w:r>
          </w:p>
        </w:tc>
      </w:tr>
      <w:tr w:rsidR="00EB4A7A" w:rsidRPr="00EB4A7A" w14:paraId="61904BE0" w14:textId="77777777" w:rsidTr="00EB4A7A">
        <w:trPr>
          <w:trHeight w:val="276"/>
          <w:jc w:val="center"/>
        </w:trPr>
        <w:tc>
          <w:tcPr>
            <w:tcW w:w="3828" w:type="dxa"/>
            <w:tcBorders>
              <w:top w:val="nil"/>
              <w:left w:val="nil"/>
              <w:bottom w:val="nil"/>
              <w:right w:val="nil"/>
            </w:tcBorders>
            <w:shd w:val="clear" w:color="auto" w:fill="auto"/>
            <w:noWrap/>
            <w:vAlign w:val="center"/>
            <w:hideMark/>
          </w:tcPr>
          <w:p w14:paraId="71AE9799" w14:textId="77777777" w:rsidR="00EB4A7A" w:rsidRPr="00EB4A7A" w:rsidRDefault="00EB4A7A" w:rsidP="00EB4A7A">
            <w:pPr>
              <w:rPr>
                <w:rFonts w:ascii="Calibri" w:hAnsi="Calibri" w:cs="Calibri"/>
                <w:color w:val="000000"/>
                <w:szCs w:val="20"/>
                <w:lang w:val="en-CA" w:eastAsia="en-CA"/>
              </w:rPr>
            </w:pPr>
            <w:r w:rsidRPr="00EB4A7A">
              <w:rPr>
                <w:rFonts w:ascii="Calibri" w:hAnsi="Calibri" w:cs="Calibri"/>
                <w:color w:val="000000"/>
                <w:szCs w:val="20"/>
                <w:lang w:val="en-CA" w:eastAsia="en-CA"/>
              </w:rPr>
              <w:t xml:space="preserve"> Cash  </w:t>
            </w:r>
          </w:p>
        </w:tc>
        <w:tc>
          <w:tcPr>
            <w:tcW w:w="1550" w:type="dxa"/>
            <w:tcBorders>
              <w:top w:val="nil"/>
              <w:left w:val="nil"/>
              <w:bottom w:val="nil"/>
              <w:right w:val="nil"/>
            </w:tcBorders>
            <w:shd w:val="clear" w:color="auto" w:fill="auto"/>
            <w:noWrap/>
            <w:vAlign w:val="bottom"/>
            <w:hideMark/>
          </w:tcPr>
          <w:p w14:paraId="51FACFF8" w14:textId="1194772F" w:rsidR="00EB4A7A" w:rsidRPr="00EB4A7A" w:rsidRDefault="00EB4A7A" w:rsidP="00EB4A7A">
            <w:pPr>
              <w:jc w:val="right"/>
              <w:rPr>
                <w:rFonts w:ascii="Calibri" w:hAnsi="Calibri" w:cs="Calibri"/>
                <w:b/>
                <w:bCs/>
                <w:color w:val="000000"/>
                <w:szCs w:val="20"/>
                <w:lang w:val="en-CA" w:eastAsia="en-CA"/>
              </w:rPr>
            </w:pPr>
            <w:r w:rsidRPr="00EB4A7A">
              <w:rPr>
                <w:rFonts w:ascii="Calibri" w:hAnsi="Calibri" w:cs="Calibri"/>
                <w:b/>
                <w:bCs/>
                <w:color w:val="000000"/>
                <w:szCs w:val="20"/>
                <w:lang w:val="en-CA" w:eastAsia="en-CA"/>
              </w:rPr>
              <w:t xml:space="preserve"> $  20,460 </w:t>
            </w:r>
          </w:p>
        </w:tc>
        <w:tc>
          <w:tcPr>
            <w:tcW w:w="1560" w:type="dxa"/>
            <w:tcBorders>
              <w:top w:val="nil"/>
              <w:left w:val="nil"/>
              <w:bottom w:val="nil"/>
              <w:right w:val="nil"/>
            </w:tcBorders>
            <w:shd w:val="clear" w:color="auto" w:fill="auto"/>
            <w:noWrap/>
            <w:vAlign w:val="bottom"/>
            <w:hideMark/>
          </w:tcPr>
          <w:p w14:paraId="1E093057" w14:textId="0BEA67DF" w:rsidR="00EB4A7A" w:rsidRPr="00EB4A7A" w:rsidRDefault="00EB4A7A" w:rsidP="00EB4A7A">
            <w:pPr>
              <w:jc w:val="right"/>
              <w:rPr>
                <w:rFonts w:ascii="Calibri" w:hAnsi="Calibri" w:cs="Calibri"/>
                <w:color w:val="000000"/>
                <w:szCs w:val="20"/>
                <w:lang w:val="en-CA" w:eastAsia="en-CA"/>
              </w:rPr>
            </w:pPr>
            <w:r w:rsidRPr="00EB4A7A">
              <w:rPr>
                <w:rFonts w:ascii="Calibri" w:hAnsi="Calibri" w:cs="Calibri"/>
                <w:color w:val="000000"/>
                <w:szCs w:val="20"/>
                <w:lang w:val="en-CA" w:eastAsia="en-CA"/>
              </w:rPr>
              <w:t xml:space="preserve"> $  36,381 </w:t>
            </w:r>
          </w:p>
        </w:tc>
      </w:tr>
      <w:tr w:rsidR="00EB4A7A" w:rsidRPr="00EB4A7A" w14:paraId="12865494" w14:textId="77777777" w:rsidTr="00EB4A7A">
        <w:trPr>
          <w:trHeight w:val="276"/>
          <w:jc w:val="center"/>
        </w:trPr>
        <w:tc>
          <w:tcPr>
            <w:tcW w:w="3828" w:type="dxa"/>
            <w:tcBorders>
              <w:top w:val="nil"/>
              <w:left w:val="nil"/>
              <w:bottom w:val="nil"/>
              <w:right w:val="nil"/>
            </w:tcBorders>
            <w:shd w:val="clear" w:color="auto" w:fill="auto"/>
            <w:noWrap/>
            <w:vAlign w:val="center"/>
            <w:hideMark/>
          </w:tcPr>
          <w:p w14:paraId="77BBBB25" w14:textId="77777777" w:rsidR="00EB4A7A" w:rsidRPr="00EB4A7A" w:rsidRDefault="00EB4A7A" w:rsidP="00EB4A7A">
            <w:pPr>
              <w:rPr>
                <w:rFonts w:ascii="Calibri" w:hAnsi="Calibri" w:cs="Calibri"/>
                <w:color w:val="000000"/>
                <w:szCs w:val="20"/>
                <w:lang w:val="en-CA" w:eastAsia="en-CA"/>
              </w:rPr>
            </w:pPr>
            <w:r w:rsidRPr="00EB4A7A">
              <w:rPr>
                <w:rFonts w:ascii="Calibri" w:hAnsi="Calibri" w:cs="Calibri"/>
                <w:color w:val="000000"/>
                <w:szCs w:val="20"/>
                <w:lang w:val="en-CA" w:eastAsia="en-CA"/>
              </w:rPr>
              <w:t xml:space="preserve"> Accounts receivable </w:t>
            </w:r>
          </w:p>
        </w:tc>
        <w:tc>
          <w:tcPr>
            <w:tcW w:w="1550" w:type="dxa"/>
            <w:tcBorders>
              <w:top w:val="nil"/>
              <w:left w:val="nil"/>
              <w:bottom w:val="nil"/>
              <w:right w:val="nil"/>
            </w:tcBorders>
            <w:shd w:val="clear" w:color="auto" w:fill="auto"/>
            <w:noWrap/>
            <w:vAlign w:val="bottom"/>
            <w:hideMark/>
          </w:tcPr>
          <w:p w14:paraId="7807746C" w14:textId="07AD0757" w:rsidR="00EB4A7A" w:rsidRPr="00EB4A7A" w:rsidRDefault="00EB4A7A" w:rsidP="00EB4A7A">
            <w:pPr>
              <w:jc w:val="right"/>
              <w:rPr>
                <w:rFonts w:ascii="Calibri" w:hAnsi="Calibri" w:cs="Calibri"/>
                <w:b/>
                <w:bCs/>
                <w:color w:val="000000"/>
                <w:szCs w:val="20"/>
                <w:lang w:val="en-CA" w:eastAsia="en-CA"/>
              </w:rPr>
            </w:pPr>
            <w:r w:rsidRPr="00EB4A7A">
              <w:rPr>
                <w:rFonts w:ascii="Calibri" w:hAnsi="Calibri" w:cs="Calibri"/>
                <w:b/>
                <w:bCs/>
                <w:color w:val="000000"/>
                <w:szCs w:val="20"/>
                <w:lang w:val="en-CA" w:eastAsia="en-CA"/>
              </w:rPr>
              <w:t xml:space="preserve">35,539 </w:t>
            </w:r>
          </w:p>
        </w:tc>
        <w:tc>
          <w:tcPr>
            <w:tcW w:w="1560" w:type="dxa"/>
            <w:tcBorders>
              <w:top w:val="nil"/>
              <w:left w:val="nil"/>
              <w:bottom w:val="nil"/>
              <w:right w:val="nil"/>
            </w:tcBorders>
            <w:shd w:val="clear" w:color="auto" w:fill="auto"/>
            <w:noWrap/>
            <w:vAlign w:val="bottom"/>
            <w:hideMark/>
          </w:tcPr>
          <w:p w14:paraId="510A4859" w14:textId="2DE6D79D" w:rsidR="00EB4A7A" w:rsidRPr="00EB4A7A" w:rsidRDefault="00EB4A7A" w:rsidP="00EB4A7A">
            <w:pPr>
              <w:jc w:val="right"/>
              <w:rPr>
                <w:rFonts w:ascii="Calibri" w:hAnsi="Calibri" w:cs="Calibri"/>
                <w:color w:val="000000"/>
                <w:szCs w:val="20"/>
                <w:lang w:val="en-CA" w:eastAsia="en-CA"/>
              </w:rPr>
            </w:pPr>
            <w:r w:rsidRPr="00EB4A7A">
              <w:rPr>
                <w:rFonts w:ascii="Calibri" w:hAnsi="Calibri" w:cs="Calibri"/>
                <w:color w:val="000000"/>
                <w:szCs w:val="20"/>
                <w:lang w:val="en-CA" w:eastAsia="en-CA"/>
              </w:rPr>
              <w:t xml:space="preserve">   56,258 </w:t>
            </w:r>
          </w:p>
        </w:tc>
      </w:tr>
      <w:tr w:rsidR="00EB4A7A" w:rsidRPr="00EB4A7A" w14:paraId="4AD39CE8" w14:textId="77777777" w:rsidTr="00EB4A7A">
        <w:trPr>
          <w:trHeight w:val="276"/>
          <w:jc w:val="center"/>
        </w:trPr>
        <w:tc>
          <w:tcPr>
            <w:tcW w:w="3828" w:type="dxa"/>
            <w:tcBorders>
              <w:top w:val="nil"/>
              <w:left w:val="nil"/>
              <w:bottom w:val="nil"/>
              <w:right w:val="nil"/>
            </w:tcBorders>
            <w:shd w:val="clear" w:color="auto" w:fill="auto"/>
            <w:noWrap/>
            <w:vAlign w:val="center"/>
            <w:hideMark/>
          </w:tcPr>
          <w:p w14:paraId="466767DD" w14:textId="77777777" w:rsidR="00EB4A7A" w:rsidRPr="00EB4A7A" w:rsidRDefault="00EB4A7A" w:rsidP="00EB4A7A">
            <w:pPr>
              <w:rPr>
                <w:rFonts w:ascii="Calibri" w:hAnsi="Calibri" w:cs="Calibri"/>
                <w:color w:val="000000"/>
                <w:szCs w:val="20"/>
                <w:lang w:val="en-CA" w:eastAsia="en-CA"/>
              </w:rPr>
            </w:pPr>
            <w:r w:rsidRPr="00EB4A7A">
              <w:rPr>
                <w:rFonts w:ascii="Calibri" w:hAnsi="Calibri" w:cs="Calibri"/>
                <w:color w:val="000000"/>
                <w:szCs w:val="20"/>
                <w:lang w:val="en-CA" w:eastAsia="en-CA"/>
              </w:rPr>
              <w:t xml:space="preserve"> Prepaid expenses </w:t>
            </w:r>
          </w:p>
        </w:tc>
        <w:tc>
          <w:tcPr>
            <w:tcW w:w="1550" w:type="dxa"/>
            <w:tcBorders>
              <w:top w:val="nil"/>
              <w:left w:val="nil"/>
              <w:bottom w:val="nil"/>
              <w:right w:val="nil"/>
            </w:tcBorders>
            <w:shd w:val="clear" w:color="auto" w:fill="auto"/>
            <w:noWrap/>
            <w:vAlign w:val="bottom"/>
            <w:hideMark/>
          </w:tcPr>
          <w:p w14:paraId="080868AC" w14:textId="13FF501A" w:rsidR="00EB4A7A" w:rsidRPr="00EB4A7A" w:rsidRDefault="00EB4A7A" w:rsidP="00EB4A7A">
            <w:pPr>
              <w:jc w:val="right"/>
              <w:rPr>
                <w:rFonts w:ascii="Calibri" w:hAnsi="Calibri" w:cs="Calibri"/>
                <w:b/>
                <w:bCs/>
                <w:color w:val="000000"/>
                <w:szCs w:val="20"/>
                <w:lang w:val="en-CA" w:eastAsia="en-CA"/>
              </w:rPr>
            </w:pPr>
            <w:r w:rsidRPr="00EB4A7A">
              <w:rPr>
                <w:rFonts w:ascii="Calibri" w:hAnsi="Calibri" w:cs="Calibri"/>
                <w:b/>
                <w:bCs/>
                <w:color w:val="000000"/>
                <w:szCs w:val="20"/>
                <w:lang w:val="en-CA" w:eastAsia="en-CA"/>
              </w:rPr>
              <w:t xml:space="preserve">   14,019 </w:t>
            </w:r>
          </w:p>
        </w:tc>
        <w:tc>
          <w:tcPr>
            <w:tcW w:w="1560" w:type="dxa"/>
            <w:tcBorders>
              <w:top w:val="nil"/>
              <w:left w:val="nil"/>
              <w:bottom w:val="nil"/>
              <w:right w:val="nil"/>
            </w:tcBorders>
            <w:shd w:val="clear" w:color="auto" w:fill="auto"/>
            <w:noWrap/>
            <w:vAlign w:val="bottom"/>
            <w:hideMark/>
          </w:tcPr>
          <w:p w14:paraId="45A44ABA" w14:textId="43D718FF" w:rsidR="00EB4A7A" w:rsidRPr="00EB4A7A" w:rsidRDefault="00EB4A7A" w:rsidP="00EB4A7A">
            <w:pPr>
              <w:jc w:val="right"/>
              <w:rPr>
                <w:rFonts w:ascii="Calibri" w:hAnsi="Calibri" w:cs="Calibri"/>
                <w:color w:val="000000"/>
                <w:szCs w:val="20"/>
                <w:lang w:val="en-CA" w:eastAsia="en-CA"/>
              </w:rPr>
            </w:pPr>
            <w:r w:rsidRPr="00EB4A7A">
              <w:rPr>
                <w:rFonts w:ascii="Calibri" w:hAnsi="Calibri" w:cs="Calibri"/>
                <w:color w:val="000000"/>
                <w:szCs w:val="20"/>
                <w:lang w:val="en-CA" w:eastAsia="en-CA"/>
              </w:rPr>
              <w:t xml:space="preserve">   47,805 </w:t>
            </w:r>
          </w:p>
        </w:tc>
      </w:tr>
      <w:tr w:rsidR="00EB4A7A" w:rsidRPr="00EB4A7A" w14:paraId="58CE41CD" w14:textId="77777777" w:rsidTr="00C35AF1">
        <w:trPr>
          <w:trHeight w:val="276"/>
          <w:jc w:val="center"/>
        </w:trPr>
        <w:tc>
          <w:tcPr>
            <w:tcW w:w="3828" w:type="dxa"/>
            <w:tcBorders>
              <w:top w:val="nil"/>
              <w:left w:val="nil"/>
              <w:bottom w:val="nil"/>
              <w:right w:val="nil"/>
            </w:tcBorders>
            <w:shd w:val="clear" w:color="auto" w:fill="auto"/>
            <w:noWrap/>
            <w:vAlign w:val="center"/>
            <w:hideMark/>
          </w:tcPr>
          <w:p w14:paraId="33375A3B" w14:textId="77777777" w:rsidR="00EB4A7A" w:rsidRPr="00EB4A7A" w:rsidRDefault="00EB4A7A" w:rsidP="00EB4A7A">
            <w:pPr>
              <w:rPr>
                <w:rFonts w:ascii="Calibri" w:hAnsi="Calibri" w:cs="Calibri"/>
                <w:color w:val="000000"/>
                <w:szCs w:val="20"/>
                <w:lang w:val="en-CA" w:eastAsia="en-CA"/>
              </w:rPr>
            </w:pPr>
            <w:r w:rsidRPr="00EB4A7A">
              <w:rPr>
                <w:rFonts w:ascii="Calibri" w:hAnsi="Calibri" w:cs="Calibri"/>
                <w:color w:val="000000"/>
                <w:szCs w:val="20"/>
                <w:lang w:val="en-CA" w:eastAsia="en-CA"/>
              </w:rPr>
              <w:t xml:space="preserve"> Accounts payable and accrued liabilities  </w:t>
            </w:r>
          </w:p>
        </w:tc>
        <w:tc>
          <w:tcPr>
            <w:tcW w:w="1550" w:type="dxa"/>
            <w:tcBorders>
              <w:top w:val="nil"/>
              <w:left w:val="nil"/>
              <w:bottom w:val="single" w:sz="4" w:space="0" w:color="auto"/>
              <w:right w:val="nil"/>
            </w:tcBorders>
            <w:shd w:val="clear" w:color="auto" w:fill="auto"/>
            <w:noWrap/>
            <w:vAlign w:val="bottom"/>
            <w:hideMark/>
          </w:tcPr>
          <w:p w14:paraId="6D8D5D20" w14:textId="44B0B177" w:rsidR="00EB4A7A" w:rsidRPr="00EB4A7A" w:rsidRDefault="00EB4A7A" w:rsidP="00E2331A">
            <w:pPr>
              <w:ind w:right="-62"/>
              <w:jc w:val="right"/>
              <w:rPr>
                <w:rFonts w:ascii="Calibri" w:hAnsi="Calibri" w:cs="Calibri"/>
                <w:b/>
                <w:bCs/>
                <w:color w:val="000000"/>
                <w:szCs w:val="20"/>
                <w:lang w:val="en-CA" w:eastAsia="en-CA"/>
              </w:rPr>
            </w:pPr>
            <w:r w:rsidRPr="00EB4A7A">
              <w:rPr>
                <w:rFonts w:ascii="Calibri" w:hAnsi="Calibri" w:cs="Calibri"/>
                <w:b/>
                <w:bCs/>
                <w:color w:val="000000"/>
                <w:szCs w:val="20"/>
                <w:lang w:val="en-CA" w:eastAsia="en-CA"/>
              </w:rPr>
              <w:t xml:space="preserve">   (243,854)</w:t>
            </w:r>
          </w:p>
        </w:tc>
        <w:tc>
          <w:tcPr>
            <w:tcW w:w="1560" w:type="dxa"/>
            <w:tcBorders>
              <w:top w:val="nil"/>
              <w:left w:val="nil"/>
              <w:bottom w:val="single" w:sz="4" w:space="0" w:color="auto"/>
              <w:right w:val="nil"/>
            </w:tcBorders>
            <w:shd w:val="clear" w:color="auto" w:fill="auto"/>
            <w:noWrap/>
            <w:vAlign w:val="bottom"/>
            <w:hideMark/>
          </w:tcPr>
          <w:p w14:paraId="633A90B4" w14:textId="542FAB9A" w:rsidR="00EB4A7A" w:rsidRPr="00EB4A7A" w:rsidRDefault="00EB4A7A" w:rsidP="00E2331A">
            <w:pPr>
              <w:ind w:right="-62"/>
              <w:jc w:val="right"/>
              <w:rPr>
                <w:rFonts w:ascii="Calibri" w:hAnsi="Calibri" w:cs="Calibri"/>
                <w:color w:val="000000"/>
                <w:szCs w:val="20"/>
                <w:lang w:val="en-CA" w:eastAsia="en-CA"/>
              </w:rPr>
            </w:pPr>
            <w:r w:rsidRPr="00EB4A7A">
              <w:rPr>
                <w:rFonts w:ascii="Calibri" w:hAnsi="Calibri" w:cs="Calibri"/>
                <w:color w:val="000000"/>
                <w:szCs w:val="20"/>
                <w:lang w:val="en-CA" w:eastAsia="en-CA"/>
              </w:rPr>
              <w:t>(157,812)</w:t>
            </w:r>
          </w:p>
        </w:tc>
      </w:tr>
      <w:tr w:rsidR="00EB4A7A" w:rsidRPr="00EB4A7A" w14:paraId="2E05ED5D" w14:textId="77777777" w:rsidTr="00C35AF1">
        <w:trPr>
          <w:trHeight w:val="288"/>
          <w:jc w:val="center"/>
        </w:trPr>
        <w:tc>
          <w:tcPr>
            <w:tcW w:w="3828" w:type="dxa"/>
            <w:tcBorders>
              <w:top w:val="nil"/>
              <w:left w:val="nil"/>
              <w:bottom w:val="nil"/>
              <w:right w:val="nil"/>
            </w:tcBorders>
            <w:shd w:val="clear" w:color="auto" w:fill="auto"/>
            <w:noWrap/>
            <w:vAlign w:val="center"/>
            <w:hideMark/>
          </w:tcPr>
          <w:p w14:paraId="7BBF2B56" w14:textId="77777777" w:rsidR="00EB4A7A" w:rsidRPr="00EB4A7A" w:rsidRDefault="00EB4A7A" w:rsidP="00EB4A7A">
            <w:pPr>
              <w:rPr>
                <w:rFonts w:ascii="Calibri" w:hAnsi="Calibri" w:cs="Calibri"/>
                <w:color w:val="000000"/>
                <w:szCs w:val="20"/>
                <w:lang w:val="en-CA" w:eastAsia="en-CA"/>
              </w:rPr>
            </w:pPr>
            <w:r w:rsidRPr="00EB4A7A">
              <w:rPr>
                <w:rFonts w:ascii="Calibri" w:hAnsi="Calibri" w:cs="Calibri"/>
                <w:color w:val="000000"/>
                <w:szCs w:val="20"/>
                <w:lang w:val="en-CA" w:eastAsia="en-CA"/>
              </w:rPr>
              <w:t>Net assets denominated in foreign currency</w:t>
            </w:r>
          </w:p>
        </w:tc>
        <w:tc>
          <w:tcPr>
            <w:tcW w:w="1550" w:type="dxa"/>
            <w:tcBorders>
              <w:top w:val="single" w:sz="4" w:space="0" w:color="auto"/>
              <w:left w:val="nil"/>
              <w:bottom w:val="single" w:sz="12" w:space="0" w:color="auto"/>
              <w:right w:val="nil"/>
            </w:tcBorders>
            <w:shd w:val="clear" w:color="auto" w:fill="auto"/>
            <w:noWrap/>
            <w:vAlign w:val="bottom"/>
            <w:hideMark/>
          </w:tcPr>
          <w:p w14:paraId="6FEE8896" w14:textId="4994E8AA" w:rsidR="00EB4A7A" w:rsidRPr="00EB4A7A" w:rsidRDefault="00EB4A7A" w:rsidP="00E2331A">
            <w:pPr>
              <w:ind w:right="-62"/>
              <w:jc w:val="right"/>
              <w:rPr>
                <w:rFonts w:ascii="Calibri" w:hAnsi="Calibri" w:cs="Calibri"/>
                <w:b/>
                <w:bCs/>
                <w:color w:val="000000"/>
                <w:szCs w:val="20"/>
                <w:lang w:val="en-CA" w:eastAsia="en-CA"/>
              </w:rPr>
            </w:pPr>
            <w:r w:rsidRPr="00EB4A7A">
              <w:rPr>
                <w:rFonts w:ascii="Calibri" w:hAnsi="Calibri" w:cs="Calibri"/>
                <w:b/>
                <w:bCs/>
                <w:color w:val="000000"/>
                <w:szCs w:val="20"/>
                <w:lang w:val="en-CA" w:eastAsia="en-CA"/>
              </w:rPr>
              <w:t xml:space="preserve"> $  (173,836)</w:t>
            </w:r>
          </w:p>
        </w:tc>
        <w:tc>
          <w:tcPr>
            <w:tcW w:w="1560" w:type="dxa"/>
            <w:tcBorders>
              <w:top w:val="single" w:sz="4" w:space="0" w:color="auto"/>
              <w:left w:val="nil"/>
              <w:bottom w:val="single" w:sz="12" w:space="0" w:color="auto"/>
              <w:right w:val="nil"/>
            </w:tcBorders>
            <w:shd w:val="clear" w:color="auto" w:fill="auto"/>
            <w:noWrap/>
            <w:vAlign w:val="bottom"/>
            <w:hideMark/>
          </w:tcPr>
          <w:p w14:paraId="2CFAD68F" w14:textId="2F5B148A" w:rsidR="00EB4A7A" w:rsidRPr="00EB4A7A" w:rsidRDefault="00EB4A7A" w:rsidP="00E2331A">
            <w:pPr>
              <w:ind w:right="-62"/>
              <w:jc w:val="right"/>
              <w:rPr>
                <w:rFonts w:ascii="Calibri" w:hAnsi="Calibri" w:cs="Calibri"/>
                <w:color w:val="000000"/>
                <w:szCs w:val="20"/>
                <w:lang w:val="en-CA" w:eastAsia="en-CA"/>
              </w:rPr>
            </w:pPr>
            <w:r w:rsidRPr="00EB4A7A">
              <w:rPr>
                <w:rFonts w:ascii="Calibri" w:hAnsi="Calibri" w:cs="Calibri"/>
                <w:color w:val="000000"/>
                <w:szCs w:val="20"/>
                <w:lang w:val="en-CA" w:eastAsia="en-CA"/>
              </w:rPr>
              <w:t xml:space="preserve"> $  (17,368)</w:t>
            </w:r>
          </w:p>
        </w:tc>
      </w:tr>
    </w:tbl>
    <w:p w14:paraId="0F63618D" w14:textId="72E8D787" w:rsidR="00396E16" w:rsidRDefault="00396E16" w:rsidP="002D6C86">
      <w:pPr>
        <w:ind w:left="737"/>
        <w:contextualSpacing/>
        <w:jc w:val="center"/>
        <w:rPr>
          <w:rFonts w:cstheme="minorHAnsi"/>
          <w:szCs w:val="20"/>
          <w:lang w:val="en-GB"/>
        </w:rPr>
      </w:pPr>
    </w:p>
    <w:p w14:paraId="7A1E46DD" w14:textId="77777777" w:rsidR="002D6C86" w:rsidRPr="00FC2211" w:rsidRDefault="002D6C86" w:rsidP="002D6C86">
      <w:pPr>
        <w:ind w:left="737"/>
        <w:contextualSpacing/>
        <w:jc w:val="center"/>
        <w:rPr>
          <w:rFonts w:cstheme="minorHAnsi"/>
          <w:szCs w:val="20"/>
          <w:lang w:val="en-GB"/>
        </w:rPr>
      </w:pPr>
    </w:p>
    <w:p w14:paraId="035D7AA8" w14:textId="77777777" w:rsidR="00BD4A3B" w:rsidRPr="00FC2211" w:rsidRDefault="00BD4A3B" w:rsidP="00BD4A3B">
      <w:pPr>
        <w:ind w:left="737"/>
        <w:contextualSpacing/>
        <w:jc w:val="both"/>
        <w:rPr>
          <w:rFonts w:cstheme="minorHAnsi"/>
          <w:szCs w:val="20"/>
          <w:lang w:val="en-GB"/>
        </w:rPr>
      </w:pPr>
      <w:r w:rsidRPr="00FC2211">
        <w:rPr>
          <w:rFonts w:cstheme="minorHAnsi"/>
          <w:szCs w:val="20"/>
          <w:lang w:val="en-GB"/>
        </w:rPr>
        <w:t>The most significant closing exchange rates and the approximate average exchange rates of Canadian Dollar per US dollar used in these Financial Statements were as follows:</w:t>
      </w:r>
    </w:p>
    <w:p w14:paraId="3EE812D7" w14:textId="77777777" w:rsidR="00932CB6" w:rsidRPr="00FC2211" w:rsidRDefault="00932CB6" w:rsidP="00BD4A3B">
      <w:pPr>
        <w:ind w:left="737"/>
        <w:contextualSpacing/>
        <w:jc w:val="both"/>
        <w:rPr>
          <w:rFonts w:cstheme="minorHAnsi"/>
          <w:szCs w:val="20"/>
          <w:lang w:val="en-GB"/>
        </w:rPr>
      </w:pPr>
    </w:p>
    <w:tbl>
      <w:tblPr>
        <w:tblW w:w="7629" w:type="dxa"/>
        <w:jc w:val="center"/>
        <w:tblLook w:val="04A0" w:firstRow="1" w:lastRow="0" w:firstColumn="1" w:lastColumn="0" w:noHBand="0" w:noVBand="1"/>
      </w:tblPr>
      <w:tblGrid>
        <w:gridCol w:w="1985"/>
        <w:gridCol w:w="1453"/>
        <w:gridCol w:w="1399"/>
        <w:gridCol w:w="1396"/>
        <w:gridCol w:w="1396"/>
      </w:tblGrid>
      <w:tr w:rsidR="00CE7785" w:rsidRPr="00CE7785" w14:paraId="09974C13" w14:textId="77777777" w:rsidTr="00CE7785">
        <w:trPr>
          <w:trHeight w:val="276"/>
          <w:jc w:val="center"/>
        </w:trPr>
        <w:tc>
          <w:tcPr>
            <w:tcW w:w="1985" w:type="dxa"/>
            <w:tcBorders>
              <w:top w:val="single" w:sz="8" w:space="0" w:color="auto"/>
              <w:left w:val="nil"/>
              <w:bottom w:val="single" w:sz="4" w:space="0" w:color="auto"/>
              <w:right w:val="nil"/>
            </w:tcBorders>
            <w:shd w:val="clear" w:color="auto" w:fill="auto"/>
            <w:noWrap/>
            <w:vAlign w:val="bottom"/>
            <w:hideMark/>
          </w:tcPr>
          <w:p w14:paraId="395C6BAC" w14:textId="77777777" w:rsidR="00CE7785" w:rsidRPr="00CE7785" w:rsidRDefault="00CE7785" w:rsidP="00CE7785">
            <w:pPr>
              <w:rPr>
                <w:rFonts w:ascii="Calibri" w:hAnsi="Calibri" w:cs="Calibri"/>
                <w:color w:val="000000"/>
                <w:szCs w:val="20"/>
                <w:lang w:val="en-CA" w:eastAsia="en-CA"/>
              </w:rPr>
            </w:pPr>
            <w:r w:rsidRPr="00CE7785">
              <w:rPr>
                <w:rFonts w:ascii="Calibri" w:hAnsi="Calibri" w:cs="Calibri"/>
                <w:color w:val="000000"/>
                <w:szCs w:val="20"/>
                <w:lang w:val="en-CA" w:eastAsia="en-CA"/>
              </w:rPr>
              <w:t> </w:t>
            </w:r>
          </w:p>
        </w:tc>
        <w:tc>
          <w:tcPr>
            <w:tcW w:w="2852" w:type="dxa"/>
            <w:gridSpan w:val="2"/>
            <w:tcBorders>
              <w:top w:val="single" w:sz="8" w:space="0" w:color="auto"/>
              <w:left w:val="nil"/>
              <w:bottom w:val="single" w:sz="4" w:space="0" w:color="auto"/>
              <w:right w:val="nil"/>
            </w:tcBorders>
            <w:shd w:val="clear" w:color="auto" w:fill="auto"/>
            <w:vAlign w:val="center"/>
            <w:hideMark/>
          </w:tcPr>
          <w:p w14:paraId="299B7715" w14:textId="77777777" w:rsidR="00CE7785" w:rsidRPr="00CE7785" w:rsidRDefault="00CE7785" w:rsidP="00CE7785">
            <w:pPr>
              <w:jc w:val="center"/>
              <w:rPr>
                <w:rFonts w:ascii="Calibri" w:hAnsi="Calibri" w:cs="Calibri"/>
                <w:b/>
                <w:bCs/>
                <w:color w:val="000000"/>
                <w:szCs w:val="20"/>
                <w:lang w:val="en-CA" w:eastAsia="en-CA"/>
              </w:rPr>
            </w:pPr>
            <w:r w:rsidRPr="00CE7785">
              <w:rPr>
                <w:rFonts w:ascii="Calibri" w:hAnsi="Calibri" w:cs="Calibri"/>
                <w:b/>
                <w:bCs/>
                <w:color w:val="000000"/>
                <w:szCs w:val="20"/>
                <w:lang w:val="en-CA" w:eastAsia="en-CA"/>
              </w:rPr>
              <w:t>March 31, 2024</w:t>
            </w:r>
          </w:p>
        </w:tc>
        <w:tc>
          <w:tcPr>
            <w:tcW w:w="2792" w:type="dxa"/>
            <w:gridSpan w:val="2"/>
            <w:tcBorders>
              <w:top w:val="single" w:sz="8" w:space="0" w:color="auto"/>
              <w:left w:val="nil"/>
              <w:bottom w:val="single" w:sz="4" w:space="0" w:color="auto"/>
              <w:right w:val="nil"/>
            </w:tcBorders>
            <w:shd w:val="clear" w:color="auto" w:fill="auto"/>
            <w:vAlign w:val="center"/>
            <w:hideMark/>
          </w:tcPr>
          <w:p w14:paraId="4C34330D" w14:textId="77777777" w:rsidR="00CE7785" w:rsidRPr="00CE7785" w:rsidRDefault="00CE7785" w:rsidP="00CE7785">
            <w:pPr>
              <w:jc w:val="center"/>
              <w:rPr>
                <w:rFonts w:ascii="Calibri" w:hAnsi="Calibri" w:cs="Calibri"/>
                <w:color w:val="000000"/>
                <w:szCs w:val="20"/>
                <w:lang w:val="en-CA" w:eastAsia="en-CA"/>
              </w:rPr>
            </w:pPr>
            <w:r w:rsidRPr="00CE7785">
              <w:rPr>
                <w:rFonts w:ascii="Calibri" w:hAnsi="Calibri" w:cs="Calibri"/>
                <w:color w:val="000000"/>
                <w:szCs w:val="20"/>
                <w:lang w:val="en-CA" w:eastAsia="en-CA"/>
              </w:rPr>
              <w:t>June 30, 2023</w:t>
            </w:r>
          </w:p>
        </w:tc>
      </w:tr>
      <w:tr w:rsidR="00CE7785" w:rsidRPr="00CE7785" w14:paraId="25342204" w14:textId="77777777" w:rsidTr="00C35AF1">
        <w:trPr>
          <w:trHeight w:val="276"/>
          <w:jc w:val="center"/>
        </w:trPr>
        <w:tc>
          <w:tcPr>
            <w:tcW w:w="1985" w:type="dxa"/>
            <w:tcBorders>
              <w:top w:val="nil"/>
              <w:left w:val="nil"/>
              <w:bottom w:val="single" w:sz="4" w:space="0" w:color="auto"/>
              <w:right w:val="nil"/>
            </w:tcBorders>
            <w:shd w:val="clear" w:color="auto" w:fill="auto"/>
            <w:noWrap/>
            <w:vAlign w:val="bottom"/>
            <w:hideMark/>
          </w:tcPr>
          <w:p w14:paraId="0C4E19EC" w14:textId="77777777" w:rsidR="00CE7785" w:rsidRPr="00CE7785" w:rsidRDefault="00CE7785" w:rsidP="00CE7785">
            <w:pPr>
              <w:rPr>
                <w:rFonts w:ascii="Calibri" w:hAnsi="Calibri" w:cs="Calibri"/>
                <w:b/>
                <w:bCs/>
                <w:color w:val="000000"/>
                <w:szCs w:val="20"/>
                <w:lang w:val="en-CA" w:eastAsia="en-CA"/>
              </w:rPr>
            </w:pPr>
            <w:r w:rsidRPr="00CE7785">
              <w:rPr>
                <w:rFonts w:ascii="Calibri" w:hAnsi="Calibri" w:cs="Calibri"/>
                <w:b/>
                <w:bCs/>
                <w:color w:val="000000"/>
                <w:szCs w:val="20"/>
                <w:lang w:val="en-CA" w:eastAsia="en-CA"/>
              </w:rPr>
              <w:t>Currency</w:t>
            </w:r>
          </w:p>
        </w:tc>
        <w:tc>
          <w:tcPr>
            <w:tcW w:w="1453" w:type="dxa"/>
            <w:tcBorders>
              <w:top w:val="nil"/>
              <w:left w:val="nil"/>
              <w:bottom w:val="single" w:sz="4" w:space="0" w:color="auto"/>
              <w:right w:val="nil"/>
            </w:tcBorders>
            <w:shd w:val="clear" w:color="auto" w:fill="auto"/>
            <w:noWrap/>
            <w:vAlign w:val="bottom"/>
            <w:hideMark/>
          </w:tcPr>
          <w:p w14:paraId="2B451BDF" w14:textId="77777777" w:rsidR="00CE7785" w:rsidRPr="00CE7785" w:rsidRDefault="00CE7785" w:rsidP="00CE7785">
            <w:pPr>
              <w:jc w:val="center"/>
              <w:rPr>
                <w:rFonts w:ascii="Calibri" w:hAnsi="Calibri" w:cs="Calibri"/>
                <w:b/>
                <w:bCs/>
                <w:color w:val="000000"/>
                <w:szCs w:val="20"/>
                <w:lang w:val="en-CA" w:eastAsia="en-CA"/>
              </w:rPr>
            </w:pPr>
            <w:r w:rsidRPr="00CE7785">
              <w:rPr>
                <w:rFonts w:ascii="Calibri" w:hAnsi="Calibri" w:cs="Calibri"/>
                <w:b/>
                <w:bCs/>
                <w:color w:val="000000"/>
                <w:szCs w:val="20"/>
                <w:lang w:val="en-CA" w:eastAsia="en-CA"/>
              </w:rPr>
              <w:t>Closing</w:t>
            </w:r>
          </w:p>
        </w:tc>
        <w:tc>
          <w:tcPr>
            <w:tcW w:w="1399" w:type="dxa"/>
            <w:tcBorders>
              <w:top w:val="nil"/>
              <w:left w:val="nil"/>
              <w:bottom w:val="single" w:sz="4" w:space="0" w:color="auto"/>
              <w:right w:val="nil"/>
            </w:tcBorders>
            <w:shd w:val="clear" w:color="auto" w:fill="auto"/>
            <w:noWrap/>
            <w:vAlign w:val="bottom"/>
            <w:hideMark/>
          </w:tcPr>
          <w:p w14:paraId="154B0924" w14:textId="77777777" w:rsidR="00CE7785" w:rsidRPr="00CE7785" w:rsidRDefault="00CE7785" w:rsidP="00CE7785">
            <w:pPr>
              <w:jc w:val="center"/>
              <w:rPr>
                <w:rFonts w:ascii="Calibri" w:hAnsi="Calibri" w:cs="Calibri"/>
                <w:b/>
                <w:bCs/>
                <w:color w:val="000000"/>
                <w:szCs w:val="20"/>
                <w:lang w:val="en-CA" w:eastAsia="en-CA"/>
              </w:rPr>
            </w:pPr>
            <w:r w:rsidRPr="00CE7785">
              <w:rPr>
                <w:rFonts w:ascii="Calibri" w:hAnsi="Calibri" w:cs="Calibri"/>
                <w:b/>
                <w:bCs/>
                <w:color w:val="000000"/>
                <w:szCs w:val="20"/>
                <w:lang w:val="en-CA" w:eastAsia="en-CA"/>
              </w:rPr>
              <w:t>Average</w:t>
            </w:r>
          </w:p>
        </w:tc>
        <w:tc>
          <w:tcPr>
            <w:tcW w:w="1396" w:type="dxa"/>
            <w:tcBorders>
              <w:top w:val="nil"/>
              <w:left w:val="nil"/>
              <w:bottom w:val="single" w:sz="4" w:space="0" w:color="auto"/>
              <w:right w:val="nil"/>
            </w:tcBorders>
            <w:shd w:val="clear" w:color="auto" w:fill="auto"/>
            <w:noWrap/>
            <w:vAlign w:val="bottom"/>
            <w:hideMark/>
          </w:tcPr>
          <w:p w14:paraId="7AAA565C" w14:textId="77777777" w:rsidR="00CE7785" w:rsidRPr="00CE7785" w:rsidRDefault="00CE7785" w:rsidP="00CE7785">
            <w:pPr>
              <w:jc w:val="center"/>
              <w:rPr>
                <w:rFonts w:ascii="Calibri" w:hAnsi="Calibri" w:cs="Calibri"/>
                <w:color w:val="000000"/>
                <w:szCs w:val="20"/>
                <w:lang w:val="en-CA" w:eastAsia="en-CA"/>
              </w:rPr>
            </w:pPr>
            <w:r w:rsidRPr="00CE7785">
              <w:rPr>
                <w:rFonts w:ascii="Calibri" w:hAnsi="Calibri" w:cs="Calibri"/>
                <w:color w:val="000000"/>
                <w:szCs w:val="20"/>
                <w:lang w:val="en-CA" w:eastAsia="en-CA"/>
              </w:rPr>
              <w:t>Closing</w:t>
            </w:r>
          </w:p>
        </w:tc>
        <w:tc>
          <w:tcPr>
            <w:tcW w:w="1396" w:type="dxa"/>
            <w:tcBorders>
              <w:top w:val="nil"/>
              <w:left w:val="nil"/>
              <w:bottom w:val="single" w:sz="4" w:space="0" w:color="auto"/>
              <w:right w:val="nil"/>
            </w:tcBorders>
            <w:shd w:val="clear" w:color="auto" w:fill="auto"/>
            <w:noWrap/>
            <w:vAlign w:val="bottom"/>
            <w:hideMark/>
          </w:tcPr>
          <w:p w14:paraId="73BFEEAC" w14:textId="77777777" w:rsidR="00CE7785" w:rsidRPr="00CE7785" w:rsidRDefault="00CE7785" w:rsidP="00CE7785">
            <w:pPr>
              <w:jc w:val="center"/>
              <w:rPr>
                <w:rFonts w:ascii="Calibri" w:hAnsi="Calibri" w:cs="Calibri"/>
                <w:color w:val="000000"/>
                <w:szCs w:val="20"/>
                <w:lang w:val="en-CA" w:eastAsia="en-CA"/>
              </w:rPr>
            </w:pPr>
            <w:r w:rsidRPr="00CE7785">
              <w:rPr>
                <w:rFonts w:ascii="Calibri" w:hAnsi="Calibri" w:cs="Calibri"/>
                <w:color w:val="000000"/>
                <w:szCs w:val="20"/>
                <w:lang w:val="en-CA" w:eastAsia="en-CA"/>
              </w:rPr>
              <w:t>Average</w:t>
            </w:r>
          </w:p>
        </w:tc>
      </w:tr>
      <w:tr w:rsidR="00CE7785" w:rsidRPr="00CE7785" w14:paraId="14804B1E" w14:textId="77777777" w:rsidTr="00C35AF1">
        <w:trPr>
          <w:trHeight w:val="288"/>
          <w:jc w:val="center"/>
        </w:trPr>
        <w:tc>
          <w:tcPr>
            <w:tcW w:w="1985" w:type="dxa"/>
            <w:tcBorders>
              <w:top w:val="single" w:sz="4" w:space="0" w:color="auto"/>
              <w:left w:val="nil"/>
              <w:bottom w:val="single" w:sz="12" w:space="0" w:color="auto"/>
              <w:right w:val="nil"/>
            </w:tcBorders>
            <w:shd w:val="clear" w:color="auto" w:fill="auto"/>
            <w:noWrap/>
            <w:vAlign w:val="bottom"/>
            <w:hideMark/>
          </w:tcPr>
          <w:p w14:paraId="5C09ABB9" w14:textId="77777777" w:rsidR="00CE7785" w:rsidRPr="00CE7785" w:rsidRDefault="00CE7785" w:rsidP="00CE7785">
            <w:pPr>
              <w:rPr>
                <w:rFonts w:ascii="Calibri" w:hAnsi="Calibri" w:cs="Calibri"/>
                <w:color w:val="000000"/>
                <w:szCs w:val="20"/>
                <w:lang w:val="en-CA" w:eastAsia="en-CA"/>
              </w:rPr>
            </w:pPr>
            <w:r w:rsidRPr="00CE7785">
              <w:rPr>
                <w:rFonts w:ascii="Calibri" w:hAnsi="Calibri" w:cs="Calibri"/>
                <w:color w:val="000000"/>
                <w:szCs w:val="20"/>
                <w:lang w:val="en-CA" w:eastAsia="en-CA"/>
              </w:rPr>
              <w:t>U.S. Dollar</w:t>
            </w:r>
          </w:p>
        </w:tc>
        <w:tc>
          <w:tcPr>
            <w:tcW w:w="1453" w:type="dxa"/>
            <w:tcBorders>
              <w:top w:val="single" w:sz="4" w:space="0" w:color="auto"/>
              <w:left w:val="nil"/>
              <w:bottom w:val="single" w:sz="12" w:space="0" w:color="auto"/>
              <w:right w:val="nil"/>
            </w:tcBorders>
            <w:shd w:val="clear" w:color="auto" w:fill="auto"/>
            <w:noWrap/>
            <w:vAlign w:val="bottom"/>
            <w:hideMark/>
          </w:tcPr>
          <w:p w14:paraId="7A0DC1DA" w14:textId="7268F5AA" w:rsidR="00CE7785" w:rsidRPr="00CE7785" w:rsidRDefault="00CE7785" w:rsidP="00CE7785">
            <w:pPr>
              <w:jc w:val="center"/>
              <w:rPr>
                <w:rFonts w:ascii="Calibri" w:hAnsi="Calibri" w:cs="Calibri"/>
                <w:b/>
                <w:bCs/>
                <w:color w:val="000000"/>
                <w:szCs w:val="20"/>
                <w:lang w:val="en-CA" w:eastAsia="en-CA"/>
              </w:rPr>
            </w:pPr>
            <w:r w:rsidRPr="00CE7785">
              <w:rPr>
                <w:rFonts w:ascii="Calibri" w:hAnsi="Calibri" w:cs="Calibri"/>
                <w:b/>
                <w:bCs/>
                <w:color w:val="000000"/>
                <w:szCs w:val="20"/>
                <w:lang w:val="en-CA" w:eastAsia="en-CA"/>
              </w:rPr>
              <w:t>1.36</w:t>
            </w:r>
          </w:p>
        </w:tc>
        <w:tc>
          <w:tcPr>
            <w:tcW w:w="1399" w:type="dxa"/>
            <w:tcBorders>
              <w:top w:val="single" w:sz="4" w:space="0" w:color="auto"/>
              <w:left w:val="nil"/>
              <w:bottom w:val="single" w:sz="12" w:space="0" w:color="auto"/>
              <w:right w:val="nil"/>
            </w:tcBorders>
            <w:shd w:val="clear" w:color="auto" w:fill="auto"/>
            <w:noWrap/>
            <w:vAlign w:val="bottom"/>
            <w:hideMark/>
          </w:tcPr>
          <w:p w14:paraId="7CD2CCBD" w14:textId="4B371802" w:rsidR="00CE7785" w:rsidRPr="00CE7785" w:rsidRDefault="00CE7785" w:rsidP="00CE7785">
            <w:pPr>
              <w:jc w:val="center"/>
              <w:rPr>
                <w:rFonts w:ascii="Calibri" w:hAnsi="Calibri" w:cs="Calibri"/>
                <w:b/>
                <w:bCs/>
                <w:color w:val="000000"/>
                <w:szCs w:val="20"/>
                <w:lang w:val="en-CA" w:eastAsia="en-CA"/>
              </w:rPr>
            </w:pPr>
            <w:r w:rsidRPr="00CE7785">
              <w:rPr>
                <w:rFonts w:ascii="Calibri" w:hAnsi="Calibri" w:cs="Calibri"/>
                <w:b/>
                <w:bCs/>
                <w:color w:val="000000"/>
                <w:szCs w:val="20"/>
                <w:lang w:val="en-CA" w:eastAsia="en-CA"/>
              </w:rPr>
              <w:t>1.35</w:t>
            </w:r>
          </w:p>
        </w:tc>
        <w:tc>
          <w:tcPr>
            <w:tcW w:w="1396" w:type="dxa"/>
            <w:tcBorders>
              <w:top w:val="single" w:sz="4" w:space="0" w:color="auto"/>
              <w:left w:val="nil"/>
              <w:bottom w:val="single" w:sz="12" w:space="0" w:color="auto"/>
              <w:right w:val="nil"/>
            </w:tcBorders>
            <w:shd w:val="clear" w:color="auto" w:fill="auto"/>
            <w:noWrap/>
            <w:vAlign w:val="bottom"/>
            <w:hideMark/>
          </w:tcPr>
          <w:p w14:paraId="3E057B4D" w14:textId="03F1E496" w:rsidR="00CE7785" w:rsidRPr="00CE7785" w:rsidRDefault="00CE7785" w:rsidP="00CE7785">
            <w:pPr>
              <w:jc w:val="center"/>
              <w:rPr>
                <w:rFonts w:ascii="Calibri" w:hAnsi="Calibri" w:cs="Calibri"/>
                <w:color w:val="000000"/>
                <w:szCs w:val="20"/>
                <w:lang w:val="en-CA" w:eastAsia="en-CA"/>
              </w:rPr>
            </w:pPr>
            <w:r w:rsidRPr="00CE7785">
              <w:rPr>
                <w:rFonts w:ascii="Calibri" w:hAnsi="Calibri" w:cs="Calibri"/>
                <w:color w:val="000000"/>
                <w:szCs w:val="20"/>
                <w:lang w:val="en-CA" w:eastAsia="en-CA"/>
              </w:rPr>
              <w:t>1.32</w:t>
            </w:r>
          </w:p>
        </w:tc>
        <w:tc>
          <w:tcPr>
            <w:tcW w:w="1396" w:type="dxa"/>
            <w:tcBorders>
              <w:top w:val="single" w:sz="4" w:space="0" w:color="auto"/>
              <w:left w:val="nil"/>
              <w:bottom w:val="single" w:sz="12" w:space="0" w:color="auto"/>
              <w:right w:val="nil"/>
            </w:tcBorders>
            <w:shd w:val="clear" w:color="auto" w:fill="auto"/>
            <w:noWrap/>
            <w:vAlign w:val="bottom"/>
            <w:hideMark/>
          </w:tcPr>
          <w:p w14:paraId="73581090" w14:textId="7AADAFD7" w:rsidR="00CE7785" w:rsidRPr="00CE7785" w:rsidRDefault="00CE7785" w:rsidP="00CE7785">
            <w:pPr>
              <w:jc w:val="center"/>
              <w:rPr>
                <w:rFonts w:ascii="Calibri" w:hAnsi="Calibri" w:cs="Calibri"/>
                <w:color w:val="000000"/>
                <w:szCs w:val="20"/>
                <w:lang w:val="en-CA" w:eastAsia="en-CA"/>
              </w:rPr>
            </w:pPr>
            <w:r w:rsidRPr="00CE7785">
              <w:rPr>
                <w:rFonts w:ascii="Calibri" w:hAnsi="Calibri" w:cs="Calibri"/>
                <w:color w:val="000000"/>
                <w:szCs w:val="20"/>
                <w:lang w:val="en-CA" w:eastAsia="en-CA"/>
              </w:rPr>
              <w:t>1.34</w:t>
            </w:r>
          </w:p>
        </w:tc>
      </w:tr>
    </w:tbl>
    <w:p w14:paraId="34373DBF" w14:textId="09B4C987" w:rsidR="00BD4A3B" w:rsidRPr="00FC2211" w:rsidRDefault="00BD4A3B" w:rsidP="00BD4A3B">
      <w:pPr>
        <w:ind w:left="737"/>
        <w:contextualSpacing/>
        <w:rPr>
          <w:rFonts w:cstheme="minorHAnsi"/>
          <w:szCs w:val="20"/>
          <w:lang w:val="en-GB"/>
        </w:rPr>
      </w:pPr>
    </w:p>
    <w:p w14:paraId="60C67A40" w14:textId="77777777" w:rsidR="00467F1E" w:rsidRDefault="00467F1E" w:rsidP="00F97255">
      <w:pPr>
        <w:ind w:left="737"/>
        <w:contextualSpacing/>
        <w:jc w:val="both"/>
        <w:rPr>
          <w:rFonts w:cstheme="minorHAnsi"/>
          <w:szCs w:val="20"/>
          <w:lang w:val="en-GB"/>
        </w:rPr>
      </w:pPr>
    </w:p>
    <w:p w14:paraId="7B15E55F" w14:textId="505F3986" w:rsidR="00F97255" w:rsidRPr="00FC2211" w:rsidRDefault="00F97255" w:rsidP="00F97255">
      <w:pPr>
        <w:ind w:left="737"/>
        <w:contextualSpacing/>
        <w:jc w:val="both"/>
        <w:rPr>
          <w:rFonts w:cstheme="minorHAnsi"/>
          <w:szCs w:val="20"/>
          <w:lang w:val="en-GB"/>
        </w:rPr>
      </w:pPr>
      <w:r w:rsidRPr="00FC2211">
        <w:rPr>
          <w:rFonts w:cstheme="minorHAnsi"/>
          <w:szCs w:val="20"/>
          <w:lang w:val="en-GB"/>
        </w:rPr>
        <w:t xml:space="preserve">A 5% change in the U.S. dollar </w:t>
      </w:r>
      <w:r w:rsidR="00AD5ADB" w:rsidRPr="00FC2211">
        <w:rPr>
          <w:rFonts w:cstheme="minorHAnsi"/>
          <w:szCs w:val="20"/>
          <w:lang w:val="en-GB"/>
        </w:rPr>
        <w:t>would have</w:t>
      </w:r>
      <w:r w:rsidRPr="00FC2211">
        <w:rPr>
          <w:rFonts w:cstheme="minorHAnsi"/>
          <w:szCs w:val="20"/>
          <w:lang w:val="en-GB"/>
        </w:rPr>
        <w:t xml:space="preserve"> </w:t>
      </w:r>
      <w:r w:rsidR="00136C14" w:rsidRPr="00FC2211">
        <w:rPr>
          <w:rFonts w:cstheme="minorHAnsi"/>
          <w:szCs w:val="20"/>
          <w:lang w:val="en-GB"/>
        </w:rPr>
        <w:t xml:space="preserve">increased or decreased </w:t>
      </w:r>
      <w:r w:rsidRPr="00FC2211">
        <w:rPr>
          <w:rFonts w:cstheme="minorHAnsi"/>
          <w:szCs w:val="20"/>
          <w:lang w:val="en-GB"/>
        </w:rPr>
        <w:t xml:space="preserve">the </w:t>
      </w:r>
      <w:r w:rsidR="00F84781" w:rsidRPr="00FC2211">
        <w:rPr>
          <w:rFonts w:cstheme="minorHAnsi"/>
          <w:szCs w:val="20"/>
          <w:lang w:val="en-GB"/>
        </w:rPr>
        <w:t>C</w:t>
      </w:r>
      <w:r w:rsidRPr="00FC2211">
        <w:rPr>
          <w:rFonts w:cstheme="minorHAnsi"/>
          <w:szCs w:val="20"/>
          <w:lang w:val="en-GB"/>
        </w:rPr>
        <w:t>ompany’s profit or loss</w:t>
      </w:r>
      <w:r w:rsidR="00136C14" w:rsidRPr="00FC2211">
        <w:rPr>
          <w:rFonts w:cstheme="minorHAnsi"/>
          <w:szCs w:val="20"/>
          <w:lang w:val="en-GB"/>
        </w:rPr>
        <w:t xml:space="preserve"> </w:t>
      </w:r>
      <w:r w:rsidR="001F5942" w:rsidRPr="00FC2211">
        <w:rPr>
          <w:rFonts w:cstheme="minorHAnsi"/>
          <w:szCs w:val="20"/>
          <w:lang w:val="en-GB"/>
        </w:rPr>
        <w:t xml:space="preserve">for the </w:t>
      </w:r>
      <w:r w:rsidR="00AD1158">
        <w:rPr>
          <w:rFonts w:cstheme="minorHAnsi"/>
          <w:szCs w:val="20"/>
          <w:lang w:val="en-GB"/>
        </w:rPr>
        <w:t>nine</w:t>
      </w:r>
      <w:r w:rsidR="001F5942" w:rsidRPr="00FC2211">
        <w:rPr>
          <w:rFonts w:cstheme="minorHAnsi"/>
          <w:szCs w:val="20"/>
          <w:lang w:val="en-GB"/>
        </w:rPr>
        <w:t xml:space="preserve"> months ended </w:t>
      </w:r>
      <w:r w:rsidR="00AD1158">
        <w:rPr>
          <w:rFonts w:cstheme="minorHAnsi"/>
          <w:szCs w:val="20"/>
          <w:lang w:val="en-GB"/>
        </w:rPr>
        <w:t>March 31, 2024</w:t>
      </w:r>
      <w:r w:rsidR="001F5942" w:rsidRPr="00FC2211">
        <w:rPr>
          <w:rFonts w:cstheme="minorHAnsi"/>
          <w:szCs w:val="20"/>
          <w:lang w:val="en-GB"/>
        </w:rPr>
        <w:t xml:space="preserve"> </w:t>
      </w:r>
      <w:r w:rsidR="00136C14" w:rsidRPr="00FC2211">
        <w:rPr>
          <w:rFonts w:cstheme="minorHAnsi"/>
          <w:szCs w:val="20"/>
          <w:lang w:val="en-GB"/>
        </w:rPr>
        <w:t>by $</w:t>
      </w:r>
      <w:r w:rsidR="001F6FBB">
        <w:rPr>
          <w:rFonts w:cstheme="minorHAnsi"/>
          <w:szCs w:val="20"/>
          <w:lang w:val="en-GB"/>
        </w:rPr>
        <w:t>11,821</w:t>
      </w:r>
      <w:r w:rsidRPr="00FC2211">
        <w:rPr>
          <w:rFonts w:cstheme="minorHAnsi"/>
          <w:szCs w:val="20"/>
          <w:lang w:val="en-GB"/>
        </w:rPr>
        <w:t>.</w:t>
      </w:r>
    </w:p>
    <w:p w14:paraId="0D138A90" w14:textId="77777777" w:rsidR="000516F9" w:rsidRPr="00FC2211" w:rsidRDefault="000516F9" w:rsidP="003B026D">
      <w:pPr>
        <w:rPr>
          <w:b/>
          <w:bCs/>
          <w:lang w:val="en-GB"/>
        </w:rPr>
      </w:pPr>
    </w:p>
    <w:p w14:paraId="7AD64CD7" w14:textId="77777777" w:rsidR="00837F8E" w:rsidRPr="00FC2211" w:rsidRDefault="00837F8E" w:rsidP="00837F8E">
      <w:pPr>
        <w:numPr>
          <w:ilvl w:val="0"/>
          <w:numId w:val="44"/>
        </w:numPr>
        <w:ind w:left="709" w:firstLine="0"/>
        <w:contextualSpacing/>
        <w:rPr>
          <w:rFonts w:cstheme="minorHAnsi"/>
          <w:b/>
          <w:szCs w:val="20"/>
        </w:rPr>
      </w:pPr>
      <w:r w:rsidRPr="00FC2211">
        <w:rPr>
          <w:rFonts w:cstheme="minorHAnsi"/>
          <w:b/>
          <w:szCs w:val="20"/>
        </w:rPr>
        <w:t>Interest rate risk</w:t>
      </w:r>
    </w:p>
    <w:p w14:paraId="0A4EC4F3" w14:textId="77777777" w:rsidR="00837F8E" w:rsidRPr="00FC2211" w:rsidRDefault="00837F8E" w:rsidP="00837F8E">
      <w:pPr>
        <w:ind w:left="709"/>
        <w:contextualSpacing/>
        <w:rPr>
          <w:rFonts w:cstheme="minorHAnsi"/>
          <w:b/>
          <w:szCs w:val="20"/>
        </w:rPr>
      </w:pPr>
    </w:p>
    <w:p w14:paraId="33F500F8" w14:textId="65BD5831" w:rsidR="000516F9" w:rsidRPr="00FC2211" w:rsidRDefault="00837F8E" w:rsidP="00837F8E">
      <w:pPr>
        <w:ind w:left="709"/>
        <w:rPr>
          <w:b/>
          <w:bCs/>
          <w:lang w:val="en-GB"/>
        </w:rPr>
      </w:pPr>
      <w:r w:rsidRPr="00FC2211">
        <w:rPr>
          <w:rFonts w:cstheme="minorHAnsi"/>
          <w:szCs w:val="20"/>
          <w:lang w:val="en-GB"/>
        </w:rPr>
        <w:t xml:space="preserve">Interest rate risk is the risk that future cash flows will fluctuate due to changes in market interest rates. </w:t>
      </w:r>
      <w:r w:rsidR="0008471A" w:rsidRPr="00FC2211">
        <w:rPr>
          <w:rFonts w:cstheme="minorHAnsi"/>
          <w:szCs w:val="20"/>
          <w:lang w:val="en-GB"/>
        </w:rPr>
        <w:t xml:space="preserve">As at </w:t>
      </w:r>
      <w:r w:rsidR="002425FF">
        <w:rPr>
          <w:rFonts w:cstheme="minorHAnsi"/>
          <w:szCs w:val="20"/>
          <w:lang w:val="en-GB"/>
        </w:rPr>
        <w:t>March 31, 2024</w:t>
      </w:r>
      <w:r w:rsidR="0008471A" w:rsidRPr="00FC2211">
        <w:rPr>
          <w:rFonts w:cstheme="minorHAnsi"/>
          <w:szCs w:val="20"/>
          <w:lang w:val="en-GB"/>
        </w:rPr>
        <w:t>, t</w:t>
      </w:r>
      <w:r w:rsidR="00057980" w:rsidRPr="00FC2211">
        <w:rPr>
          <w:rFonts w:cstheme="minorHAnsi"/>
          <w:szCs w:val="20"/>
          <w:lang w:val="en-GB"/>
        </w:rPr>
        <w:t>he Company is expose</w:t>
      </w:r>
      <w:r w:rsidR="00DB799B" w:rsidRPr="00FC2211">
        <w:rPr>
          <w:rFonts w:cstheme="minorHAnsi"/>
          <w:szCs w:val="20"/>
          <w:lang w:val="en-GB"/>
        </w:rPr>
        <w:t>d</w:t>
      </w:r>
      <w:r w:rsidR="00057980" w:rsidRPr="00FC2211">
        <w:rPr>
          <w:rFonts w:cstheme="minorHAnsi"/>
          <w:szCs w:val="20"/>
          <w:lang w:val="en-GB"/>
        </w:rPr>
        <w:t xml:space="preserve"> to </w:t>
      </w:r>
      <w:r w:rsidR="00DB799B" w:rsidRPr="00FC2211">
        <w:rPr>
          <w:rFonts w:cstheme="minorHAnsi"/>
          <w:szCs w:val="20"/>
          <w:lang w:val="en-GB"/>
        </w:rPr>
        <w:t xml:space="preserve">interest rate </w:t>
      </w:r>
      <w:r w:rsidR="00057980" w:rsidRPr="00FC2211">
        <w:rPr>
          <w:rFonts w:cstheme="minorHAnsi"/>
          <w:szCs w:val="20"/>
          <w:lang w:val="en-GB"/>
        </w:rPr>
        <w:t xml:space="preserve">risks </w:t>
      </w:r>
      <w:r w:rsidR="00DB799B" w:rsidRPr="00FC2211">
        <w:rPr>
          <w:rFonts w:cstheme="minorHAnsi"/>
          <w:szCs w:val="20"/>
          <w:lang w:val="en-GB"/>
        </w:rPr>
        <w:t xml:space="preserve">primarily on the floating interest rate </w:t>
      </w:r>
      <w:r w:rsidR="003B37DC" w:rsidRPr="00FC2211">
        <w:rPr>
          <w:rFonts w:cstheme="minorHAnsi"/>
          <w:szCs w:val="20"/>
          <w:lang w:val="en-GB"/>
        </w:rPr>
        <w:t xml:space="preserve">corresponding to $350,000 </w:t>
      </w:r>
      <w:r w:rsidR="002D6B31" w:rsidRPr="00FC2211">
        <w:rPr>
          <w:rFonts w:cstheme="minorHAnsi"/>
          <w:szCs w:val="20"/>
          <w:lang w:val="en-GB"/>
        </w:rPr>
        <w:t>long-term bank loan with BDC (see Note 1</w:t>
      </w:r>
      <w:r w:rsidR="001F6FBB">
        <w:rPr>
          <w:rFonts w:cstheme="minorHAnsi"/>
          <w:szCs w:val="20"/>
          <w:lang w:val="en-GB"/>
        </w:rPr>
        <w:t>4</w:t>
      </w:r>
      <w:r w:rsidR="002D6B31" w:rsidRPr="00FC2211">
        <w:rPr>
          <w:rFonts w:cstheme="minorHAnsi"/>
          <w:szCs w:val="20"/>
          <w:lang w:val="en-GB"/>
        </w:rPr>
        <w:t>)</w:t>
      </w:r>
      <w:r w:rsidR="002A51FC" w:rsidRPr="00FC2211">
        <w:rPr>
          <w:rFonts w:cstheme="minorHAnsi"/>
          <w:szCs w:val="20"/>
          <w:lang w:val="en-GB"/>
        </w:rPr>
        <w:t>.</w:t>
      </w:r>
      <w:r w:rsidR="004C618E" w:rsidRPr="00FC2211">
        <w:rPr>
          <w:rFonts w:cstheme="minorHAnsi"/>
          <w:szCs w:val="20"/>
          <w:lang w:val="en-GB"/>
        </w:rPr>
        <w:t xml:space="preserve"> A hypothetical 1% increase</w:t>
      </w:r>
      <w:r w:rsidR="00585979" w:rsidRPr="00FC2211">
        <w:rPr>
          <w:rFonts w:cstheme="minorHAnsi"/>
          <w:szCs w:val="20"/>
          <w:lang w:val="en-GB"/>
        </w:rPr>
        <w:t xml:space="preserve"> or decrease</w:t>
      </w:r>
      <w:r w:rsidR="004C618E" w:rsidRPr="00FC2211">
        <w:rPr>
          <w:rFonts w:cstheme="minorHAnsi"/>
          <w:szCs w:val="20"/>
          <w:lang w:val="en-GB"/>
        </w:rPr>
        <w:t xml:space="preserve"> in interest rate, with all other variables held constant, </w:t>
      </w:r>
      <w:r w:rsidR="00585979" w:rsidRPr="00FC2211">
        <w:rPr>
          <w:rFonts w:cstheme="minorHAnsi"/>
          <w:szCs w:val="20"/>
          <w:lang w:val="en-GB"/>
        </w:rPr>
        <w:t>would have a nominal impact on the Company’s profit or loss.</w:t>
      </w:r>
    </w:p>
    <w:p w14:paraId="053F96AC" w14:textId="77777777" w:rsidR="004164E5" w:rsidRPr="00FC2211" w:rsidRDefault="004164E5" w:rsidP="00C73231">
      <w:pPr>
        <w:ind w:left="737"/>
        <w:contextualSpacing/>
        <w:jc w:val="both"/>
        <w:rPr>
          <w:rFonts w:cstheme="minorHAnsi"/>
          <w:szCs w:val="20"/>
          <w:lang w:val="en-GB"/>
        </w:rPr>
      </w:pPr>
    </w:p>
    <w:p w14:paraId="5CDA6198" w14:textId="77777777" w:rsidR="00E828C8" w:rsidRPr="00FC2211" w:rsidRDefault="00E828C8" w:rsidP="00E828C8">
      <w:pPr>
        <w:ind w:left="566" w:firstLine="144"/>
        <w:rPr>
          <w:b/>
          <w:bCs/>
          <w:lang w:val="en-CA"/>
        </w:rPr>
      </w:pPr>
      <w:r w:rsidRPr="00FC2211">
        <w:rPr>
          <w:b/>
          <w:bCs/>
          <w:lang w:val="en-GB"/>
        </w:rPr>
        <w:t>(iii)  Price risk</w:t>
      </w:r>
    </w:p>
    <w:p w14:paraId="40DEF476" w14:textId="77777777" w:rsidR="00E828C8" w:rsidRPr="00FC2211" w:rsidRDefault="00E828C8" w:rsidP="00E828C8">
      <w:pPr>
        <w:ind w:left="710"/>
        <w:rPr>
          <w:lang w:val="en-CA"/>
        </w:rPr>
      </w:pPr>
    </w:p>
    <w:p w14:paraId="44553074" w14:textId="77777777" w:rsidR="00E828C8" w:rsidRPr="00FC2211" w:rsidRDefault="00E828C8" w:rsidP="00E828C8">
      <w:pPr>
        <w:ind w:left="710"/>
        <w:jc w:val="both"/>
        <w:rPr>
          <w:lang w:val="en-CA"/>
        </w:rPr>
      </w:pPr>
      <w:r w:rsidRPr="00FC2211">
        <w:rPr>
          <w:lang w:val="en-CA"/>
        </w:rPr>
        <w:t xml:space="preserve">Equity price risk is defined as the potential adverse impact on the Company’s earnings due to movements in individual equity prices or general movements in the level of the stock market. The Company does not hold any securities or investments which could expose it to stock prices volatility. </w:t>
      </w:r>
    </w:p>
    <w:p w14:paraId="11192E21" w14:textId="77777777" w:rsidR="00622C33" w:rsidRDefault="00622C33" w:rsidP="00E74921">
      <w:pPr>
        <w:ind w:left="566" w:firstLine="144"/>
        <w:rPr>
          <w:b/>
          <w:bCs/>
          <w:lang w:val="en-GB"/>
        </w:rPr>
      </w:pPr>
    </w:p>
    <w:p w14:paraId="5F4A0BBA" w14:textId="77777777" w:rsidR="0022602A" w:rsidRPr="00FC2211" w:rsidRDefault="0022602A" w:rsidP="00E74921">
      <w:pPr>
        <w:ind w:left="566" w:firstLine="144"/>
        <w:rPr>
          <w:b/>
          <w:bCs/>
          <w:lang w:val="en-GB"/>
        </w:rPr>
      </w:pPr>
    </w:p>
    <w:p w14:paraId="63CF40C4" w14:textId="77777777" w:rsidR="00622C33" w:rsidRPr="00FC2211" w:rsidRDefault="00622C33" w:rsidP="00E74921">
      <w:pPr>
        <w:ind w:left="566" w:firstLine="144"/>
        <w:rPr>
          <w:b/>
          <w:bCs/>
          <w:lang w:val="en-GB"/>
        </w:rPr>
      </w:pPr>
    </w:p>
    <w:p w14:paraId="333BC1E7" w14:textId="7436EFFE" w:rsidR="00622C33" w:rsidRPr="00FC2211" w:rsidRDefault="00CC1E02" w:rsidP="00622C33">
      <w:pPr>
        <w:pStyle w:val="Heading1"/>
        <w:rPr>
          <w:rFonts w:cstheme="minorHAnsi"/>
          <w:szCs w:val="20"/>
          <w:lang w:val="en-GB"/>
        </w:rPr>
      </w:pPr>
      <w:r>
        <w:rPr>
          <w:rFonts w:cstheme="minorHAnsi"/>
          <w:szCs w:val="20"/>
          <w:lang w:val="en-GB"/>
        </w:rPr>
        <w:lastRenderedPageBreak/>
        <w:t>20</w:t>
      </w:r>
      <w:r w:rsidR="00622C33" w:rsidRPr="00FC2211">
        <w:rPr>
          <w:rFonts w:cstheme="minorHAnsi"/>
          <w:szCs w:val="20"/>
          <w:lang w:val="en-GB"/>
        </w:rPr>
        <w:t>.   FINANCIAL INSTRUMENTS AND RISK MANAGEMENT (CONTINUED)</w:t>
      </w:r>
    </w:p>
    <w:p w14:paraId="58C7C773" w14:textId="77777777" w:rsidR="00D628B2" w:rsidRPr="00FC2211" w:rsidRDefault="00D628B2" w:rsidP="00D02C78">
      <w:pPr>
        <w:ind w:left="710"/>
        <w:jc w:val="both"/>
        <w:rPr>
          <w:lang w:val="en-CA"/>
        </w:rPr>
      </w:pPr>
    </w:p>
    <w:p w14:paraId="711715EE" w14:textId="77777777" w:rsidR="00506AE2" w:rsidRPr="00FC2211" w:rsidRDefault="00506AE2" w:rsidP="00506AE2">
      <w:pPr>
        <w:ind w:left="360" w:firstLine="66"/>
        <w:contextualSpacing/>
        <w:rPr>
          <w:rFonts w:cstheme="minorHAnsi"/>
          <w:b/>
          <w:szCs w:val="20"/>
        </w:rPr>
      </w:pPr>
      <w:r w:rsidRPr="00FC2211">
        <w:rPr>
          <w:rFonts w:cstheme="minorHAnsi"/>
          <w:b/>
          <w:szCs w:val="20"/>
        </w:rPr>
        <w:t xml:space="preserve">c) </w:t>
      </w:r>
      <w:r w:rsidRPr="00FC2211">
        <w:rPr>
          <w:rFonts w:cstheme="minorHAnsi"/>
          <w:b/>
          <w:szCs w:val="20"/>
        </w:rPr>
        <w:tab/>
        <w:t>Credit risk</w:t>
      </w:r>
    </w:p>
    <w:p w14:paraId="1DB14260" w14:textId="77777777" w:rsidR="00506AE2" w:rsidRPr="00FC2211" w:rsidRDefault="00506AE2" w:rsidP="00506AE2">
      <w:pPr>
        <w:ind w:left="720"/>
        <w:rPr>
          <w:rFonts w:cstheme="minorHAnsi"/>
          <w:szCs w:val="20"/>
        </w:rPr>
      </w:pPr>
    </w:p>
    <w:p w14:paraId="344C1A8B" w14:textId="77777777" w:rsidR="00506AE2" w:rsidRPr="00FC2211" w:rsidRDefault="00506AE2" w:rsidP="00D02C78">
      <w:pPr>
        <w:ind w:left="737"/>
        <w:contextualSpacing/>
        <w:jc w:val="both"/>
        <w:rPr>
          <w:rFonts w:cstheme="minorHAnsi"/>
          <w:szCs w:val="20"/>
          <w:lang w:val="en-GB"/>
        </w:rPr>
      </w:pPr>
      <w:r w:rsidRPr="00FC2211">
        <w:rPr>
          <w:rFonts w:cstheme="minorHAnsi"/>
          <w:szCs w:val="20"/>
          <w:lang w:val="en-GB"/>
        </w:rPr>
        <w:t xml:space="preserve">Credit risk is the risk of an unexpected loss if a customer or third party to a financial instrument fails to meet its contractual obligations. </w:t>
      </w:r>
    </w:p>
    <w:p w14:paraId="66A30CC7" w14:textId="77777777" w:rsidR="00506AE2" w:rsidRPr="00FC2211" w:rsidRDefault="00506AE2" w:rsidP="00D02C78">
      <w:pPr>
        <w:ind w:left="737"/>
        <w:contextualSpacing/>
        <w:jc w:val="both"/>
        <w:rPr>
          <w:rFonts w:cstheme="minorHAnsi"/>
          <w:szCs w:val="20"/>
          <w:lang w:val="en-GB"/>
        </w:rPr>
      </w:pPr>
    </w:p>
    <w:p w14:paraId="182E16AC" w14:textId="34A906AE" w:rsidR="00506AE2" w:rsidRPr="00FC2211" w:rsidRDefault="00506AE2" w:rsidP="00D02C78">
      <w:pPr>
        <w:ind w:left="737"/>
        <w:contextualSpacing/>
        <w:jc w:val="both"/>
        <w:rPr>
          <w:rFonts w:cstheme="minorHAnsi"/>
          <w:szCs w:val="20"/>
          <w:lang w:val="en-GB"/>
        </w:rPr>
      </w:pPr>
      <w:r w:rsidRPr="00FC2211">
        <w:rPr>
          <w:rFonts w:cstheme="minorHAnsi"/>
          <w:szCs w:val="20"/>
          <w:lang w:val="en-GB"/>
        </w:rPr>
        <w:t xml:space="preserve">All </w:t>
      </w:r>
      <w:r w:rsidR="00C83304" w:rsidRPr="00FC2211">
        <w:rPr>
          <w:rFonts w:cstheme="minorHAnsi"/>
          <w:szCs w:val="20"/>
          <w:lang w:val="en-GB"/>
        </w:rPr>
        <w:t xml:space="preserve">of </w:t>
      </w:r>
      <w:r w:rsidRPr="00FC2211">
        <w:rPr>
          <w:rFonts w:cstheme="minorHAnsi"/>
          <w:szCs w:val="20"/>
          <w:lang w:val="en-GB"/>
        </w:rPr>
        <w:t>the Company’s cash is held through Canadian chartered banks</w:t>
      </w:r>
      <w:r w:rsidR="00C83304" w:rsidRPr="00FC2211">
        <w:rPr>
          <w:rFonts w:cstheme="minorHAnsi"/>
          <w:szCs w:val="20"/>
          <w:lang w:val="en-GB"/>
        </w:rPr>
        <w:t>; accordingly</w:t>
      </w:r>
      <w:r w:rsidRPr="00FC2211">
        <w:rPr>
          <w:rFonts w:cstheme="minorHAnsi"/>
          <w:szCs w:val="20"/>
          <w:lang w:val="en-GB"/>
        </w:rPr>
        <w:t>, the Company’s exposure to credit risk is limited. The Company’s GST recoverable are refunds due from the Government of Canada</w:t>
      </w:r>
      <w:r w:rsidR="00C83304" w:rsidRPr="00FC2211">
        <w:rPr>
          <w:rFonts w:cstheme="minorHAnsi"/>
          <w:szCs w:val="20"/>
          <w:lang w:val="en-GB"/>
        </w:rPr>
        <w:t>,</w:t>
      </w:r>
      <w:r w:rsidRPr="00FC2211">
        <w:rPr>
          <w:rFonts w:cstheme="minorHAnsi"/>
          <w:szCs w:val="20"/>
          <w:lang w:val="en-GB"/>
        </w:rPr>
        <w:t xml:space="preserve"> and the exposure to credit risk on these amounts </w:t>
      </w:r>
      <w:r w:rsidR="00C83304" w:rsidRPr="00FC2211">
        <w:rPr>
          <w:rFonts w:cstheme="minorHAnsi"/>
          <w:szCs w:val="20"/>
          <w:lang w:val="en-GB"/>
        </w:rPr>
        <w:t>is</w:t>
      </w:r>
      <w:r w:rsidRPr="00FC2211">
        <w:rPr>
          <w:rFonts w:cstheme="minorHAnsi"/>
          <w:szCs w:val="20"/>
          <w:lang w:val="en-GB"/>
        </w:rPr>
        <w:t xml:space="preserve"> considered limited. </w:t>
      </w:r>
    </w:p>
    <w:p w14:paraId="3B2878EF" w14:textId="77777777" w:rsidR="00506AE2" w:rsidRPr="00FC2211" w:rsidRDefault="00506AE2" w:rsidP="00D02C78">
      <w:pPr>
        <w:ind w:left="737"/>
        <w:contextualSpacing/>
        <w:jc w:val="both"/>
        <w:rPr>
          <w:rFonts w:cstheme="minorHAnsi"/>
          <w:szCs w:val="20"/>
          <w:lang w:val="en-GB"/>
        </w:rPr>
      </w:pPr>
    </w:p>
    <w:p w14:paraId="1AB4485C" w14:textId="5776E214" w:rsidR="00506AE2" w:rsidRPr="00FC2211" w:rsidRDefault="00506AE2" w:rsidP="00D02C78">
      <w:pPr>
        <w:ind w:left="737"/>
        <w:contextualSpacing/>
        <w:jc w:val="both"/>
        <w:rPr>
          <w:rFonts w:cstheme="minorHAnsi"/>
          <w:szCs w:val="20"/>
          <w:lang w:val="en-GB"/>
        </w:rPr>
      </w:pPr>
      <w:r w:rsidRPr="00FC2211">
        <w:rPr>
          <w:rFonts w:cstheme="minorHAnsi"/>
          <w:szCs w:val="20"/>
          <w:lang w:val="en-GB"/>
        </w:rPr>
        <w:t xml:space="preserve">The Company’s accounts receivable </w:t>
      </w:r>
      <w:r w:rsidR="00C83304" w:rsidRPr="00FC2211">
        <w:rPr>
          <w:rFonts w:cstheme="minorHAnsi"/>
          <w:szCs w:val="20"/>
          <w:lang w:val="en-GB"/>
        </w:rPr>
        <w:t>consist</w:t>
      </w:r>
      <w:r w:rsidRPr="00FC2211">
        <w:rPr>
          <w:rFonts w:cstheme="minorHAnsi"/>
          <w:szCs w:val="20"/>
          <w:lang w:val="en-GB"/>
        </w:rPr>
        <w:t xml:space="preserve"> of amounts due from various customers. The maximum exposure to credit risk is equal to the carrying value of accounts receivable. The business models of the Company’s respective segments require </w:t>
      </w:r>
      <w:r w:rsidR="00C83304" w:rsidRPr="00FC2211">
        <w:rPr>
          <w:rFonts w:cstheme="minorHAnsi"/>
          <w:szCs w:val="20"/>
          <w:lang w:val="en-GB"/>
        </w:rPr>
        <w:t>credit risk analysis</w:t>
      </w:r>
      <w:r w:rsidRPr="00FC2211">
        <w:rPr>
          <w:rFonts w:cstheme="minorHAnsi"/>
          <w:szCs w:val="20"/>
          <w:lang w:val="en-GB"/>
        </w:rPr>
        <w:t xml:space="preserve"> specific to each business line. The Company’s historic rate of bad debts is low. </w:t>
      </w:r>
    </w:p>
    <w:p w14:paraId="1148BB9B" w14:textId="77777777" w:rsidR="00506AE2" w:rsidRPr="00FC2211" w:rsidRDefault="00506AE2" w:rsidP="00D02C78">
      <w:pPr>
        <w:ind w:left="737"/>
        <w:contextualSpacing/>
        <w:jc w:val="both"/>
        <w:rPr>
          <w:rFonts w:cstheme="minorHAnsi"/>
          <w:szCs w:val="20"/>
          <w:lang w:val="en-GB"/>
        </w:rPr>
      </w:pPr>
    </w:p>
    <w:p w14:paraId="2E51D60B" w14:textId="0AACC58C" w:rsidR="00506AE2" w:rsidRPr="00FC2211" w:rsidRDefault="00506AE2" w:rsidP="00D02C78">
      <w:pPr>
        <w:ind w:left="710" w:firstLine="27"/>
        <w:jc w:val="both"/>
        <w:rPr>
          <w:rFonts w:cstheme="minorHAnsi"/>
          <w:szCs w:val="20"/>
          <w:lang w:val="en-GB"/>
        </w:rPr>
      </w:pPr>
      <w:r w:rsidRPr="00FC2211">
        <w:rPr>
          <w:rFonts w:cstheme="minorHAnsi"/>
          <w:szCs w:val="20"/>
          <w:lang w:val="en-GB"/>
        </w:rPr>
        <w:t xml:space="preserve">The Company applies the simplified approach to providing for expected credit losses prescribed by IFRS </w:t>
      </w:r>
      <w:r w:rsidR="003B303B" w:rsidRPr="00FC2211">
        <w:rPr>
          <w:rFonts w:cstheme="minorHAnsi"/>
          <w:szCs w:val="20"/>
          <w:lang w:val="en-GB"/>
        </w:rPr>
        <w:t>9,</w:t>
      </w:r>
      <w:r w:rsidR="00D02C78" w:rsidRPr="00FC2211">
        <w:rPr>
          <w:rFonts w:cstheme="minorHAnsi"/>
          <w:szCs w:val="20"/>
          <w:lang w:val="en-GB"/>
        </w:rPr>
        <w:t xml:space="preserve"> </w:t>
      </w:r>
      <w:r w:rsidRPr="00FC2211">
        <w:rPr>
          <w:rFonts w:cstheme="minorHAnsi"/>
          <w:szCs w:val="20"/>
          <w:lang w:val="en-GB"/>
        </w:rPr>
        <w:t xml:space="preserve">which permits </w:t>
      </w:r>
      <w:r w:rsidR="00C83304" w:rsidRPr="00FC2211">
        <w:rPr>
          <w:rFonts w:cstheme="minorHAnsi"/>
          <w:szCs w:val="20"/>
          <w:lang w:val="en-GB"/>
        </w:rPr>
        <w:t>using</w:t>
      </w:r>
      <w:r w:rsidRPr="00FC2211">
        <w:rPr>
          <w:rFonts w:cstheme="minorHAnsi"/>
          <w:szCs w:val="20"/>
          <w:lang w:val="en-GB"/>
        </w:rPr>
        <w:t xml:space="preserve"> the lifetime expected loss provision for all accounts receivable. To measure the expected credit losses, accounts receivable </w:t>
      </w:r>
      <w:r w:rsidR="00C83304" w:rsidRPr="00FC2211">
        <w:rPr>
          <w:rFonts w:cstheme="minorHAnsi"/>
          <w:szCs w:val="20"/>
          <w:lang w:val="en-GB"/>
        </w:rPr>
        <w:t>are</w:t>
      </w:r>
      <w:r w:rsidRPr="00FC2211">
        <w:rPr>
          <w:rFonts w:cstheme="minorHAnsi"/>
          <w:szCs w:val="20"/>
          <w:lang w:val="en-GB"/>
        </w:rPr>
        <w:t xml:space="preserve"> assessed primarily on days past due combined with the Company’s knowledge of past bad debts. During the </w:t>
      </w:r>
      <w:r w:rsidR="00956897">
        <w:rPr>
          <w:rFonts w:cstheme="minorHAnsi"/>
          <w:szCs w:val="20"/>
          <w:lang w:val="en-GB"/>
        </w:rPr>
        <w:t>nine</w:t>
      </w:r>
      <w:r w:rsidR="009B47FE" w:rsidRPr="00FC2211">
        <w:rPr>
          <w:rFonts w:cstheme="minorHAnsi"/>
          <w:szCs w:val="20"/>
          <w:lang w:val="en-GB"/>
        </w:rPr>
        <w:t xml:space="preserve"> </w:t>
      </w:r>
      <w:r w:rsidR="00A678A7" w:rsidRPr="00FC2211">
        <w:rPr>
          <w:rFonts w:cstheme="minorHAnsi"/>
          <w:szCs w:val="20"/>
          <w:lang w:val="en-GB"/>
        </w:rPr>
        <w:t>months</w:t>
      </w:r>
      <w:r w:rsidR="00FB780D" w:rsidRPr="00FC2211">
        <w:rPr>
          <w:rFonts w:cstheme="minorHAnsi"/>
          <w:szCs w:val="20"/>
          <w:lang w:val="en-GB"/>
        </w:rPr>
        <w:t xml:space="preserve"> ended </w:t>
      </w:r>
      <w:r w:rsidR="00956897">
        <w:rPr>
          <w:rFonts w:cstheme="minorHAnsi"/>
          <w:szCs w:val="20"/>
          <w:lang w:val="en-GB"/>
        </w:rPr>
        <w:t>March 31, 2024</w:t>
      </w:r>
      <w:r w:rsidRPr="00FC2211">
        <w:rPr>
          <w:rFonts w:cstheme="minorHAnsi"/>
          <w:szCs w:val="20"/>
          <w:lang w:val="en-GB"/>
        </w:rPr>
        <w:t xml:space="preserve">, </w:t>
      </w:r>
      <w:r w:rsidR="00C363F5" w:rsidRPr="00FC2211">
        <w:rPr>
          <w:rFonts w:cstheme="minorHAnsi"/>
          <w:szCs w:val="20"/>
          <w:lang w:val="en-GB"/>
        </w:rPr>
        <w:t>expected credit losses</w:t>
      </w:r>
      <w:r w:rsidRPr="00FC2211">
        <w:rPr>
          <w:rFonts w:cstheme="minorHAnsi"/>
          <w:szCs w:val="20"/>
          <w:lang w:val="en-GB"/>
        </w:rPr>
        <w:t xml:space="preserve"> for the Company </w:t>
      </w:r>
      <w:r w:rsidR="009B47FE" w:rsidRPr="00FC2211">
        <w:rPr>
          <w:rFonts w:cstheme="minorHAnsi"/>
          <w:szCs w:val="20"/>
          <w:lang w:val="en-GB"/>
        </w:rPr>
        <w:t>were</w:t>
      </w:r>
      <w:r w:rsidRPr="00FC2211">
        <w:rPr>
          <w:rFonts w:cstheme="minorHAnsi"/>
          <w:szCs w:val="20"/>
          <w:lang w:val="en-GB"/>
        </w:rPr>
        <w:t xml:space="preserve"> $</w:t>
      </w:r>
      <w:r w:rsidR="002A3575">
        <w:rPr>
          <w:rFonts w:cstheme="minorHAnsi"/>
          <w:szCs w:val="20"/>
          <w:lang w:val="en-GB"/>
        </w:rPr>
        <w:t>6,614</w:t>
      </w:r>
      <w:r w:rsidRPr="00FC2211">
        <w:rPr>
          <w:rFonts w:cstheme="minorHAnsi"/>
          <w:szCs w:val="20"/>
          <w:lang w:val="en-GB"/>
        </w:rPr>
        <w:t xml:space="preserve"> (</w:t>
      </w:r>
      <w:r w:rsidR="007770FD">
        <w:rPr>
          <w:rFonts w:cstheme="minorHAnsi"/>
          <w:szCs w:val="20"/>
          <w:lang w:val="en-GB"/>
        </w:rPr>
        <w:t>March 31, 2023</w:t>
      </w:r>
      <w:r w:rsidRPr="00FC2211">
        <w:rPr>
          <w:rFonts w:cstheme="minorHAnsi"/>
          <w:szCs w:val="20"/>
          <w:lang w:val="en-GB"/>
        </w:rPr>
        <w:t>- $</w:t>
      </w:r>
      <w:r w:rsidR="002C491A" w:rsidRPr="00FC2211">
        <w:rPr>
          <w:rFonts w:cstheme="minorHAnsi"/>
          <w:szCs w:val="20"/>
          <w:lang w:val="en-GB"/>
        </w:rPr>
        <w:t>Nil</w:t>
      </w:r>
      <w:r w:rsidRPr="00FC2211">
        <w:rPr>
          <w:rFonts w:cstheme="minorHAnsi"/>
          <w:szCs w:val="20"/>
          <w:lang w:val="en-GB"/>
        </w:rPr>
        <w:t>).</w:t>
      </w:r>
    </w:p>
    <w:p w14:paraId="148D2855" w14:textId="77777777" w:rsidR="00CC05B6" w:rsidRPr="00FC2211" w:rsidRDefault="00CC05B6" w:rsidP="00D02C78">
      <w:pPr>
        <w:jc w:val="both"/>
        <w:rPr>
          <w:lang w:val="en-CA"/>
        </w:rPr>
      </w:pPr>
    </w:p>
    <w:p w14:paraId="505939D8" w14:textId="0CD07915" w:rsidR="00EA7477" w:rsidRPr="00FC2211" w:rsidRDefault="00EA7477" w:rsidP="007335A5">
      <w:pPr>
        <w:tabs>
          <w:tab w:val="left" w:pos="450"/>
          <w:tab w:val="left" w:pos="540"/>
          <w:tab w:val="left" w:pos="720"/>
        </w:tabs>
        <w:ind w:left="284" w:firstLine="76"/>
        <w:contextualSpacing/>
        <w:rPr>
          <w:rFonts w:cstheme="minorHAnsi"/>
          <w:b/>
          <w:szCs w:val="20"/>
        </w:rPr>
      </w:pPr>
      <w:r w:rsidRPr="00FC2211">
        <w:rPr>
          <w:rFonts w:cstheme="minorHAnsi"/>
          <w:b/>
          <w:szCs w:val="20"/>
        </w:rPr>
        <w:t xml:space="preserve">d)   </w:t>
      </w:r>
      <w:r w:rsidR="00CA5D7D" w:rsidRPr="00FC2211">
        <w:rPr>
          <w:rFonts w:cstheme="minorHAnsi"/>
          <w:b/>
          <w:szCs w:val="20"/>
        </w:rPr>
        <w:t xml:space="preserve"> </w:t>
      </w:r>
      <w:r w:rsidRPr="00FC2211">
        <w:rPr>
          <w:rFonts w:cstheme="minorHAnsi"/>
          <w:b/>
          <w:szCs w:val="20"/>
        </w:rPr>
        <w:t>Liquidity risk</w:t>
      </w:r>
    </w:p>
    <w:p w14:paraId="0A0CEFB6" w14:textId="77777777" w:rsidR="00EA7477" w:rsidRPr="00FC2211" w:rsidRDefault="00EA7477" w:rsidP="00EA7477">
      <w:pPr>
        <w:pStyle w:val="ListParagraph"/>
        <w:spacing w:after="0" w:line="240" w:lineRule="auto"/>
        <w:rPr>
          <w:rFonts w:asciiTheme="minorHAnsi" w:hAnsiTheme="minorHAnsi" w:cstheme="minorHAnsi"/>
          <w:b/>
          <w:bCs/>
          <w:sz w:val="20"/>
          <w:szCs w:val="20"/>
          <w:lang w:val="en-CA"/>
        </w:rPr>
      </w:pPr>
    </w:p>
    <w:p w14:paraId="2D54D43D" w14:textId="7706294C" w:rsidR="00271925" w:rsidRPr="00FC2211" w:rsidRDefault="00EA7477" w:rsidP="00D02C78">
      <w:pPr>
        <w:ind w:left="737"/>
        <w:jc w:val="both"/>
        <w:rPr>
          <w:lang w:val="en-CA"/>
        </w:rPr>
      </w:pPr>
      <w:r w:rsidRPr="00FC2211">
        <w:rPr>
          <w:lang w:val="en-CA"/>
        </w:rPr>
        <w:t xml:space="preserve">Liquidity risk is the risk that the Company will not be able to meet its financial obligations as they fall due. </w:t>
      </w:r>
      <w:r w:rsidR="008200AE" w:rsidRPr="00FC2211">
        <w:rPr>
          <w:lang w:val="en-CA"/>
        </w:rPr>
        <w:t>As a</w:t>
      </w:r>
      <w:r w:rsidRPr="00FC2211">
        <w:rPr>
          <w:lang w:val="en-CA"/>
        </w:rPr>
        <w:t xml:space="preserve">t </w:t>
      </w:r>
      <w:r w:rsidR="006056CB">
        <w:rPr>
          <w:lang w:val="en-CA"/>
        </w:rPr>
        <w:t>March</w:t>
      </w:r>
      <w:r w:rsidR="00DD7162" w:rsidRPr="00FC2211">
        <w:rPr>
          <w:lang w:val="en-CA"/>
        </w:rPr>
        <w:t xml:space="preserve"> 31</w:t>
      </w:r>
      <w:r w:rsidR="00417438" w:rsidRPr="00FC2211">
        <w:rPr>
          <w:lang w:val="en-CA"/>
        </w:rPr>
        <w:t>, 202</w:t>
      </w:r>
      <w:r w:rsidR="006056CB">
        <w:rPr>
          <w:lang w:val="en-CA"/>
        </w:rPr>
        <w:t>4</w:t>
      </w:r>
      <w:r w:rsidRPr="00FC2211">
        <w:rPr>
          <w:lang w:val="en-CA"/>
        </w:rPr>
        <w:t>, the Company</w:t>
      </w:r>
      <w:r w:rsidR="01EE574E" w:rsidRPr="00FC2211">
        <w:rPr>
          <w:lang w:val="en-CA"/>
        </w:rPr>
        <w:t xml:space="preserve"> has a</w:t>
      </w:r>
      <w:r w:rsidRPr="00FC2211">
        <w:rPr>
          <w:lang w:val="en-CA"/>
        </w:rPr>
        <w:t xml:space="preserve"> cash</w:t>
      </w:r>
      <w:r w:rsidR="005B4ECC" w:rsidRPr="00FC2211">
        <w:rPr>
          <w:lang w:val="en-CA"/>
        </w:rPr>
        <w:t xml:space="preserve"> </w:t>
      </w:r>
      <w:r w:rsidRPr="00FC2211">
        <w:rPr>
          <w:lang w:val="en-CA"/>
        </w:rPr>
        <w:t xml:space="preserve">balance of </w:t>
      </w:r>
      <w:r w:rsidR="00E067C5" w:rsidRPr="00FC2211">
        <w:rPr>
          <w:lang w:val="en-CA"/>
        </w:rPr>
        <w:t>$</w:t>
      </w:r>
      <w:r w:rsidR="006056CB">
        <w:rPr>
          <w:lang w:val="en-CA"/>
        </w:rPr>
        <w:t>49,116</w:t>
      </w:r>
      <w:r w:rsidR="00E067C5" w:rsidRPr="00FC2211">
        <w:rPr>
          <w:lang w:val="en-CA"/>
        </w:rPr>
        <w:t xml:space="preserve"> </w:t>
      </w:r>
      <w:r w:rsidR="002005E5" w:rsidRPr="00FC2211">
        <w:rPr>
          <w:lang w:val="en-CA"/>
        </w:rPr>
        <w:t>(June 30, 202</w:t>
      </w:r>
      <w:r w:rsidR="008200AE" w:rsidRPr="00FC2211">
        <w:rPr>
          <w:lang w:val="en-CA"/>
        </w:rPr>
        <w:t>3</w:t>
      </w:r>
      <w:r w:rsidR="002005E5" w:rsidRPr="00FC2211">
        <w:rPr>
          <w:lang w:val="en-CA"/>
        </w:rPr>
        <w:t xml:space="preserve"> </w:t>
      </w:r>
      <w:r w:rsidR="00934619" w:rsidRPr="00FC2211">
        <w:rPr>
          <w:lang w:val="en-CA"/>
        </w:rPr>
        <w:t xml:space="preserve">– </w:t>
      </w:r>
      <w:r w:rsidR="00E067C5" w:rsidRPr="00FC2211">
        <w:rPr>
          <w:lang w:val="en-CA"/>
        </w:rPr>
        <w:t>$</w:t>
      </w:r>
      <w:r w:rsidR="008200AE" w:rsidRPr="00FC2211">
        <w:rPr>
          <w:lang w:val="en-CA"/>
        </w:rPr>
        <w:t>362,510</w:t>
      </w:r>
      <w:r w:rsidR="00934619" w:rsidRPr="00FC2211">
        <w:rPr>
          <w:lang w:val="en-CA"/>
        </w:rPr>
        <w:t>)</w:t>
      </w:r>
      <w:r w:rsidRPr="00FC2211">
        <w:rPr>
          <w:lang w:val="en-CA"/>
        </w:rPr>
        <w:t xml:space="preserve"> </w:t>
      </w:r>
      <w:r w:rsidR="00B30B49" w:rsidRPr="00FC2211">
        <w:rPr>
          <w:lang w:val="en-CA"/>
        </w:rPr>
        <w:t>and current</w:t>
      </w:r>
      <w:r w:rsidRPr="00FC2211">
        <w:rPr>
          <w:lang w:val="en-CA"/>
        </w:rPr>
        <w:t xml:space="preserve"> liabilities </w:t>
      </w:r>
      <w:r w:rsidR="76BBCBA1" w:rsidRPr="00FC2211">
        <w:rPr>
          <w:lang w:val="en-CA"/>
        </w:rPr>
        <w:t>balance of</w:t>
      </w:r>
      <w:r w:rsidRPr="00FC2211">
        <w:rPr>
          <w:lang w:val="en-CA"/>
        </w:rPr>
        <w:t xml:space="preserve"> </w:t>
      </w:r>
      <w:r w:rsidR="00950B45" w:rsidRPr="00FC2211">
        <w:rPr>
          <w:lang w:val="en-CA"/>
        </w:rPr>
        <w:t>$</w:t>
      </w:r>
      <w:r w:rsidR="00E067C5" w:rsidRPr="00FC2211">
        <w:rPr>
          <w:lang w:val="en-CA"/>
        </w:rPr>
        <w:t>1,</w:t>
      </w:r>
      <w:r w:rsidR="003C5342">
        <w:rPr>
          <w:lang w:val="en-CA"/>
        </w:rPr>
        <w:t>518</w:t>
      </w:r>
      <w:r w:rsidR="00CC1987" w:rsidRPr="00FC2211">
        <w:rPr>
          <w:lang w:val="en-CA"/>
        </w:rPr>
        <w:t>,</w:t>
      </w:r>
      <w:r w:rsidR="003C5342">
        <w:rPr>
          <w:lang w:val="en-CA"/>
        </w:rPr>
        <w:t>615</w:t>
      </w:r>
      <w:r w:rsidR="00950B45" w:rsidRPr="00FC2211">
        <w:rPr>
          <w:lang w:val="en-CA"/>
        </w:rPr>
        <w:t xml:space="preserve"> (June 30, 202</w:t>
      </w:r>
      <w:r w:rsidR="00CC1987" w:rsidRPr="00FC2211">
        <w:rPr>
          <w:lang w:val="en-CA"/>
        </w:rPr>
        <w:t>3</w:t>
      </w:r>
      <w:r w:rsidR="00950B45" w:rsidRPr="00FC2211">
        <w:rPr>
          <w:lang w:val="en-CA"/>
        </w:rPr>
        <w:t xml:space="preserve"> – </w:t>
      </w:r>
      <w:r w:rsidRPr="00FC2211">
        <w:rPr>
          <w:lang w:val="en-CA"/>
        </w:rPr>
        <w:t>$</w:t>
      </w:r>
      <w:r w:rsidR="00CC1987" w:rsidRPr="00FC2211">
        <w:rPr>
          <w:lang w:val="en-CA"/>
        </w:rPr>
        <w:t>1,027</w:t>
      </w:r>
      <w:r w:rsidR="00E067C5" w:rsidRPr="00FC2211">
        <w:rPr>
          <w:lang w:val="en-CA"/>
        </w:rPr>
        <w:t>,</w:t>
      </w:r>
      <w:r w:rsidR="00CC1987" w:rsidRPr="00FC2211">
        <w:rPr>
          <w:lang w:val="en-CA"/>
        </w:rPr>
        <w:t>442</w:t>
      </w:r>
      <w:r w:rsidR="00950B45" w:rsidRPr="00FC2211">
        <w:rPr>
          <w:lang w:val="en-CA"/>
        </w:rPr>
        <w:t>)</w:t>
      </w:r>
      <w:r w:rsidRPr="00FC2211">
        <w:rPr>
          <w:lang w:val="en-CA"/>
        </w:rPr>
        <w:t xml:space="preserve">. The Company manages its liquidity risk by attempting to maintain sufficient cash balances to enable settlement of transactions on the due date. </w:t>
      </w:r>
      <w:r w:rsidR="009B5760" w:rsidRPr="00FC2211">
        <w:rPr>
          <w:lang w:val="en-CA"/>
        </w:rPr>
        <w:t>As the Company has limited sources of revenue</w:t>
      </w:r>
      <w:r w:rsidR="00AB0F1C" w:rsidRPr="00FC2211">
        <w:rPr>
          <w:lang w:val="en-CA"/>
        </w:rPr>
        <w:t>,</w:t>
      </w:r>
      <w:r w:rsidR="009B5760" w:rsidRPr="00FC2211">
        <w:rPr>
          <w:lang w:val="en-CA"/>
        </w:rPr>
        <w:t xml:space="preserve"> additional financing </w:t>
      </w:r>
      <w:r w:rsidR="00AB0F1C" w:rsidRPr="00FC2211">
        <w:rPr>
          <w:lang w:val="en-CA"/>
        </w:rPr>
        <w:t xml:space="preserve">is necessary </w:t>
      </w:r>
      <w:r w:rsidR="009B5760" w:rsidRPr="00FC2211">
        <w:rPr>
          <w:lang w:val="en-CA"/>
        </w:rPr>
        <w:t>to accomplish its long-term strategic objectives.</w:t>
      </w:r>
      <w:r w:rsidR="00271925" w:rsidRPr="00FC2211">
        <w:rPr>
          <w:lang w:val="en-CA"/>
        </w:rPr>
        <w:br w:type="page"/>
      </w:r>
    </w:p>
    <w:p w14:paraId="15EB9911" w14:textId="2F4D34E5" w:rsidR="00D83B1A" w:rsidRPr="00FC2211" w:rsidRDefault="00351BE0" w:rsidP="00625512">
      <w:pPr>
        <w:pStyle w:val="Heading1"/>
        <w:rPr>
          <w:rFonts w:cstheme="minorHAnsi"/>
          <w:szCs w:val="20"/>
          <w:lang w:val="en-GB"/>
        </w:rPr>
      </w:pPr>
      <w:bookmarkStart w:id="9" w:name="_Hlk95828161"/>
      <w:r w:rsidRPr="00FC2211">
        <w:rPr>
          <w:rFonts w:cstheme="minorHAnsi"/>
          <w:szCs w:val="20"/>
          <w:lang w:val="en-GB"/>
        </w:rPr>
        <w:lastRenderedPageBreak/>
        <w:t>2</w:t>
      </w:r>
      <w:r w:rsidR="00CC1E02">
        <w:rPr>
          <w:rFonts w:cstheme="minorHAnsi"/>
          <w:szCs w:val="20"/>
          <w:lang w:val="en-GB"/>
        </w:rPr>
        <w:t>1</w:t>
      </w:r>
      <w:r w:rsidR="00625512" w:rsidRPr="00FC2211">
        <w:rPr>
          <w:rFonts w:cstheme="minorHAnsi"/>
          <w:szCs w:val="20"/>
          <w:lang w:val="en-GB"/>
        </w:rPr>
        <w:t xml:space="preserve">.   </w:t>
      </w:r>
      <w:r w:rsidR="00D83B1A" w:rsidRPr="00FC2211">
        <w:rPr>
          <w:rFonts w:cstheme="minorHAnsi"/>
          <w:szCs w:val="20"/>
          <w:lang w:val="en-GB"/>
        </w:rPr>
        <w:t>RIGHT-OF-</w:t>
      </w:r>
      <w:r w:rsidR="00FF6E86" w:rsidRPr="00FC2211">
        <w:rPr>
          <w:rFonts w:cstheme="minorHAnsi"/>
          <w:szCs w:val="20"/>
          <w:lang w:val="en-GB"/>
        </w:rPr>
        <w:t>USE ASSET</w:t>
      </w:r>
    </w:p>
    <w:bookmarkEnd w:id="9"/>
    <w:p w14:paraId="0A5BEF41" w14:textId="77777777" w:rsidR="005A32E7" w:rsidRPr="00FC2211" w:rsidRDefault="005A32E7" w:rsidP="006E1AEC">
      <w:pPr>
        <w:ind w:left="284"/>
        <w:rPr>
          <w:rFonts w:cstheme="minorHAnsi"/>
          <w:szCs w:val="20"/>
        </w:rPr>
      </w:pPr>
    </w:p>
    <w:p w14:paraId="03F64E6F" w14:textId="3D6C27F0" w:rsidR="007D2528" w:rsidRPr="00FC2211" w:rsidRDefault="0069552C" w:rsidP="00D02C78">
      <w:pPr>
        <w:ind w:left="432"/>
        <w:jc w:val="both"/>
        <w:rPr>
          <w:rFonts w:cstheme="minorHAnsi"/>
          <w:szCs w:val="20"/>
        </w:rPr>
      </w:pPr>
      <w:r w:rsidRPr="00FC2211">
        <w:rPr>
          <w:rFonts w:cstheme="minorHAnsi"/>
          <w:szCs w:val="20"/>
        </w:rPr>
        <w:t xml:space="preserve">On March 6, 2020, the Company entered into a 5-year lease agreement for leased premises in Surrey, British Columbia, commencing </w:t>
      </w:r>
      <w:r w:rsidR="00734AC0" w:rsidRPr="00FC2211">
        <w:rPr>
          <w:rFonts w:cstheme="minorHAnsi"/>
          <w:szCs w:val="20"/>
        </w:rPr>
        <w:t>April 1</w:t>
      </w:r>
      <w:r w:rsidRPr="00FC2211">
        <w:rPr>
          <w:rFonts w:cstheme="minorHAnsi"/>
          <w:szCs w:val="20"/>
        </w:rPr>
        <w:t>, 2020</w:t>
      </w:r>
      <w:r w:rsidR="00526B95" w:rsidRPr="00FC2211">
        <w:rPr>
          <w:rFonts w:cstheme="minorHAnsi"/>
          <w:szCs w:val="20"/>
        </w:rPr>
        <w:t>,</w:t>
      </w:r>
      <w:r w:rsidRPr="00FC2211">
        <w:rPr>
          <w:rFonts w:cstheme="minorHAnsi"/>
          <w:szCs w:val="20"/>
        </w:rPr>
        <w:t xml:space="preserve"> and ending on </w:t>
      </w:r>
      <w:r w:rsidR="00CD3D34" w:rsidRPr="00FC2211">
        <w:rPr>
          <w:rFonts w:cstheme="minorHAnsi"/>
          <w:szCs w:val="20"/>
        </w:rPr>
        <w:t>March 9</w:t>
      </w:r>
      <w:r w:rsidRPr="00FC2211">
        <w:rPr>
          <w:rFonts w:cstheme="minorHAnsi"/>
          <w:szCs w:val="20"/>
        </w:rPr>
        <w:t>, 202</w:t>
      </w:r>
      <w:r w:rsidR="000D715B" w:rsidRPr="00FC2211">
        <w:rPr>
          <w:rFonts w:cstheme="minorHAnsi"/>
          <w:szCs w:val="20"/>
        </w:rPr>
        <w:t>5</w:t>
      </w:r>
      <w:r w:rsidRPr="00FC2211">
        <w:rPr>
          <w:rFonts w:cstheme="minorHAnsi"/>
          <w:szCs w:val="20"/>
        </w:rPr>
        <w:t xml:space="preserve">. The minimum </w:t>
      </w:r>
      <w:r w:rsidR="00C83304" w:rsidRPr="00FC2211">
        <w:rPr>
          <w:rFonts w:cstheme="minorHAnsi"/>
          <w:szCs w:val="20"/>
        </w:rPr>
        <w:t>monthly base rent</w:t>
      </w:r>
      <w:r w:rsidRPr="00FC2211">
        <w:rPr>
          <w:rFonts w:cstheme="minorHAnsi"/>
          <w:szCs w:val="20"/>
        </w:rPr>
        <w:t xml:space="preserve"> for years 1 to 5 of the 5-year lease </w:t>
      </w:r>
      <w:r w:rsidR="00E067C5" w:rsidRPr="00FC2211">
        <w:rPr>
          <w:rFonts w:cstheme="minorHAnsi"/>
          <w:szCs w:val="20"/>
        </w:rPr>
        <w:t>is</w:t>
      </w:r>
      <w:r w:rsidRPr="00FC2211">
        <w:rPr>
          <w:rFonts w:cstheme="minorHAnsi"/>
          <w:szCs w:val="20"/>
        </w:rPr>
        <w:t xml:space="preserve"> $3,290 for year 1, $3,360 for year 2, $3,430 for year 3, $3,500 for year 4</w:t>
      </w:r>
      <w:r w:rsidR="00E067C5" w:rsidRPr="00FC2211">
        <w:rPr>
          <w:rFonts w:cstheme="minorHAnsi"/>
          <w:szCs w:val="20"/>
        </w:rPr>
        <w:t>,</w:t>
      </w:r>
      <w:r w:rsidRPr="00FC2211">
        <w:rPr>
          <w:rFonts w:cstheme="minorHAnsi"/>
          <w:szCs w:val="20"/>
        </w:rPr>
        <w:t xml:space="preserve"> and $3,570 for year 5</w:t>
      </w:r>
      <w:r w:rsidR="00A457DC" w:rsidRPr="00FC2211">
        <w:rPr>
          <w:rFonts w:cstheme="minorHAnsi"/>
          <w:szCs w:val="20"/>
        </w:rPr>
        <w:t>, respectively</w:t>
      </w:r>
      <w:r w:rsidRPr="00FC2211">
        <w:rPr>
          <w:rFonts w:cstheme="minorHAnsi"/>
          <w:szCs w:val="20"/>
        </w:rPr>
        <w:t xml:space="preserve">. In accordance with IFRS 16, the Company recognized </w:t>
      </w:r>
      <w:r w:rsidR="00E067C5" w:rsidRPr="00FC2211">
        <w:rPr>
          <w:rFonts w:cstheme="minorHAnsi"/>
          <w:szCs w:val="20"/>
        </w:rPr>
        <w:t xml:space="preserve">a </w:t>
      </w:r>
      <w:r w:rsidRPr="00FC2211">
        <w:rPr>
          <w:rFonts w:cstheme="minorHAnsi"/>
          <w:szCs w:val="20"/>
        </w:rPr>
        <w:t>right-of-use asset of $155,260 as at March 6, 2020</w:t>
      </w:r>
      <w:r w:rsidR="00E067C5" w:rsidRPr="00FC2211">
        <w:rPr>
          <w:rFonts w:cstheme="minorHAnsi"/>
          <w:szCs w:val="20"/>
        </w:rPr>
        <w:t>,</w:t>
      </w:r>
      <w:r w:rsidRPr="00FC2211">
        <w:rPr>
          <w:rFonts w:cstheme="minorHAnsi"/>
          <w:szCs w:val="20"/>
        </w:rPr>
        <w:t xml:space="preserve"> equal to the present value of all remaining lease payments discounted at an incremental borrowing rate of 12.5%. The Company depreciates the right-of-use assets on a straight-line basis over the lease term.</w:t>
      </w:r>
    </w:p>
    <w:tbl>
      <w:tblPr>
        <w:tblW w:w="4940" w:type="dxa"/>
        <w:jc w:val="center"/>
        <w:tblLook w:val="04A0" w:firstRow="1" w:lastRow="0" w:firstColumn="1" w:lastColumn="0" w:noHBand="0" w:noVBand="1"/>
      </w:tblPr>
      <w:tblGrid>
        <w:gridCol w:w="3480"/>
        <w:gridCol w:w="1460"/>
      </w:tblGrid>
      <w:tr w:rsidR="000337E2" w:rsidRPr="000337E2" w14:paraId="548E96A2" w14:textId="77777777" w:rsidTr="00FA252C">
        <w:trPr>
          <w:trHeight w:val="288"/>
          <w:jc w:val="center"/>
        </w:trPr>
        <w:tc>
          <w:tcPr>
            <w:tcW w:w="3480" w:type="dxa"/>
            <w:tcBorders>
              <w:top w:val="nil"/>
              <w:left w:val="nil"/>
              <w:bottom w:val="single" w:sz="8" w:space="0" w:color="auto"/>
              <w:right w:val="nil"/>
            </w:tcBorders>
            <w:shd w:val="clear" w:color="auto" w:fill="auto"/>
            <w:vAlign w:val="center"/>
            <w:hideMark/>
          </w:tcPr>
          <w:p w14:paraId="77E8FBCB" w14:textId="77777777" w:rsidR="000337E2" w:rsidRPr="000337E2" w:rsidRDefault="000337E2" w:rsidP="000337E2">
            <w:pPr>
              <w:rPr>
                <w:rFonts w:ascii="Calibri" w:hAnsi="Calibri" w:cs="Calibri"/>
                <w:b/>
                <w:bCs/>
                <w:color w:val="000000"/>
                <w:szCs w:val="20"/>
                <w:lang w:val="en-CA" w:eastAsia="en-CA"/>
              </w:rPr>
            </w:pPr>
            <w:r w:rsidRPr="000337E2">
              <w:rPr>
                <w:rFonts w:ascii="Calibri" w:hAnsi="Calibri" w:cs="Calibri"/>
                <w:b/>
                <w:bCs/>
                <w:color w:val="000000"/>
                <w:szCs w:val="20"/>
                <w:lang w:val="en-CA" w:eastAsia="en-CA"/>
              </w:rPr>
              <w:t>Cost</w:t>
            </w:r>
          </w:p>
        </w:tc>
        <w:tc>
          <w:tcPr>
            <w:tcW w:w="1460" w:type="dxa"/>
            <w:tcBorders>
              <w:top w:val="nil"/>
              <w:left w:val="nil"/>
              <w:bottom w:val="single" w:sz="8" w:space="0" w:color="auto"/>
              <w:right w:val="nil"/>
            </w:tcBorders>
            <w:shd w:val="clear" w:color="auto" w:fill="auto"/>
            <w:vAlign w:val="center"/>
            <w:hideMark/>
          </w:tcPr>
          <w:p w14:paraId="4010836C" w14:textId="77777777" w:rsidR="000337E2" w:rsidRPr="000337E2" w:rsidRDefault="000337E2" w:rsidP="000337E2">
            <w:pPr>
              <w:jc w:val="right"/>
              <w:rPr>
                <w:rFonts w:ascii="Calibri" w:hAnsi="Calibri" w:cs="Calibri"/>
                <w:b/>
                <w:bCs/>
                <w:color w:val="000000"/>
                <w:szCs w:val="20"/>
                <w:lang w:val="en-CA" w:eastAsia="en-CA"/>
              </w:rPr>
            </w:pPr>
            <w:r w:rsidRPr="000337E2">
              <w:rPr>
                <w:rFonts w:ascii="Calibri" w:hAnsi="Calibri" w:cs="Calibri"/>
                <w:b/>
                <w:bCs/>
                <w:color w:val="000000"/>
                <w:szCs w:val="20"/>
                <w:lang w:val="en-CA" w:eastAsia="en-CA"/>
              </w:rPr>
              <w:t xml:space="preserve"> Amount </w:t>
            </w:r>
          </w:p>
        </w:tc>
      </w:tr>
      <w:tr w:rsidR="000337E2" w:rsidRPr="000337E2" w14:paraId="1E1EBA80" w14:textId="77777777" w:rsidTr="00FA252C">
        <w:trPr>
          <w:trHeight w:val="276"/>
          <w:jc w:val="center"/>
        </w:trPr>
        <w:tc>
          <w:tcPr>
            <w:tcW w:w="3480" w:type="dxa"/>
            <w:tcBorders>
              <w:top w:val="nil"/>
              <w:left w:val="nil"/>
              <w:bottom w:val="nil"/>
              <w:right w:val="nil"/>
            </w:tcBorders>
            <w:shd w:val="clear" w:color="auto" w:fill="auto"/>
            <w:vAlign w:val="center"/>
            <w:hideMark/>
          </w:tcPr>
          <w:p w14:paraId="7D359ADE" w14:textId="77777777" w:rsidR="000337E2" w:rsidRPr="000337E2" w:rsidRDefault="000337E2" w:rsidP="000337E2">
            <w:pPr>
              <w:rPr>
                <w:rFonts w:ascii="Calibri" w:hAnsi="Calibri" w:cs="Calibri"/>
                <w:color w:val="000000"/>
                <w:szCs w:val="20"/>
                <w:lang w:val="en-CA" w:eastAsia="en-CA"/>
              </w:rPr>
            </w:pPr>
            <w:r w:rsidRPr="000337E2">
              <w:rPr>
                <w:rFonts w:ascii="Calibri" w:hAnsi="Calibri" w:cs="Calibri"/>
                <w:color w:val="000000"/>
                <w:szCs w:val="20"/>
                <w:lang w:val="en-CA" w:eastAsia="en-CA"/>
              </w:rPr>
              <w:t>Balance, June 30, 2022 and 2023</w:t>
            </w:r>
          </w:p>
        </w:tc>
        <w:tc>
          <w:tcPr>
            <w:tcW w:w="1460" w:type="dxa"/>
            <w:tcBorders>
              <w:top w:val="nil"/>
              <w:left w:val="nil"/>
              <w:bottom w:val="nil"/>
              <w:right w:val="nil"/>
            </w:tcBorders>
            <w:shd w:val="clear" w:color="auto" w:fill="auto"/>
            <w:vAlign w:val="center"/>
            <w:hideMark/>
          </w:tcPr>
          <w:p w14:paraId="0C832492" w14:textId="6C6928A3" w:rsidR="000337E2" w:rsidRPr="000337E2" w:rsidRDefault="000337E2" w:rsidP="000337E2">
            <w:pPr>
              <w:jc w:val="right"/>
              <w:rPr>
                <w:rFonts w:ascii="Calibri" w:hAnsi="Calibri" w:cs="Calibri"/>
                <w:color w:val="000000"/>
                <w:szCs w:val="20"/>
                <w:lang w:val="en-CA" w:eastAsia="en-CA"/>
              </w:rPr>
            </w:pPr>
            <w:r w:rsidRPr="000337E2">
              <w:rPr>
                <w:rFonts w:ascii="Calibri" w:hAnsi="Calibri" w:cs="Calibri"/>
                <w:color w:val="000000"/>
                <w:szCs w:val="20"/>
                <w:lang w:val="en-CA" w:eastAsia="en-CA"/>
              </w:rPr>
              <w:t xml:space="preserve"> $  155,260 </w:t>
            </w:r>
          </w:p>
        </w:tc>
      </w:tr>
      <w:tr w:rsidR="000337E2" w:rsidRPr="000337E2" w14:paraId="0CC4D6D8" w14:textId="77777777" w:rsidTr="00FA252C">
        <w:trPr>
          <w:trHeight w:val="276"/>
          <w:jc w:val="center"/>
        </w:trPr>
        <w:tc>
          <w:tcPr>
            <w:tcW w:w="3480" w:type="dxa"/>
            <w:tcBorders>
              <w:top w:val="nil"/>
              <w:left w:val="nil"/>
              <w:bottom w:val="nil"/>
              <w:right w:val="nil"/>
            </w:tcBorders>
            <w:shd w:val="clear" w:color="auto" w:fill="auto"/>
            <w:vAlign w:val="center"/>
            <w:hideMark/>
          </w:tcPr>
          <w:p w14:paraId="1BE58297" w14:textId="77777777" w:rsidR="000337E2" w:rsidRPr="000337E2" w:rsidRDefault="000337E2" w:rsidP="000337E2">
            <w:pPr>
              <w:rPr>
                <w:rFonts w:ascii="Calibri" w:hAnsi="Calibri" w:cs="Calibri"/>
                <w:color w:val="000000"/>
                <w:szCs w:val="20"/>
                <w:lang w:val="en-CA" w:eastAsia="en-CA"/>
              </w:rPr>
            </w:pPr>
            <w:r w:rsidRPr="000337E2">
              <w:rPr>
                <w:rFonts w:ascii="Calibri" w:hAnsi="Calibri" w:cs="Calibri"/>
                <w:color w:val="000000"/>
                <w:szCs w:val="20"/>
                <w:lang w:val="en-CA" w:eastAsia="en-CA"/>
              </w:rPr>
              <w:t>Additions</w:t>
            </w:r>
          </w:p>
        </w:tc>
        <w:tc>
          <w:tcPr>
            <w:tcW w:w="1460" w:type="dxa"/>
            <w:tcBorders>
              <w:top w:val="nil"/>
              <w:left w:val="nil"/>
              <w:bottom w:val="nil"/>
              <w:right w:val="nil"/>
            </w:tcBorders>
            <w:shd w:val="clear" w:color="auto" w:fill="auto"/>
            <w:vAlign w:val="center"/>
            <w:hideMark/>
          </w:tcPr>
          <w:p w14:paraId="4ECF9646" w14:textId="1948E503" w:rsidR="000337E2" w:rsidRPr="000337E2" w:rsidRDefault="000337E2" w:rsidP="008537E6">
            <w:pPr>
              <w:ind w:right="125"/>
              <w:jc w:val="right"/>
              <w:rPr>
                <w:rFonts w:ascii="Calibri" w:hAnsi="Calibri" w:cs="Calibri"/>
                <w:color w:val="000000"/>
                <w:szCs w:val="20"/>
                <w:lang w:val="en-CA" w:eastAsia="en-CA"/>
              </w:rPr>
            </w:pPr>
            <w:r w:rsidRPr="000337E2">
              <w:rPr>
                <w:rFonts w:ascii="Calibri" w:hAnsi="Calibri" w:cs="Calibri"/>
                <w:color w:val="000000"/>
                <w:szCs w:val="20"/>
                <w:lang w:val="en-CA" w:eastAsia="en-CA"/>
              </w:rPr>
              <w:t xml:space="preserve">      -   </w:t>
            </w:r>
          </w:p>
        </w:tc>
      </w:tr>
      <w:tr w:rsidR="000337E2" w:rsidRPr="000337E2" w14:paraId="25C4E25C" w14:textId="77777777" w:rsidTr="00FA252C">
        <w:trPr>
          <w:trHeight w:val="276"/>
          <w:jc w:val="center"/>
        </w:trPr>
        <w:tc>
          <w:tcPr>
            <w:tcW w:w="3480" w:type="dxa"/>
            <w:tcBorders>
              <w:top w:val="single" w:sz="4" w:space="0" w:color="auto"/>
              <w:left w:val="nil"/>
              <w:bottom w:val="single" w:sz="4" w:space="0" w:color="auto"/>
              <w:right w:val="nil"/>
            </w:tcBorders>
            <w:shd w:val="clear" w:color="auto" w:fill="auto"/>
            <w:vAlign w:val="center"/>
            <w:hideMark/>
          </w:tcPr>
          <w:p w14:paraId="7672E705" w14:textId="77777777" w:rsidR="000337E2" w:rsidRPr="000337E2" w:rsidRDefault="000337E2" w:rsidP="000337E2">
            <w:pPr>
              <w:rPr>
                <w:rFonts w:ascii="Calibri" w:hAnsi="Calibri" w:cs="Calibri"/>
                <w:b/>
                <w:bCs/>
                <w:color w:val="000000"/>
                <w:szCs w:val="20"/>
                <w:lang w:val="en-CA" w:eastAsia="en-CA"/>
              </w:rPr>
            </w:pPr>
            <w:r w:rsidRPr="000337E2">
              <w:rPr>
                <w:rFonts w:ascii="Calibri" w:hAnsi="Calibri" w:cs="Calibri"/>
                <w:b/>
                <w:bCs/>
                <w:color w:val="000000"/>
                <w:szCs w:val="20"/>
                <w:lang w:val="en-CA" w:eastAsia="en-CA"/>
              </w:rPr>
              <w:t>Balance, March 31, 2024</w:t>
            </w:r>
          </w:p>
        </w:tc>
        <w:tc>
          <w:tcPr>
            <w:tcW w:w="1460" w:type="dxa"/>
            <w:tcBorders>
              <w:top w:val="single" w:sz="4" w:space="0" w:color="auto"/>
              <w:left w:val="nil"/>
              <w:bottom w:val="single" w:sz="4" w:space="0" w:color="auto"/>
              <w:right w:val="nil"/>
            </w:tcBorders>
            <w:shd w:val="clear" w:color="auto" w:fill="auto"/>
            <w:vAlign w:val="center"/>
            <w:hideMark/>
          </w:tcPr>
          <w:p w14:paraId="3115A0C1" w14:textId="2B0B64D1" w:rsidR="000337E2" w:rsidRPr="000337E2" w:rsidRDefault="000337E2" w:rsidP="000337E2">
            <w:pPr>
              <w:jc w:val="right"/>
              <w:rPr>
                <w:rFonts w:ascii="Calibri" w:hAnsi="Calibri" w:cs="Calibri"/>
                <w:b/>
                <w:bCs/>
                <w:color w:val="000000"/>
                <w:szCs w:val="20"/>
                <w:lang w:val="en-CA" w:eastAsia="en-CA"/>
              </w:rPr>
            </w:pPr>
            <w:r w:rsidRPr="000337E2">
              <w:rPr>
                <w:rFonts w:ascii="Calibri" w:hAnsi="Calibri" w:cs="Calibri"/>
                <w:b/>
                <w:bCs/>
                <w:color w:val="000000"/>
                <w:szCs w:val="20"/>
                <w:lang w:val="en-CA" w:eastAsia="en-CA"/>
              </w:rPr>
              <w:t xml:space="preserve">  155,260 </w:t>
            </w:r>
          </w:p>
        </w:tc>
      </w:tr>
      <w:tr w:rsidR="000337E2" w:rsidRPr="000337E2" w14:paraId="40794FA2" w14:textId="77777777" w:rsidTr="00FA252C">
        <w:trPr>
          <w:trHeight w:val="276"/>
          <w:jc w:val="center"/>
        </w:trPr>
        <w:tc>
          <w:tcPr>
            <w:tcW w:w="3480" w:type="dxa"/>
            <w:tcBorders>
              <w:top w:val="nil"/>
              <w:left w:val="nil"/>
              <w:bottom w:val="nil"/>
              <w:right w:val="nil"/>
            </w:tcBorders>
            <w:shd w:val="clear" w:color="auto" w:fill="auto"/>
            <w:vAlign w:val="center"/>
            <w:hideMark/>
          </w:tcPr>
          <w:p w14:paraId="0D2C9986" w14:textId="77777777" w:rsidR="000337E2" w:rsidRPr="000337E2" w:rsidRDefault="000337E2" w:rsidP="000337E2">
            <w:pPr>
              <w:jc w:val="right"/>
              <w:rPr>
                <w:rFonts w:ascii="Calibri" w:hAnsi="Calibri" w:cs="Calibri"/>
                <w:b/>
                <w:bCs/>
                <w:color w:val="000000"/>
                <w:szCs w:val="20"/>
                <w:lang w:val="en-CA" w:eastAsia="en-CA"/>
              </w:rPr>
            </w:pPr>
          </w:p>
        </w:tc>
        <w:tc>
          <w:tcPr>
            <w:tcW w:w="1460" w:type="dxa"/>
            <w:tcBorders>
              <w:top w:val="nil"/>
              <w:left w:val="nil"/>
              <w:bottom w:val="nil"/>
              <w:right w:val="nil"/>
            </w:tcBorders>
            <w:shd w:val="clear" w:color="auto" w:fill="auto"/>
            <w:vAlign w:val="center"/>
            <w:hideMark/>
          </w:tcPr>
          <w:p w14:paraId="030A62B4" w14:textId="77777777" w:rsidR="000337E2" w:rsidRPr="000337E2" w:rsidRDefault="000337E2" w:rsidP="000337E2">
            <w:pPr>
              <w:rPr>
                <w:rFonts w:ascii="Times New Roman" w:hAnsi="Times New Roman"/>
                <w:szCs w:val="20"/>
                <w:lang w:val="en-CA" w:eastAsia="en-CA"/>
              </w:rPr>
            </w:pPr>
          </w:p>
        </w:tc>
      </w:tr>
      <w:tr w:rsidR="000337E2" w:rsidRPr="000337E2" w14:paraId="2E362DF5" w14:textId="77777777" w:rsidTr="00FA252C">
        <w:trPr>
          <w:trHeight w:val="288"/>
          <w:jc w:val="center"/>
        </w:trPr>
        <w:tc>
          <w:tcPr>
            <w:tcW w:w="3480" w:type="dxa"/>
            <w:tcBorders>
              <w:top w:val="nil"/>
              <w:left w:val="nil"/>
              <w:bottom w:val="single" w:sz="8" w:space="0" w:color="auto"/>
              <w:right w:val="nil"/>
            </w:tcBorders>
            <w:shd w:val="clear" w:color="auto" w:fill="auto"/>
            <w:vAlign w:val="center"/>
            <w:hideMark/>
          </w:tcPr>
          <w:p w14:paraId="08F0D532" w14:textId="77777777" w:rsidR="000337E2" w:rsidRPr="000337E2" w:rsidRDefault="000337E2" w:rsidP="000337E2">
            <w:pPr>
              <w:rPr>
                <w:rFonts w:ascii="Calibri" w:hAnsi="Calibri" w:cs="Calibri"/>
                <w:b/>
                <w:bCs/>
                <w:color w:val="000000"/>
                <w:szCs w:val="20"/>
                <w:lang w:val="en-CA" w:eastAsia="en-CA"/>
              </w:rPr>
            </w:pPr>
            <w:r w:rsidRPr="000337E2">
              <w:rPr>
                <w:rFonts w:ascii="Calibri" w:hAnsi="Calibri" w:cs="Calibri"/>
                <w:b/>
                <w:bCs/>
                <w:color w:val="000000"/>
                <w:szCs w:val="20"/>
                <w:lang w:val="en-CA" w:eastAsia="en-CA"/>
              </w:rPr>
              <w:t>Accumulated depreciation</w:t>
            </w:r>
          </w:p>
        </w:tc>
        <w:tc>
          <w:tcPr>
            <w:tcW w:w="1460" w:type="dxa"/>
            <w:tcBorders>
              <w:top w:val="nil"/>
              <w:left w:val="nil"/>
              <w:bottom w:val="single" w:sz="8" w:space="0" w:color="auto"/>
              <w:right w:val="nil"/>
            </w:tcBorders>
            <w:shd w:val="clear" w:color="auto" w:fill="auto"/>
            <w:vAlign w:val="center"/>
            <w:hideMark/>
          </w:tcPr>
          <w:p w14:paraId="1A2F9364" w14:textId="77777777" w:rsidR="000337E2" w:rsidRPr="000337E2" w:rsidRDefault="000337E2" w:rsidP="000337E2">
            <w:pPr>
              <w:rPr>
                <w:rFonts w:ascii="Calibri" w:hAnsi="Calibri" w:cs="Calibri"/>
                <w:color w:val="000000"/>
                <w:szCs w:val="20"/>
                <w:lang w:val="en-CA" w:eastAsia="en-CA"/>
              </w:rPr>
            </w:pPr>
            <w:r w:rsidRPr="000337E2">
              <w:rPr>
                <w:rFonts w:ascii="Calibri" w:hAnsi="Calibri" w:cs="Calibri"/>
                <w:color w:val="000000"/>
                <w:szCs w:val="20"/>
                <w:lang w:val="en-CA" w:eastAsia="en-CA"/>
              </w:rPr>
              <w:t> </w:t>
            </w:r>
          </w:p>
        </w:tc>
      </w:tr>
      <w:tr w:rsidR="000337E2" w:rsidRPr="000337E2" w14:paraId="6DF36C6D" w14:textId="77777777" w:rsidTr="00FA252C">
        <w:trPr>
          <w:trHeight w:val="276"/>
          <w:jc w:val="center"/>
        </w:trPr>
        <w:tc>
          <w:tcPr>
            <w:tcW w:w="3480" w:type="dxa"/>
            <w:tcBorders>
              <w:top w:val="nil"/>
              <w:left w:val="nil"/>
              <w:bottom w:val="nil"/>
              <w:right w:val="nil"/>
            </w:tcBorders>
            <w:shd w:val="clear" w:color="auto" w:fill="auto"/>
            <w:vAlign w:val="center"/>
            <w:hideMark/>
          </w:tcPr>
          <w:p w14:paraId="6F8DE68B" w14:textId="77777777" w:rsidR="000337E2" w:rsidRPr="000337E2" w:rsidRDefault="000337E2" w:rsidP="000337E2">
            <w:pPr>
              <w:rPr>
                <w:rFonts w:ascii="Calibri" w:hAnsi="Calibri" w:cs="Calibri"/>
                <w:color w:val="000000"/>
                <w:szCs w:val="20"/>
                <w:lang w:val="en-CA" w:eastAsia="en-CA"/>
              </w:rPr>
            </w:pPr>
            <w:r w:rsidRPr="000337E2">
              <w:rPr>
                <w:rFonts w:ascii="Calibri" w:hAnsi="Calibri" w:cs="Calibri"/>
                <w:color w:val="000000"/>
                <w:szCs w:val="20"/>
                <w:lang w:val="en-CA" w:eastAsia="en-CA"/>
              </w:rPr>
              <w:t>Balance, June 30, 2022</w:t>
            </w:r>
          </w:p>
        </w:tc>
        <w:tc>
          <w:tcPr>
            <w:tcW w:w="1460" w:type="dxa"/>
            <w:tcBorders>
              <w:top w:val="nil"/>
              <w:left w:val="nil"/>
              <w:bottom w:val="nil"/>
              <w:right w:val="nil"/>
            </w:tcBorders>
            <w:shd w:val="clear" w:color="auto" w:fill="auto"/>
            <w:vAlign w:val="center"/>
            <w:hideMark/>
          </w:tcPr>
          <w:p w14:paraId="31D25AD5" w14:textId="2A85DC82" w:rsidR="000337E2" w:rsidRPr="000337E2" w:rsidRDefault="000337E2" w:rsidP="008537E6">
            <w:pPr>
              <w:ind w:right="-62"/>
              <w:jc w:val="right"/>
              <w:rPr>
                <w:rFonts w:ascii="Calibri" w:hAnsi="Calibri" w:cs="Calibri"/>
                <w:color w:val="000000"/>
                <w:szCs w:val="20"/>
                <w:lang w:val="en-CA" w:eastAsia="en-CA"/>
              </w:rPr>
            </w:pPr>
            <w:r w:rsidRPr="000337E2">
              <w:rPr>
                <w:rFonts w:ascii="Calibri" w:hAnsi="Calibri" w:cs="Calibri"/>
                <w:color w:val="000000"/>
                <w:szCs w:val="20"/>
                <w:lang w:val="en-CA" w:eastAsia="en-CA"/>
              </w:rPr>
              <w:t xml:space="preserve"> $  (72,455)</w:t>
            </w:r>
          </w:p>
        </w:tc>
      </w:tr>
      <w:tr w:rsidR="000337E2" w:rsidRPr="000337E2" w14:paraId="3952F23D" w14:textId="77777777" w:rsidTr="00FA252C">
        <w:trPr>
          <w:trHeight w:val="276"/>
          <w:jc w:val="center"/>
        </w:trPr>
        <w:tc>
          <w:tcPr>
            <w:tcW w:w="3480" w:type="dxa"/>
            <w:tcBorders>
              <w:top w:val="nil"/>
              <w:left w:val="nil"/>
              <w:bottom w:val="nil"/>
              <w:right w:val="nil"/>
            </w:tcBorders>
            <w:shd w:val="clear" w:color="auto" w:fill="auto"/>
            <w:vAlign w:val="center"/>
            <w:hideMark/>
          </w:tcPr>
          <w:p w14:paraId="2E9383A4" w14:textId="77777777" w:rsidR="000337E2" w:rsidRPr="000337E2" w:rsidRDefault="000337E2" w:rsidP="000337E2">
            <w:pPr>
              <w:rPr>
                <w:rFonts w:ascii="Calibri" w:hAnsi="Calibri" w:cs="Calibri"/>
                <w:color w:val="000000"/>
                <w:szCs w:val="20"/>
                <w:lang w:val="en-CA" w:eastAsia="en-CA"/>
              </w:rPr>
            </w:pPr>
            <w:r w:rsidRPr="000337E2">
              <w:rPr>
                <w:rFonts w:ascii="Calibri" w:hAnsi="Calibri" w:cs="Calibri"/>
                <w:color w:val="000000"/>
                <w:szCs w:val="20"/>
                <w:lang w:val="en-CA" w:eastAsia="en-CA"/>
              </w:rPr>
              <w:t>Additions</w:t>
            </w:r>
          </w:p>
        </w:tc>
        <w:tc>
          <w:tcPr>
            <w:tcW w:w="1460" w:type="dxa"/>
            <w:tcBorders>
              <w:top w:val="nil"/>
              <w:left w:val="nil"/>
              <w:bottom w:val="nil"/>
              <w:right w:val="nil"/>
            </w:tcBorders>
            <w:shd w:val="clear" w:color="auto" w:fill="auto"/>
            <w:vAlign w:val="center"/>
            <w:hideMark/>
          </w:tcPr>
          <w:p w14:paraId="6C2DEFBC" w14:textId="57C5263D" w:rsidR="000337E2" w:rsidRPr="000337E2" w:rsidRDefault="000337E2" w:rsidP="008537E6">
            <w:pPr>
              <w:ind w:right="-62"/>
              <w:jc w:val="right"/>
              <w:rPr>
                <w:rFonts w:ascii="Calibri" w:hAnsi="Calibri" w:cs="Calibri"/>
                <w:color w:val="000000"/>
                <w:szCs w:val="20"/>
                <w:lang w:val="en-CA" w:eastAsia="en-CA"/>
              </w:rPr>
            </w:pPr>
            <w:r w:rsidRPr="000337E2">
              <w:rPr>
                <w:rFonts w:ascii="Calibri" w:hAnsi="Calibri" w:cs="Calibri"/>
                <w:color w:val="000000"/>
                <w:szCs w:val="20"/>
                <w:lang w:val="en-CA" w:eastAsia="en-CA"/>
              </w:rPr>
              <w:t xml:space="preserve"> (31,052)</w:t>
            </w:r>
          </w:p>
        </w:tc>
      </w:tr>
      <w:tr w:rsidR="000337E2" w:rsidRPr="000337E2" w14:paraId="77B198FD" w14:textId="77777777" w:rsidTr="00FA252C">
        <w:trPr>
          <w:trHeight w:val="276"/>
          <w:jc w:val="center"/>
        </w:trPr>
        <w:tc>
          <w:tcPr>
            <w:tcW w:w="3480" w:type="dxa"/>
            <w:tcBorders>
              <w:top w:val="single" w:sz="4" w:space="0" w:color="auto"/>
              <w:left w:val="nil"/>
              <w:bottom w:val="single" w:sz="4" w:space="0" w:color="auto"/>
              <w:right w:val="nil"/>
            </w:tcBorders>
            <w:shd w:val="clear" w:color="auto" w:fill="auto"/>
            <w:vAlign w:val="center"/>
            <w:hideMark/>
          </w:tcPr>
          <w:p w14:paraId="3E23DA36" w14:textId="77777777" w:rsidR="000337E2" w:rsidRPr="000337E2" w:rsidRDefault="000337E2" w:rsidP="000337E2">
            <w:pPr>
              <w:rPr>
                <w:rFonts w:ascii="Calibri" w:hAnsi="Calibri" w:cs="Calibri"/>
                <w:color w:val="000000"/>
                <w:szCs w:val="20"/>
                <w:lang w:val="en-CA" w:eastAsia="en-CA"/>
              </w:rPr>
            </w:pPr>
            <w:r w:rsidRPr="000337E2">
              <w:rPr>
                <w:rFonts w:ascii="Calibri" w:hAnsi="Calibri" w:cs="Calibri"/>
                <w:color w:val="000000"/>
                <w:szCs w:val="20"/>
                <w:lang w:val="en-CA" w:eastAsia="en-CA"/>
              </w:rPr>
              <w:t>Balance, June 30, 2023</w:t>
            </w:r>
          </w:p>
        </w:tc>
        <w:tc>
          <w:tcPr>
            <w:tcW w:w="1460" w:type="dxa"/>
            <w:tcBorders>
              <w:top w:val="single" w:sz="4" w:space="0" w:color="auto"/>
              <w:left w:val="nil"/>
              <w:bottom w:val="single" w:sz="4" w:space="0" w:color="auto"/>
              <w:right w:val="nil"/>
            </w:tcBorders>
            <w:shd w:val="clear" w:color="auto" w:fill="auto"/>
            <w:vAlign w:val="center"/>
            <w:hideMark/>
          </w:tcPr>
          <w:p w14:paraId="00773179" w14:textId="6F27751F" w:rsidR="000337E2" w:rsidRPr="000337E2" w:rsidRDefault="000337E2" w:rsidP="008537E6">
            <w:pPr>
              <w:ind w:right="-62"/>
              <w:jc w:val="right"/>
              <w:rPr>
                <w:rFonts w:ascii="Calibri" w:hAnsi="Calibri" w:cs="Calibri"/>
                <w:color w:val="000000"/>
                <w:szCs w:val="20"/>
                <w:lang w:val="en-CA" w:eastAsia="en-CA"/>
              </w:rPr>
            </w:pPr>
            <w:r w:rsidRPr="000337E2">
              <w:rPr>
                <w:rFonts w:ascii="Calibri" w:hAnsi="Calibri" w:cs="Calibri"/>
                <w:color w:val="000000"/>
                <w:szCs w:val="20"/>
                <w:lang w:val="en-CA" w:eastAsia="en-CA"/>
              </w:rPr>
              <w:t xml:space="preserve"> (103,507)</w:t>
            </w:r>
          </w:p>
        </w:tc>
      </w:tr>
      <w:tr w:rsidR="000337E2" w:rsidRPr="000337E2" w14:paraId="6B345260" w14:textId="77777777" w:rsidTr="00FA252C">
        <w:trPr>
          <w:trHeight w:val="276"/>
          <w:jc w:val="center"/>
        </w:trPr>
        <w:tc>
          <w:tcPr>
            <w:tcW w:w="3480" w:type="dxa"/>
            <w:tcBorders>
              <w:top w:val="nil"/>
              <w:left w:val="nil"/>
              <w:bottom w:val="nil"/>
              <w:right w:val="nil"/>
            </w:tcBorders>
            <w:shd w:val="clear" w:color="auto" w:fill="auto"/>
            <w:vAlign w:val="center"/>
            <w:hideMark/>
          </w:tcPr>
          <w:p w14:paraId="73471E4A" w14:textId="77777777" w:rsidR="000337E2" w:rsidRPr="000337E2" w:rsidRDefault="000337E2" w:rsidP="000337E2">
            <w:pPr>
              <w:rPr>
                <w:rFonts w:ascii="Calibri" w:hAnsi="Calibri" w:cs="Calibri"/>
                <w:b/>
                <w:bCs/>
                <w:color w:val="000000"/>
                <w:szCs w:val="20"/>
                <w:lang w:val="en-CA" w:eastAsia="en-CA"/>
              </w:rPr>
            </w:pPr>
            <w:r w:rsidRPr="000337E2">
              <w:rPr>
                <w:rFonts w:ascii="Calibri" w:hAnsi="Calibri" w:cs="Calibri"/>
                <w:b/>
                <w:bCs/>
                <w:color w:val="000000"/>
                <w:szCs w:val="20"/>
                <w:lang w:val="en-CA" w:eastAsia="en-CA"/>
              </w:rPr>
              <w:t>Additions</w:t>
            </w:r>
          </w:p>
        </w:tc>
        <w:tc>
          <w:tcPr>
            <w:tcW w:w="1460" w:type="dxa"/>
            <w:tcBorders>
              <w:top w:val="nil"/>
              <w:left w:val="nil"/>
              <w:bottom w:val="nil"/>
              <w:right w:val="nil"/>
            </w:tcBorders>
            <w:shd w:val="clear" w:color="auto" w:fill="auto"/>
            <w:vAlign w:val="center"/>
            <w:hideMark/>
          </w:tcPr>
          <w:p w14:paraId="0A61F658" w14:textId="4158D54A" w:rsidR="000337E2" w:rsidRPr="000337E2" w:rsidRDefault="000337E2" w:rsidP="008537E6">
            <w:pPr>
              <w:ind w:right="-62"/>
              <w:jc w:val="right"/>
              <w:rPr>
                <w:rFonts w:ascii="Calibri" w:hAnsi="Calibri" w:cs="Calibri"/>
                <w:b/>
                <w:bCs/>
                <w:color w:val="000000"/>
                <w:szCs w:val="20"/>
                <w:lang w:val="en-CA" w:eastAsia="en-CA"/>
              </w:rPr>
            </w:pPr>
            <w:r w:rsidRPr="000337E2">
              <w:rPr>
                <w:rFonts w:ascii="Calibri" w:hAnsi="Calibri" w:cs="Calibri"/>
                <w:b/>
                <w:bCs/>
                <w:color w:val="000000"/>
                <w:szCs w:val="20"/>
                <w:lang w:val="en-CA" w:eastAsia="en-CA"/>
              </w:rPr>
              <w:t xml:space="preserve"> (23,289)</w:t>
            </w:r>
          </w:p>
        </w:tc>
      </w:tr>
      <w:tr w:rsidR="000337E2" w:rsidRPr="000337E2" w14:paraId="73A860A6" w14:textId="77777777" w:rsidTr="00FA252C">
        <w:trPr>
          <w:trHeight w:val="276"/>
          <w:jc w:val="center"/>
        </w:trPr>
        <w:tc>
          <w:tcPr>
            <w:tcW w:w="3480" w:type="dxa"/>
            <w:tcBorders>
              <w:top w:val="single" w:sz="4" w:space="0" w:color="auto"/>
              <w:left w:val="nil"/>
              <w:bottom w:val="single" w:sz="4" w:space="0" w:color="auto"/>
              <w:right w:val="nil"/>
            </w:tcBorders>
            <w:shd w:val="clear" w:color="auto" w:fill="auto"/>
            <w:vAlign w:val="center"/>
            <w:hideMark/>
          </w:tcPr>
          <w:p w14:paraId="514926DC" w14:textId="77777777" w:rsidR="000337E2" w:rsidRPr="000337E2" w:rsidRDefault="000337E2" w:rsidP="000337E2">
            <w:pPr>
              <w:rPr>
                <w:rFonts w:ascii="Calibri" w:hAnsi="Calibri" w:cs="Calibri"/>
                <w:b/>
                <w:bCs/>
                <w:color w:val="000000"/>
                <w:szCs w:val="20"/>
                <w:lang w:val="en-CA" w:eastAsia="en-CA"/>
              </w:rPr>
            </w:pPr>
            <w:r w:rsidRPr="000337E2">
              <w:rPr>
                <w:rFonts w:ascii="Calibri" w:hAnsi="Calibri" w:cs="Calibri"/>
                <w:b/>
                <w:bCs/>
                <w:color w:val="000000"/>
                <w:szCs w:val="20"/>
                <w:lang w:val="en-CA" w:eastAsia="en-CA"/>
              </w:rPr>
              <w:t>Balance, March 31, 2024</w:t>
            </w:r>
          </w:p>
        </w:tc>
        <w:tc>
          <w:tcPr>
            <w:tcW w:w="1460" w:type="dxa"/>
            <w:tcBorders>
              <w:top w:val="single" w:sz="4" w:space="0" w:color="auto"/>
              <w:left w:val="nil"/>
              <w:bottom w:val="single" w:sz="4" w:space="0" w:color="auto"/>
              <w:right w:val="nil"/>
            </w:tcBorders>
            <w:shd w:val="clear" w:color="auto" w:fill="auto"/>
            <w:vAlign w:val="center"/>
            <w:hideMark/>
          </w:tcPr>
          <w:p w14:paraId="7E6494AB" w14:textId="07FB5DA4" w:rsidR="000337E2" w:rsidRPr="000337E2" w:rsidRDefault="000337E2" w:rsidP="008537E6">
            <w:pPr>
              <w:ind w:right="-62"/>
              <w:jc w:val="right"/>
              <w:rPr>
                <w:rFonts w:ascii="Calibri" w:hAnsi="Calibri" w:cs="Calibri"/>
                <w:b/>
                <w:bCs/>
                <w:color w:val="000000"/>
                <w:szCs w:val="20"/>
                <w:lang w:val="en-CA" w:eastAsia="en-CA"/>
              </w:rPr>
            </w:pPr>
            <w:r w:rsidRPr="000337E2">
              <w:rPr>
                <w:rFonts w:ascii="Calibri" w:hAnsi="Calibri" w:cs="Calibri"/>
                <w:b/>
                <w:bCs/>
                <w:color w:val="000000"/>
                <w:szCs w:val="20"/>
                <w:lang w:val="en-CA" w:eastAsia="en-CA"/>
              </w:rPr>
              <w:t xml:space="preserve"> (126,796)</w:t>
            </w:r>
          </w:p>
        </w:tc>
      </w:tr>
      <w:tr w:rsidR="000337E2" w:rsidRPr="000337E2" w14:paraId="763562EF" w14:textId="77777777" w:rsidTr="00FA252C">
        <w:trPr>
          <w:trHeight w:val="276"/>
          <w:jc w:val="center"/>
        </w:trPr>
        <w:tc>
          <w:tcPr>
            <w:tcW w:w="3480" w:type="dxa"/>
            <w:tcBorders>
              <w:top w:val="nil"/>
              <w:left w:val="nil"/>
              <w:bottom w:val="nil"/>
              <w:right w:val="nil"/>
            </w:tcBorders>
            <w:shd w:val="clear" w:color="auto" w:fill="auto"/>
            <w:noWrap/>
            <w:vAlign w:val="bottom"/>
            <w:hideMark/>
          </w:tcPr>
          <w:p w14:paraId="1D90BC50" w14:textId="77777777" w:rsidR="000337E2" w:rsidRPr="000337E2" w:rsidRDefault="000337E2" w:rsidP="000337E2">
            <w:pPr>
              <w:jc w:val="right"/>
              <w:rPr>
                <w:rFonts w:ascii="Calibri" w:hAnsi="Calibri" w:cs="Calibri"/>
                <w:b/>
                <w:bCs/>
                <w:color w:val="000000"/>
                <w:szCs w:val="20"/>
                <w:lang w:val="en-CA" w:eastAsia="en-CA"/>
              </w:rPr>
            </w:pPr>
          </w:p>
        </w:tc>
        <w:tc>
          <w:tcPr>
            <w:tcW w:w="1460" w:type="dxa"/>
            <w:tcBorders>
              <w:top w:val="nil"/>
              <w:left w:val="nil"/>
              <w:bottom w:val="nil"/>
              <w:right w:val="nil"/>
            </w:tcBorders>
            <w:shd w:val="clear" w:color="auto" w:fill="auto"/>
            <w:noWrap/>
            <w:vAlign w:val="bottom"/>
            <w:hideMark/>
          </w:tcPr>
          <w:p w14:paraId="54951437" w14:textId="77777777" w:rsidR="000337E2" w:rsidRPr="000337E2" w:rsidRDefault="000337E2" w:rsidP="000337E2">
            <w:pPr>
              <w:rPr>
                <w:rFonts w:ascii="Times New Roman" w:hAnsi="Times New Roman"/>
                <w:szCs w:val="20"/>
                <w:lang w:val="en-CA" w:eastAsia="en-CA"/>
              </w:rPr>
            </w:pPr>
          </w:p>
        </w:tc>
      </w:tr>
      <w:tr w:rsidR="000337E2" w:rsidRPr="000337E2" w14:paraId="145EB9EA" w14:textId="77777777" w:rsidTr="00D84B03">
        <w:trPr>
          <w:trHeight w:val="288"/>
          <w:jc w:val="center"/>
        </w:trPr>
        <w:tc>
          <w:tcPr>
            <w:tcW w:w="3480" w:type="dxa"/>
            <w:tcBorders>
              <w:top w:val="nil"/>
              <w:left w:val="nil"/>
              <w:bottom w:val="single" w:sz="8" w:space="0" w:color="auto"/>
              <w:right w:val="nil"/>
            </w:tcBorders>
            <w:shd w:val="clear" w:color="auto" w:fill="auto"/>
            <w:vAlign w:val="center"/>
            <w:hideMark/>
          </w:tcPr>
          <w:p w14:paraId="79216CAC" w14:textId="77777777" w:rsidR="000337E2" w:rsidRPr="000337E2" w:rsidRDefault="000337E2" w:rsidP="000337E2">
            <w:pPr>
              <w:rPr>
                <w:rFonts w:ascii="Calibri" w:hAnsi="Calibri" w:cs="Calibri"/>
                <w:b/>
                <w:bCs/>
                <w:color w:val="000000"/>
                <w:szCs w:val="20"/>
                <w:lang w:val="en-CA" w:eastAsia="en-CA"/>
              </w:rPr>
            </w:pPr>
            <w:r w:rsidRPr="000337E2">
              <w:rPr>
                <w:rFonts w:ascii="Calibri" w:hAnsi="Calibri" w:cs="Calibri"/>
                <w:b/>
                <w:bCs/>
                <w:color w:val="000000"/>
                <w:szCs w:val="20"/>
                <w:lang w:val="en-CA" w:eastAsia="en-CA"/>
              </w:rPr>
              <w:t>Net Book Value</w:t>
            </w:r>
          </w:p>
        </w:tc>
        <w:tc>
          <w:tcPr>
            <w:tcW w:w="1460" w:type="dxa"/>
            <w:tcBorders>
              <w:top w:val="nil"/>
              <w:left w:val="nil"/>
              <w:bottom w:val="single" w:sz="8" w:space="0" w:color="auto"/>
              <w:right w:val="nil"/>
            </w:tcBorders>
            <w:shd w:val="clear" w:color="auto" w:fill="auto"/>
            <w:vAlign w:val="center"/>
            <w:hideMark/>
          </w:tcPr>
          <w:p w14:paraId="1252FA73" w14:textId="77777777" w:rsidR="000337E2" w:rsidRPr="000337E2" w:rsidRDefault="000337E2" w:rsidP="000337E2">
            <w:pPr>
              <w:jc w:val="right"/>
              <w:rPr>
                <w:rFonts w:ascii="Calibri" w:hAnsi="Calibri" w:cs="Calibri"/>
                <w:b/>
                <w:bCs/>
                <w:color w:val="000000"/>
                <w:szCs w:val="20"/>
                <w:lang w:val="en-CA" w:eastAsia="en-CA"/>
              </w:rPr>
            </w:pPr>
            <w:r w:rsidRPr="000337E2">
              <w:rPr>
                <w:rFonts w:ascii="Calibri" w:hAnsi="Calibri" w:cs="Calibri"/>
                <w:b/>
                <w:bCs/>
                <w:color w:val="000000"/>
                <w:szCs w:val="20"/>
                <w:lang w:val="en-CA" w:eastAsia="en-CA"/>
              </w:rPr>
              <w:t> </w:t>
            </w:r>
          </w:p>
        </w:tc>
      </w:tr>
      <w:tr w:rsidR="000337E2" w:rsidRPr="000337E2" w14:paraId="545E15FF" w14:textId="77777777" w:rsidTr="00D84B03">
        <w:trPr>
          <w:trHeight w:val="288"/>
          <w:jc w:val="center"/>
        </w:trPr>
        <w:tc>
          <w:tcPr>
            <w:tcW w:w="3480" w:type="dxa"/>
            <w:tcBorders>
              <w:top w:val="single" w:sz="8" w:space="0" w:color="auto"/>
              <w:left w:val="nil"/>
              <w:bottom w:val="single" w:sz="12" w:space="0" w:color="auto"/>
              <w:right w:val="nil"/>
            </w:tcBorders>
            <w:shd w:val="clear" w:color="auto" w:fill="auto"/>
            <w:vAlign w:val="center"/>
            <w:hideMark/>
          </w:tcPr>
          <w:p w14:paraId="110EF8F6" w14:textId="77777777" w:rsidR="000337E2" w:rsidRPr="000337E2" w:rsidRDefault="000337E2" w:rsidP="000337E2">
            <w:pPr>
              <w:rPr>
                <w:rFonts w:ascii="Calibri" w:hAnsi="Calibri" w:cs="Calibri"/>
                <w:color w:val="000000"/>
                <w:szCs w:val="20"/>
                <w:lang w:val="en-CA" w:eastAsia="en-CA"/>
              </w:rPr>
            </w:pPr>
            <w:r w:rsidRPr="000337E2">
              <w:rPr>
                <w:rFonts w:ascii="Calibri" w:hAnsi="Calibri" w:cs="Calibri"/>
                <w:color w:val="000000"/>
                <w:szCs w:val="20"/>
                <w:lang w:val="en-CA" w:eastAsia="en-CA"/>
              </w:rPr>
              <w:t>Balance, June 30, 2023</w:t>
            </w:r>
          </w:p>
        </w:tc>
        <w:tc>
          <w:tcPr>
            <w:tcW w:w="1460" w:type="dxa"/>
            <w:tcBorders>
              <w:top w:val="single" w:sz="8" w:space="0" w:color="auto"/>
              <w:left w:val="nil"/>
              <w:bottom w:val="single" w:sz="12" w:space="0" w:color="auto"/>
              <w:right w:val="nil"/>
            </w:tcBorders>
            <w:shd w:val="clear" w:color="auto" w:fill="auto"/>
            <w:vAlign w:val="center"/>
            <w:hideMark/>
          </w:tcPr>
          <w:p w14:paraId="0671BCA1" w14:textId="51440351" w:rsidR="000337E2" w:rsidRPr="000337E2" w:rsidRDefault="000337E2" w:rsidP="000337E2">
            <w:pPr>
              <w:jc w:val="right"/>
              <w:rPr>
                <w:rFonts w:ascii="Calibri" w:hAnsi="Calibri" w:cs="Calibri"/>
                <w:color w:val="000000"/>
                <w:szCs w:val="20"/>
                <w:lang w:val="en-CA" w:eastAsia="en-CA"/>
              </w:rPr>
            </w:pPr>
            <w:r w:rsidRPr="000337E2">
              <w:rPr>
                <w:rFonts w:ascii="Calibri" w:hAnsi="Calibri" w:cs="Calibri"/>
                <w:color w:val="000000"/>
                <w:szCs w:val="20"/>
                <w:lang w:val="en-CA" w:eastAsia="en-CA"/>
              </w:rPr>
              <w:t xml:space="preserve"> $ 51,753 </w:t>
            </w:r>
          </w:p>
        </w:tc>
      </w:tr>
      <w:tr w:rsidR="000337E2" w:rsidRPr="000337E2" w14:paraId="3AEC2875" w14:textId="77777777" w:rsidTr="00D84B03">
        <w:trPr>
          <w:trHeight w:val="300"/>
          <w:jc w:val="center"/>
        </w:trPr>
        <w:tc>
          <w:tcPr>
            <w:tcW w:w="3480" w:type="dxa"/>
            <w:tcBorders>
              <w:top w:val="single" w:sz="12" w:space="0" w:color="auto"/>
              <w:left w:val="nil"/>
              <w:bottom w:val="single" w:sz="12" w:space="0" w:color="auto"/>
              <w:right w:val="nil"/>
            </w:tcBorders>
            <w:shd w:val="clear" w:color="auto" w:fill="auto"/>
            <w:vAlign w:val="center"/>
            <w:hideMark/>
          </w:tcPr>
          <w:p w14:paraId="387EC99A" w14:textId="77777777" w:rsidR="000337E2" w:rsidRPr="000337E2" w:rsidRDefault="000337E2" w:rsidP="000337E2">
            <w:pPr>
              <w:rPr>
                <w:rFonts w:ascii="Calibri" w:hAnsi="Calibri" w:cs="Calibri"/>
                <w:b/>
                <w:bCs/>
                <w:color w:val="000000"/>
                <w:szCs w:val="20"/>
                <w:lang w:val="en-CA" w:eastAsia="en-CA"/>
              </w:rPr>
            </w:pPr>
            <w:r w:rsidRPr="000337E2">
              <w:rPr>
                <w:rFonts w:ascii="Calibri" w:hAnsi="Calibri" w:cs="Calibri"/>
                <w:b/>
                <w:bCs/>
                <w:color w:val="000000"/>
                <w:szCs w:val="20"/>
                <w:lang w:val="en-CA" w:eastAsia="en-CA"/>
              </w:rPr>
              <w:t>Balance, March 31, 2024</w:t>
            </w:r>
          </w:p>
        </w:tc>
        <w:tc>
          <w:tcPr>
            <w:tcW w:w="1460" w:type="dxa"/>
            <w:tcBorders>
              <w:top w:val="single" w:sz="12" w:space="0" w:color="auto"/>
              <w:left w:val="nil"/>
              <w:bottom w:val="single" w:sz="12" w:space="0" w:color="auto"/>
              <w:right w:val="nil"/>
            </w:tcBorders>
            <w:shd w:val="clear" w:color="auto" w:fill="auto"/>
            <w:vAlign w:val="center"/>
            <w:hideMark/>
          </w:tcPr>
          <w:p w14:paraId="7308FD59" w14:textId="394010BE" w:rsidR="000337E2" w:rsidRPr="000337E2" w:rsidRDefault="000337E2" w:rsidP="000337E2">
            <w:pPr>
              <w:jc w:val="right"/>
              <w:rPr>
                <w:rFonts w:ascii="Calibri" w:hAnsi="Calibri" w:cs="Calibri"/>
                <w:b/>
                <w:bCs/>
                <w:color w:val="000000"/>
                <w:szCs w:val="20"/>
                <w:lang w:val="en-CA" w:eastAsia="en-CA"/>
              </w:rPr>
            </w:pPr>
            <w:r w:rsidRPr="000337E2">
              <w:rPr>
                <w:rFonts w:ascii="Calibri" w:hAnsi="Calibri" w:cs="Calibri"/>
                <w:b/>
                <w:bCs/>
                <w:color w:val="000000"/>
                <w:szCs w:val="20"/>
                <w:lang w:val="en-CA" w:eastAsia="en-CA"/>
              </w:rPr>
              <w:t xml:space="preserve"> $ 28,464 </w:t>
            </w:r>
          </w:p>
        </w:tc>
      </w:tr>
    </w:tbl>
    <w:p w14:paraId="1B2BA62F" w14:textId="0F4E199B" w:rsidR="000C232A" w:rsidRPr="00FC2211" w:rsidRDefault="000C232A" w:rsidP="005E38F2">
      <w:pPr>
        <w:ind w:left="737"/>
        <w:jc w:val="center"/>
        <w:rPr>
          <w:rFonts w:cstheme="minorHAnsi"/>
          <w:szCs w:val="20"/>
        </w:rPr>
      </w:pPr>
    </w:p>
    <w:p w14:paraId="68915800" w14:textId="67869AC1" w:rsidR="009D5119" w:rsidRPr="00FC2211" w:rsidRDefault="00351BE0" w:rsidP="000C232A">
      <w:pPr>
        <w:pStyle w:val="Heading1"/>
        <w:rPr>
          <w:lang w:val="en-GB"/>
        </w:rPr>
      </w:pPr>
      <w:bookmarkStart w:id="10" w:name="_Hlk83822489"/>
      <w:r w:rsidRPr="00FC2211">
        <w:rPr>
          <w:lang w:val="en-GB"/>
        </w:rPr>
        <w:t>2</w:t>
      </w:r>
      <w:r w:rsidR="00CC1E02">
        <w:rPr>
          <w:lang w:val="en-GB"/>
        </w:rPr>
        <w:t>2</w:t>
      </w:r>
      <w:r w:rsidR="000C232A" w:rsidRPr="00FC2211">
        <w:rPr>
          <w:lang w:val="en-GB"/>
        </w:rPr>
        <w:t xml:space="preserve">. </w:t>
      </w:r>
      <w:r w:rsidR="00506AE2" w:rsidRPr="00FC2211">
        <w:rPr>
          <w:lang w:val="en-GB"/>
        </w:rPr>
        <w:t xml:space="preserve">  </w:t>
      </w:r>
      <w:r w:rsidR="009D5119" w:rsidRPr="00FC2211">
        <w:rPr>
          <w:lang w:val="en-GB"/>
        </w:rPr>
        <w:t>LEASE LIABILITY</w:t>
      </w:r>
    </w:p>
    <w:bookmarkEnd w:id="10"/>
    <w:p w14:paraId="2AE9D3F0" w14:textId="77777777" w:rsidR="00636598" w:rsidRPr="00FC2211" w:rsidRDefault="00636598" w:rsidP="00943107">
      <w:pPr>
        <w:suppressLineNumbers/>
        <w:tabs>
          <w:tab w:val="left" w:pos="426"/>
        </w:tabs>
        <w:ind w:left="425"/>
        <w:rPr>
          <w:rFonts w:cstheme="minorHAnsi"/>
          <w:szCs w:val="20"/>
          <w:lang w:val="en-GB"/>
        </w:rPr>
      </w:pPr>
    </w:p>
    <w:p w14:paraId="67747327" w14:textId="074E2E87" w:rsidR="004D3668" w:rsidRPr="00FC2211" w:rsidRDefault="004D3668" w:rsidP="00D02C78">
      <w:pPr>
        <w:tabs>
          <w:tab w:val="left" w:pos="426"/>
        </w:tabs>
        <w:ind w:left="426"/>
        <w:jc w:val="both"/>
        <w:rPr>
          <w:rFonts w:cstheme="minorHAnsi"/>
          <w:szCs w:val="20"/>
          <w:lang w:val="en-GB"/>
        </w:rPr>
      </w:pPr>
      <w:r w:rsidRPr="00FC2211">
        <w:rPr>
          <w:rFonts w:cstheme="minorHAnsi"/>
          <w:szCs w:val="20"/>
          <w:lang w:val="en-GB"/>
        </w:rPr>
        <w:t xml:space="preserve">The </w:t>
      </w:r>
      <w:r w:rsidRPr="00FC2211">
        <w:rPr>
          <w:rFonts w:cstheme="minorHAnsi"/>
          <w:szCs w:val="20"/>
        </w:rPr>
        <w:t xml:space="preserve">lease liability is initially measured at the present value of the lease payments to be made over the lease term, using the effective interest method for the present value determination. As the rate implicit in the lease cannot be readily determined, the Company applied an average incremental borrowing rate. The Company used </w:t>
      </w:r>
      <w:r w:rsidR="00A457DC" w:rsidRPr="00FC2211">
        <w:rPr>
          <w:rFonts w:cstheme="minorHAnsi"/>
          <w:szCs w:val="20"/>
        </w:rPr>
        <w:t xml:space="preserve">a </w:t>
      </w:r>
      <w:r w:rsidRPr="00FC2211">
        <w:rPr>
          <w:rFonts w:cstheme="minorHAnsi"/>
          <w:szCs w:val="20"/>
        </w:rPr>
        <w:t xml:space="preserve">discount rate of 12.5% to calculate the present value of its lease payments. Total interest expense on lease </w:t>
      </w:r>
      <w:r w:rsidR="00036F84" w:rsidRPr="00FC2211">
        <w:rPr>
          <w:rFonts w:cstheme="minorHAnsi"/>
          <w:szCs w:val="20"/>
        </w:rPr>
        <w:t xml:space="preserve">liabilities </w:t>
      </w:r>
      <w:r w:rsidR="00EC0240" w:rsidRPr="00FC2211">
        <w:rPr>
          <w:rFonts w:cstheme="minorHAnsi"/>
          <w:szCs w:val="20"/>
          <w:lang w:val="en-GB"/>
        </w:rPr>
        <w:t xml:space="preserve">for the </w:t>
      </w:r>
      <w:r w:rsidR="005A3896">
        <w:rPr>
          <w:rFonts w:cstheme="minorHAnsi"/>
          <w:szCs w:val="20"/>
          <w:lang w:val="en-GB"/>
        </w:rPr>
        <w:t>nine</w:t>
      </w:r>
      <w:r w:rsidR="00B82FE0" w:rsidRPr="00FC2211">
        <w:rPr>
          <w:rFonts w:cstheme="minorHAnsi"/>
          <w:szCs w:val="20"/>
          <w:lang w:val="en-GB"/>
        </w:rPr>
        <w:t xml:space="preserve"> months ended </w:t>
      </w:r>
      <w:r w:rsidR="005A3896">
        <w:rPr>
          <w:rFonts w:cstheme="minorHAnsi"/>
          <w:szCs w:val="20"/>
          <w:lang w:val="en-GB"/>
        </w:rPr>
        <w:t>March 31, 2024</w:t>
      </w:r>
      <w:r w:rsidR="00C76D95" w:rsidRPr="00FC2211">
        <w:rPr>
          <w:rFonts w:cstheme="minorHAnsi"/>
          <w:szCs w:val="20"/>
          <w:lang w:val="en-GB"/>
        </w:rPr>
        <w:t>,</w:t>
      </w:r>
      <w:r w:rsidRPr="00FC2211">
        <w:rPr>
          <w:rFonts w:cstheme="minorHAnsi"/>
          <w:szCs w:val="20"/>
          <w:lang w:val="en-GB"/>
        </w:rPr>
        <w:t xml:space="preserve"> was $</w:t>
      </w:r>
      <w:r w:rsidR="004158D5">
        <w:rPr>
          <w:rFonts w:cstheme="minorHAnsi"/>
          <w:szCs w:val="20"/>
          <w:lang w:val="en-GB"/>
        </w:rPr>
        <w:t>4,874</w:t>
      </w:r>
      <w:r w:rsidRPr="00FC2211">
        <w:rPr>
          <w:rFonts w:cstheme="minorHAnsi"/>
          <w:szCs w:val="20"/>
          <w:lang w:val="en-GB"/>
        </w:rPr>
        <w:t xml:space="preserve"> (</w:t>
      </w:r>
      <w:r w:rsidR="009B106D">
        <w:rPr>
          <w:rFonts w:cstheme="minorHAnsi"/>
          <w:szCs w:val="20"/>
          <w:lang w:val="en-GB"/>
        </w:rPr>
        <w:t>March 31, 2023</w:t>
      </w:r>
      <w:r w:rsidRPr="00FC2211">
        <w:rPr>
          <w:rFonts w:cstheme="minorHAnsi"/>
          <w:szCs w:val="20"/>
          <w:lang w:val="en-GB"/>
        </w:rPr>
        <w:t xml:space="preserve"> - $</w:t>
      </w:r>
      <w:r w:rsidR="00AA484F">
        <w:rPr>
          <w:rFonts w:cstheme="minorHAnsi"/>
          <w:szCs w:val="20"/>
          <w:lang w:val="en-GB"/>
        </w:rPr>
        <w:t>7,962</w:t>
      </w:r>
      <w:r w:rsidRPr="00FC2211">
        <w:rPr>
          <w:rFonts w:cstheme="minorHAnsi"/>
          <w:szCs w:val="20"/>
          <w:lang w:val="en-GB"/>
        </w:rPr>
        <w:t xml:space="preserve">). The following table represents </w:t>
      </w:r>
      <w:r w:rsidR="00A457DC" w:rsidRPr="00FC2211">
        <w:rPr>
          <w:rFonts w:cstheme="minorHAnsi"/>
          <w:szCs w:val="20"/>
          <w:lang w:val="en-GB"/>
        </w:rPr>
        <w:t xml:space="preserve">the </w:t>
      </w:r>
      <w:r w:rsidRPr="00FC2211">
        <w:rPr>
          <w:rFonts w:cstheme="minorHAnsi"/>
          <w:szCs w:val="20"/>
          <w:lang w:val="en-GB"/>
        </w:rPr>
        <w:t>lease obligation for the Company:</w:t>
      </w:r>
    </w:p>
    <w:p w14:paraId="2A7C21C0" w14:textId="77777777" w:rsidR="00D02C78" w:rsidRPr="00FC2211" w:rsidRDefault="00D02C78" w:rsidP="002B36BD">
      <w:pPr>
        <w:tabs>
          <w:tab w:val="left" w:pos="426"/>
        </w:tabs>
        <w:ind w:left="426"/>
        <w:rPr>
          <w:rFonts w:cstheme="minorHAnsi"/>
          <w:szCs w:val="20"/>
          <w:lang w:val="en-GB"/>
        </w:rPr>
      </w:pPr>
    </w:p>
    <w:tbl>
      <w:tblPr>
        <w:tblW w:w="6096" w:type="dxa"/>
        <w:jc w:val="center"/>
        <w:tblLook w:val="04A0" w:firstRow="1" w:lastRow="0" w:firstColumn="1" w:lastColumn="0" w:noHBand="0" w:noVBand="1"/>
      </w:tblPr>
      <w:tblGrid>
        <w:gridCol w:w="2835"/>
        <w:gridCol w:w="1701"/>
        <w:gridCol w:w="1560"/>
      </w:tblGrid>
      <w:tr w:rsidR="00DE060B" w:rsidRPr="00DE060B" w14:paraId="1365E63E" w14:textId="77777777" w:rsidTr="00D84B03">
        <w:trPr>
          <w:trHeight w:val="288"/>
          <w:jc w:val="center"/>
        </w:trPr>
        <w:tc>
          <w:tcPr>
            <w:tcW w:w="2835" w:type="dxa"/>
            <w:tcBorders>
              <w:top w:val="nil"/>
              <w:left w:val="nil"/>
              <w:bottom w:val="single" w:sz="12" w:space="0" w:color="auto"/>
              <w:right w:val="nil"/>
            </w:tcBorders>
            <w:shd w:val="clear" w:color="auto" w:fill="auto"/>
            <w:vAlign w:val="center"/>
            <w:hideMark/>
          </w:tcPr>
          <w:p w14:paraId="0D847A7E" w14:textId="77777777" w:rsidR="00DE060B" w:rsidRPr="00DE060B" w:rsidRDefault="00DE060B" w:rsidP="00DE060B">
            <w:pPr>
              <w:rPr>
                <w:rFonts w:ascii="Calibri" w:hAnsi="Calibri" w:cs="Calibri"/>
                <w:b/>
                <w:bCs/>
                <w:color w:val="000000"/>
                <w:szCs w:val="20"/>
                <w:lang w:val="en-CA" w:eastAsia="en-CA"/>
              </w:rPr>
            </w:pPr>
            <w:r w:rsidRPr="00DE060B">
              <w:rPr>
                <w:rFonts w:ascii="Calibri" w:hAnsi="Calibri" w:cs="Calibri"/>
                <w:b/>
                <w:bCs/>
                <w:color w:val="000000"/>
                <w:szCs w:val="20"/>
                <w:lang w:val="en-CA" w:eastAsia="en-CA"/>
              </w:rPr>
              <w:t> </w:t>
            </w:r>
          </w:p>
        </w:tc>
        <w:tc>
          <w:tcPr>
            <w:tcW w:w="1701" w:type="dxa"/>
            <w:tcBorders>
              <w:top w:val="nil"/>
              <w:left w:val="nil"/>
              <w:bottom w:val="single" w:sz="12" w:space="0" w:color="auto"/>
              <w:right w:val="nil"/>
            </w:tcBorders>
            <w:shd w:val="clear" w:color="auto" w:fill="auto"/>
            <w:vAlign w:val="center"/>
            <w:hideMark/>
          </w:tcPr>
          <w:p w14:paraId="2E5BF0C4" w14:textId="77777777" w:rsidR="00DE060B" w:rsidRPr="00DE060B" w:rsidRDefault="00DE060B" w:rsidP="00DE060B">
            <w:pPr>
              <w:jc w:val="right"/>
              <w:rPr>
                <w:rFonts w:ascii="Calibri" w:hAnsi="Calibri" w:cs="Calibri"/>
                <w:b/>
                <w:bCs/>
                <w:color w:val="000000"/>
                <w:szCs w:val="20"/>
                <w:lang w:val="en-CA" w:eastAsia="en-CA"/>
              </w:rPr>
            </w:pPr>
            <w:r w:rsidRPr="00DE060B">
              <w:rPr>
                <w:rFonts w:ascii="Calibri" w:hAnsi="Calibri" w:cs="Calibri"/>
                <w:b/>
                <w:bCs/>
                <w:color w:val="000000"/>
                <w:szCs w:val="20"/>
                <w:lang w:val="en-CA" w:eastAsia="en-CA"/>
              </w:rPr>
              <w:t>March 31, 2024</w:t>
            </w:r>
          </w:p>
        </w:tc>
        <w:tc>
          <w:tcPr>
            <w:tcW w:w="1560" w:type="dxa"/>
            <w:tcBorders>
              <w:top w:val="nil"/>
              <w:left w:val="nil"/>
              <w:bottom w:val="single" w:sz="12" w:space="0" w:color="auto"/>
              <w:right w:val="nil"/>
            </w:tcBorders>
            <w:shd w:val="clear" w:color="auto" w:fill="auto"/>
            <w:vAlign w:val="center"/>
            <w:hideMark/>
          </w:tcPr>
          <w:p w14:paraId="18306380" w14:textId="77777777" w:rsidR="00DE060B" w:rsidRPr="00DE060B" w:rsidRDefault="00DE060B" w:rsidP="00DE060B">
            <w:pPr>
              <w:jc w:val="right"/>
              <w:rPr>
                <w:rFonts w:ascii="Calibri" w:hAnsi="Calibri" w:cs="Calibri"/>
                <w:color w:val="000000"/>
                <w:szCs w:val="20"/>
                <w:lang w:val="en-CA" w:eastAsia="en-CA"/>
              </w:rPr>
            </w:pPr>
            <w:r w:rsidRPr="00DE060B">
              <w:rPr>
                <w:rFonts w:ascii="Calibri" w:hAnsi="Calibri" w:cs="Calibri"/>
                <w:color w:val="000000"/>
                <w:szCs w:val="20"/>
                <w:lang w:val="en-CA" w:eastAsia="en-CA"/>
              </w:rPr>
              <w:t>June 30, 2023</w:t>
            </w:r>
          </w:p>
        </w:tc>
      </w:tr>
      <w:tr w:rsidR="00DE060B" w:rsidRPr="00DE060B" w14:paraId="123BF11D" w14:textId="77777777" w:rsidTr="00D84B03">
        <w:trPr>
          <w:trHeight w:val="276"/>
          <w:jc w:val="center"/>
        </w:trPr>
        <w:tc>
          <w:tcPr>
            <w:tcW w:w="2835" w:type="dxa"/>
            <w:tcBorders>
              <w:top w:val="single" w:sz="12" w:space="0" w:color="auto"/>
              <w:left w:val="nil"/>
              <w:bottom w:val="nil"/>
              <w:right w:val="nil"/>
            </w:tcBorders>
            <w:shd w:val="clear" w:color="auto" w:fill="auto"/>
            <w:vAlign w:val="center"/>
            <w:hideMark/>
          </w:tcPr>
          <w:p w14:paraId="473E899A" w14:textId="77777777" w:rsidR="00DE060B" w:rsidRPr="00DE060B" w:rsidRDefault="00DE060B" w:rsidP="00DE060B">
            <w:pPr>
              <w:rPr>
                <w:rFonts w:ascii="Calibri" w:hAnsi="Calibri" w:cs="Calibri"/>
                <w:color w:val="000000"/>
                <w:szCs w:val="20"/>
                <w:lang w:val="en-CA" w:eastAsia="en-CA"/>
              </w:rPr>
            </w:pPr>
            <w:r w:rsidRPr="00DE060B">
              <w:rPr>
                <w:rFonts w:ascii="Calibri" w:hAnsi="Calibri" w:cs="Calibri"/>
                <w:color w:val="000000"/>
                <w:szCs w:val="20"/>
                <w:lang w:val="en-CA" w:eastAsia="en-CA"/>
              </w:rPr>
              <w:t xml:space="preserve">Current </w:t>
            </w:r>
          </w:p>
        </w:tc>
        <w:tc>
          <w:tcPr>
            <w:tcW w:w="1701" w:type="dxa"/>
            <w:tcBorders>
              <w:top w:val="single" w:sz="12" w:space="0" w:color="auto"/>
              <w:left w:val="nil"/>
              <w:bottom w:val="nil"/>
              <w:right w:val="nil"/>
            </w:tcBorders>
            <w:shd w:val="clear" w:color="auto" w:fill="auto"/>
            <w:vAlign w:val="center"/>
            <w:hideMark/>
          </w:tcPr>
          <w:p w14:paraId="4531B1CF" w14:textId="18F15FC8" w:rsidR="00DE060B" w:rsidRPr="00DE060B" w:rsidRDefault="00DE060B" w:rsidP="00DE060B">
            <w:pPr>
              <w:jc w:val="right"/>
              <w:rPr>
                <w:rFonts w:ascii="Calibri" w:hAnsi="Calibri" w:cs="Calibri"/>
                <w:b/>
                <w:bCs/>
                <w:color w:val="000000"/>
                <w:szCs w:val="20"/>
                <w:lang w:val="en-CA" w:eastAsia="en-CA"/>
              </w:rPr>
            </w:pPr>
            <w:r w:rsidRPr="00DE060B">
              <w:rPr>
                <w:rFonts w:ascii="Calibri" w:hAnsi="Calibri" w:cs="Calibri"/>
                <w:b/>
                <w:bCs/>
                <w:color w:val="000000"/>
                <w:szCs w:val="20"/>
                <w:lang w:val="en-CA" w:eastAsia="en-CA"/>
              </w:rPr>
              <w:t xml:space="preserve"> $ 36,922 </w:t>
            </w:r>
          </w:p>
        </w:tc>
        <w:tc>
          <w:tcPr>
            <w:tcW w:w="1560" w:type="dxa"/>
            <w:tcBorders>
              <w:top w:val="single" w:sz="12" w:space="0" w:color="auto"/>
              <w:left w:val="nil"/>
              <w:bottom w:val="nil"/>
              <w:right w:val="nil"/>
            </w:tcBorders>
            <w:shd w:val="clear" w:color="auto" w:fill="auto"/>
            <w:vAlign w:val="center"/>
            <w:hideMark/>
          </w:tcPr>
          <w:p w14:paraId="1E7F3C60" w14:textId="525006F5" w:rsidR="00DE060B" w:rsidRPr="00DE060B" w:rsidRDefault="00DE060B" w:rsidP="00DE060B">
            <w:pPr>
              <w:jc w:val="right"/>
              <w:rPr>
                <w:rFonts w:ascii="Calibri" w:hAnsi="Calibri" w:cs="Calibri"/>
                <w:color w:val="000000"/>
                <w:szCs w:val="20"/>
                <w:lang w:val="en-CA" w:eastAsia="en-CA"/>
              </w:rPr>
            </w:pPr>
            <w:r w:rsidRPr="00DE060B">
              <w:rPr>
                <w:rFonts w:ascii="Calibri" w:hAnsi="Calibri" w:cs="Calibri"/>
                <w:color w:val="000000"/>
                <w:szCs w:val="20"/>
                <w:lang w:val="en-CA" w:eastAsia="en-CA"/>
              </w:rPr>
              <w:t xml:space="preserve"> $  36,352 </w:t>
            </w:r>
          </w:p>
        </w:tc>
      </w:tr>
      <w:tr w:rsidR="00DE060B" w:rsidRPr="00DE060B" w14:paraId="1D500BDE" w14:textId="77777777" w:rsidTr="00D84B03">
        <w:trPr>
          <w:trHeight w:val="276"/>
          <w:jc w:val="center"/>
        </w:trPr>
        <w:tc>
          <w:tcPr>
            <w:tcW w:w="2835" w:type="dxa"/>
            <w:tcBorders>
              <w:top w:val="nil"/>
              <w:left w:val="nil"/>
              <w:bottom w:val="single" w:sz="4" w:space="0" w:color="auto"/>
              <w:right w:val="nil"/>
            </w:tcBorders>
            <w:shd w:val="clear" w:color="auto" w:fill="auto"/>
            <w:vAlign w:val="center"/>
            <w:hideMark/>
          </w:tcPr>
          <w:p w14:paraId="209DAEE4" w14:textId="77777777" w:rsidR="00DE060B" w:rsidRPr="00DE060B" w:rsidRDefault="00DE060B" w:rsidP="00DE060B">
            <w:pPr>
              <w:rPr>
                <w:rFonts w:ascii="Calibri" w:hAnsi="Calibri" w:cs="Calibri"/>
                <w:color w:val="000000"/>
                <w:szCs w:val="20"/>
                <w:lang w:val="en-CA" w:eastAsia="en-CA"/>
              </w:rPr>
            </w:pPr>
            <w:r w:rsidRPr="00DE060B">
              <w:rPr>
                <w:rFonts w:ascii="Calibri" w:hAnsi="Calibri" w:cs="Calibri"/>
                <w:color w:val="000000"/>
                <w:szCs w:val="20"/>
                <w:lang w:val="en-CA" w:eastAsia="en-CA"/>
              </w:rPr>
              <w:t>Non-current</w:t>
            </w:r>
          </w:p>
        </w:tc>
        <w:tc>
          <w:tcPr>
            <w:tcW w:w="1701" w:type="dxa"/>
            <w:tcBorders>
              <w:top w:val="nil"/>
              <w:left w:val="nil"/>
              <w:bottom w:val="single" w:sz="4" w:space="0" w:color="auto"/>
              <w:right w:val="nil"/>
            </w:tcBorders>
            <w:shd w:val="clear" w:color="auto" w:fill="auto"/>
            <w:vAlign w:val="center"/>
            <w:hideMark/>
          </w:tcPr>
          <w:p w14:paraId="5C4B33FF" w14:textId="7EF43739" w:rsidR="00DE060B" w:rsidRPr="00DE060B" w:rsidRDefault="00DE060B" w:rsidP="002A6CA0">
            <w:pPr>
              <w:ind w:right="125"/>
              <w:jc w:val="right"/>
              <w:rPr>
                <w:rFonts w:ascii="Calibri" w:hAnsi="Calibri" w:cs="Calibri"/>
                <w:b/>
                <w:bCs/>
                <w:color w:val="000000"/>
                <w:szCs w:val="20"/>
                <w:lang w:val="en-CA" w:eastAsia="en-CA"/>
              </w:rPr>
            </w:pPr>
            <w:r w:rsidRPr="00DE060B">
              <w:rPr>
                <w:rFonts w:ascii="Calibri" w:hAnsi="Calibri" w:cs="Calibri"/>
                <w:b/>
                <w:bCs/>
                <w:color w:val="000000"/>
                <w:szCs w:val="20"/>
                <w:lang w:val="en-CA" w:eastAsia="en-CA"/>
              </w:rPr>
              <w:t xml:space="preserve">    -   </w:t>
            </w:r>
          </w:p>
        </w:tc>
        <w:tc>
          <w:tcPr>
            <w:tcW w:w="1560" w:type="dxa"/>
            <w:tcBorders>
              <w:top w:val="nil"/>
              <w:left w:val="nil"/>
              <w:bottom w:val="single" w:sz="4" w:space="0" w:color="auto"/>
              <w:right w:val="nil"/>
            </w:tcBorders>
            <w:shd w:val="clear" w:color="auto" w:fill="auto"/>
            <w:vAlign w:val="center"/>
            <w:hideMark/>
          </w:tcPr>
          <w:p w14:paraId="4C16AF4D" w14:textId="6B024CFA" w:rsidR="00DE060B" w:rsidRPr="00DE060B" w:rsidRDefault="00DE060B" w:rsidP="00DE060B">
            <w:pPr>
              <w:jc w:val="right"/>
              <w:rPr>
                <w:rFonts w:ascii="Calibri" w:hAnsi="Calibri" w:cs="Calibri"/>
                <w:color w:val="000000"/>
                <w:szCs w:val="20"/>
                <w:lang w:val="en-CA" w:eastAsia="en-CA"/>
              </w:rPr>
            </w:pPr>
            <w:r w:rsidRPr="00DE060B">
              <w:rPr>
                <w:rFonts w:ascii="Calibri" w:hAnsi="Calibri" w:cs="Calibri"/>
                <w:color w:val="000000"/>
                <w:szCs w:val="20"/>
                <w:lang w:val="en-CA" w:eastAsia="en-CA"/>
              </w:rPr>
              <w:t xml:space="preserve">   27,266 </w:t>
            </w:r>
          </w:p>
        </w:tc>
      </w:tr>
      <w:tr w:rsidR="00DE060B" w:rsidRPr="00DE060B" w14:paraId="4376E533" w14:textId="77777777" w:rsidTr="00D84B03">
        <w:trPr>
          <w:trHeight w:val="288"/>
          <w:jc w:val="center"/>
        </w:trPr>
        <w:tc>
          <w:tcPr>
            <w:tcW w:w="2835" w:type="dxa"/>
            <w:tcBorders>
              <w:top w:val="single" w:sz="4" w:space="0" w:color="auto"/>
              <w:left w:val="nil"/>
              <w:bottom w:val="single" w:sz="12" w:space="0" w:color="auto"/>
              <w:right w:val="nil"/>
            </w:tcBorders>
            <w:shd w:val="clear" w:color="auto" w:fill="auto"/>
            <w:vAlign w:val="center"/>
            <w:hideMark/>
          </w:tcPr>
          <w:p w14:paraId="22E416E5" w14:textId="77777777" w:rsidR="00DE060B" w:rsidRPr="00DE060B" w:rsidRDefault="00DE060B" w:rsidP="00DE060B">
            <w:pPr>
              <w:rPr>
                <w:rFonts w:ascii="Calibri" w:hAnsi="Calibri" w:cs="Calibri"/>
                <w:b/>
                <w:bCs/>
                <w:color w:val="000000"/>
                <w:szCs w:val="20"/>
                <w:lang w:val="en-CA" w:eastAsia="en-CA"/>
              </w:rPr>
            </w:pPr>
            <w:r w:rsidRPr="00DE060B">
              <w:rPr>
                <w:rFonts w:ascii="Calibri" w:hAnsi="Calibri" w:cs="Calibri"/>
                <w:b/>
                <w:bCs/>
                <w:color w:val="000000"/>
                <w:szCs w:val="20"/>
                <w:lang w:val="en-CA" w:eastAsia="en-CA"/>
              </w:rPr>
              <w:t xml:space="preserve">Total lease obligation </w:t>
            </w:r>
          </w:p>
        </w:tc>
        <w:tc>
          <w:tcPr>
            <w:tcW w:w="1701" w:type="dxa"/>
            <w:tcBorders>
              <w:top w:val="single" w:sz="4" w:space="0" w:color="auto"/>
              <w:left w:val="nil"/>
              <w:bottom w:val="single" w:sz="12" w:space="0" w:color="auto"/>
              <w:right w:val="nil"/>
            </w:tcBorders>
            <w:shd w:val="clear" w:color="auto" w:fill="auto"/>
            <w:vAlign w:val="center"/>
            <w:hideMark/>
          </w:tcPr>
          <w:p w14:paraId="234F2177" w14:textId="79F76F0E" w:rsidR="00DE060B" w:rsidRPr="00DE060B" w:rsidRDefault="00DE060B" w:rsidP="00DE060B">
            <w:pPr>
              <w:jc w:val="right"/>
              <w:rPr>
                <w:rFonts w:ascii="Calibri" w:hAnsi="Calibri" w:cs="Calibri"/>
                <w:b/>
                <w:bCs/>
                <w:color w:val="000000"/>
                <w:szCs w:val="20"/>
                <w:lang w:val="en-CA" w:eastAsia="en-CA"/>
              </w:rPr>
            </w:pPr>
            <w:r w:rsidRPr="00DE060B">
              <w:rPr>
                <w:rFonts w:ascii="Calibri" w:hAnsi="Calibri" w:cs="Calibri"/>
                <w:b/>
                <w:bCs/>
                <w:color w:val="000000"/>
                <w:szCs w:val="20"/>
                <w:lang w:val="en-CA" w:eastAsia="en-CA"/>
              </w:rPr>
              <w:t xml:space="preserve"> $ 36,922 </w:t>
            </w:r>
          </w:p>
        </w:tc>
        <w:tc>
          <w:tcPr>
            <w:tcW w:w="1560" w:type="dxa"/>
            <w:tcBorders>
              <w:top w:val="single" w:sz="4" w:space="0" w:color="auto"/>
              <w:left w:val="nil"/>
              <w:bottom w:val="single" w:sz="12" w:space="0" w:color="auto"/>
              <w:right w:val="nil"/>
            </w:tcBorders>
            <w:shd w:val="clear" w:color="auto" w:fill="auto"/>
            <w:vAlign w:val="center"/>
            <w:hideMark/>
          </w:tcPr>
          <w:p w14:paraId="2DC396A4" w14:textId="246C54EA" w:rsidR="00DE060B" w:rsidRPr="00DE060B" w:rsidRDefault="00DE060B" w:rsidP="00DE060B">
            <w:pPr>
              <w:jc w:val="right"/>
              <w:rPr>
                <w:rFonts w:ascii="Calibri" w:hAnsi="Calibri" w:cs="Calibri"/>
                <w:color w:val="000000"/>
                <w:szCs w:val="20"/>
                <w:lang w:val="en-CA" w:eastAsia="en-CA"/>
              </w:rPr>
            </w:pPr>
            <w:r w:rsidRPr="00DE060B">
              <w:rPr>
                <w:rFonts w:ascii="Calibri" w:hAnsi="Calibri" w:cs="Calibri"/>
                <w:color w:val="000000"/>
                <w:szCs w:val="20"/>
                <w:lang w:val="en-CA" w:eastAsia="en-CA"/>
              </w:rPr>
              <w:t xml:space="preserve"> $  63,618 </w:t>
            </w:r>
          </w:p>
        </w:tc>
      </w:tr>
    </w:tbl>
    <w:p w14:paraId="3587568D" w14:textId="77777777" w:rsidR="000402C2" w:rsidRPr="00FC2211" w:rsidRDefault="000402C2" w:rsidP="005D1C9A">
      <w:pPr>
        <w:tabs>
          <w:tab w:val="left" w:pos="180"/>
          <w:tab w:val="left" w:pos="360"/>
        </w:tabs>
        <w:ind w:left="288"/>
        <w:jc w:val="center"/>
        <w:rPr>
          <w:rFonts w:cstheme="minorHAnsi"/>
          <w:szCs w:val="20"/>
          <w:lang w:val="en-GB"/>
        </w:rPr>
      </w:pPr>
    </w:p>
    <w:p w14:paraId="1AC05800" w14:textId="7565066F" w:rsidR="00832C48" w:rsidRDefault="006507F5" w:rsidP="00832C48">
      <w:pPr>
        <w:tabs>
          <w:tab w:val="left" w:pos="426"/>
        </w:tabs>
        <w:ind w:left="426"/>
        <w:rPr>
          <w:rFonts w:cstheme="minorHAnsi"/>
          <w:szCs w:val="20"/>
          <w:lang w:val="en-GB"/>
        </w:rPr>
      </w:pPr>
      <w:r w:rsidRPr="00FC2211">
        <w:rPr>
          <w:rFonts w:cstheme="minorHAnsi"/>
          <w:szCs w:val="20"/>
          <w:lang w:val="en-GB"/>
        </w:rPr>
        <w:t>The following table shows the roll</w:t>
      </w:r>
      <w:r w:rsidR="00C5170A" w:rsidRPr="00FC2211">
        <w:rPr>
          <w:rFonts w:cstheme="minorHAnsi"/>
          <w:szCs w:val="20"/>
          <w:lang w:val="en-GB"/>
        </w:rPr>
        <w:t xml:space="preserve"> </w:t>
      </w:r>
      <w:r w:rsidRPr="00FC2211">
        <w:rPr>
          <w:rFonts w:cstheme="minorHAnsi"/>
          <w:szCs w:val="20"/>
          <w:lang w:val="en-GB"/>
        </w:rPr>
        <w:t>forward of lease obligations for the</w:t>
      </w:r>
      <w:r w:rsidR="00243692" w:rsidRPr="00FC2211">
        <w:rPr>
          <w:rFonts w:cstheme="minorHAnsi"/>
          <w:szCs w:val="20"/>
          <w:lang w:val="en-GB"/>
        </w:rPr>
        <w:t xml:space="preserve"> </w:t>
      </w:r>
      <w:r w:rsidR="00957E3D">
        <w:rPr>
          <w:rFonts w:cstheme="minorHAnsi"/>
          <w:szCs w:val="20"/>
          <w:lang w:val="en-GB"/>
        </w:rPr>
        <w:t>nine</w:t>
      </w:r>
      <w:r w:rsidR="005E677D" w:rsidRPr="00FC2211">
        <w:rPr>
          <w:rFonts w:cstheme="minorHAnsi"/>
          <w:szCs w:val="20"/>
          <w:lang w:val="en-GB"/>
        </w:rPr>
        <w:t xml:space="preserve"> months</w:t>
      </w:r>
      <w:r w:rsidR="00C8286E" w:rsidRPr="00FC2211">
        <w:rPr>
          <w:rFonts w:cstheme="minorHAnsi"/>
          <w:szCs w:val="20"/>
          <w:lang w:val="en-GB"/>
        </w:rPr>
        <w:t xml:space="preserve"> ended </w:t>
      </w:r>
      <w:r w:rsidR="00E22D45">
        <w:rPr>
          <w:rFonts w:cstheme="minorHAnsi"/>
          <w:szCs w:val="20"/>
          <w:lang w:val="en-GB"/>
        </w:rPr>
        <w:t>March 31, 2024</w:t>
      </w:r>
      <w:r w:rsidR="00FB780D" w:rsidRPr="00FC2211">
        <w:rPr>
          <w:rFonts w:cstheme="minorHAnsi"/>
          <w:szCs w:val="20"/>
          <w:lang w:val="en-GB"/>
        </w:rPr>
        <w:t xml:space="preserve"> </w:t>
      </w:r>
      <w:r w:rsidR="00C8286E" w:rsidRPr="00FC2211">
        <w:rPr>
          <w:rFonts w:cstheme="minorHAnsi"/>
          <w:szCs w:val="20"/>
          <w:lang w:val="en-GB"/>
        </w:rPr>
        <w:t>and</w:t>
      </w:r>
      <w:r w:rsidR="002D41EF" w:rsidRPr="00FC2211">
        <w:rPr>
          <w:rFonts w:cstheme="minorHAnsi"/>
          <w:szCs w:val="20"/>
          <w:lang w:val="en-GB"/>
        </w:rPr>
        <w:t xml:space="preserve"> </w:t>
      </w:r>
      <w:r w:rsidR="005E677D" w:rsidRPr="00FC2211">
        <w:rPr>
          <w:rFonts w:cstheme="minorHAnsi"/>
          <w:szCs w:val="20"/>
          <w:lang w:val="en-GB"/>
        </w:rPr>
        <w:t xml:space="preserve">for the year ended June 30, </w:t>
      </w:r>
      <w:r w:rsidR="002D41EF" w:rsidRPr="00FC2211">
        <w:rPr>
          <w:rFonts w:cstheme="minorHAnsi"/>
          <w:szCs w:val="20"/>
          <w:lang w:val="en-GB"/>
        </w:rPr>
        <w:t>202</w:t>
      </w:r>
      <w:r w:rsidR="005E677D" w:rsidRPr="00FC2211">
        <w:rPr>
          <w:rFonts w:cstheme="minorHAnsi"/>
          <w:szCs w:val="20"/>
          <w:lang w:val="en-GB"/>
        </w:rPr>
        <w:t>3</w:t>
      </w:r>
      <w:r w:rsidRPr="00FC2211">
        <w:rPr>
          <w:rFonts w:cstheme="minorHAnsi"/>
          <w:szCs w:val="20"/>
          <w:lang w:val="en-GB"/>
        </w:rPr>
        <w:t>:</w:t>
      </w:r>
    </w:p>
    <w:tbl>
      <w:tblPr>
        <w:tblW w:w="5954" w:type="dxa"/>
        <w:jc w:val="center"/>
        <w:tblLook w:val="04A0" w:firstRow="1" w:lastRow="0" w:firstColumn="1" w:lastColumn="0" w:noHBand="0" w:noVBand="1"/>
      </w:tblPr>
      <w:tblGrid>
        <w:gridCol w:w="2552"/>
        <w:gridCol w:w="1843"/>
        <w:gridCol w:w="1559"/>
      </w:tblGrid>
      <w:tr w:rsidR="002A6CA0" w:rsidRPr="002A6CA0" w14:paraId="344381BD" w14:textId="77777777" w:rsidTr="00D84B03">
        <w:trPr>
          <w:trHeight w:val="288"/>
          <w:jc w:val="center"/>
        </w:trPr>
        <w:tc>
          <w:tcPr>
            <w:tcW w:w="2552" w:type="dxa"/>
            <w:tcBorders>
              <w:top w:val="nil"/>
              <w:left w:val="nil"/>
              <w:bottom w:val="single" w:sz="12" w:space="0" w:color="auto"/>
              <w:right w:val="nil"/>
            </w:tcBorders>
            <w:shd w:val="clear" w:color="auto" w:fill="auto"/>
            <w:hideMark/>
          </w:tcPr>
          <w:p w14:paraId="5640FD7F" w14:textId="77777777" w:rsidR="002A6CA0" w:rsidRPr="002A6CA0" w:rsidRDefault="002A6CA0" w:rsidP="002A6CA0">
            <w:pPr>
              <w:rPr>
                <w:rFonts w:ascii="Calibri" w:hAnsi="Calibri" w:cs="Calibri"/>
                <w:color w:val="000000"/>
                <w:szCs w:val="20"/>
                <w:lang w:val="en-CA" w:eastAsia="en-CA"/>
              </w:rPr>
            </w:pPr>
            <w:r w:rsidRPr="002A6CA0">
              <w:rPr>
                <w:rFonts w:ascii="Calibri" w:hAnsi="Calibri" w:cs="Calibri"/>
                <w:color w:val="000000"/>
                <w:szCs w:val="20"/>
                <w:lang w:val="en-CA" w:eastAsia="en-CA"/>
              </w:rPr>
              <w:t> </w:t>
            </w:r>
          </w:p>
        </w:tc>
        <w:tc>
          <w:tcPr>
            <w:tcW w:w="1843" w:type="dxa"/>
            <w:tcBorders>
              <w:top w:val="nil"/>
              <w:left w:val="nil"/>
              <w:bottom w:val="single" w:sz="12" w:space="0" w:color="auto"/>
              <w:right w:val="nil"/>
            </w:tcBorders>
            <w:shd w:val="clear" w:color="auto" w:fill="auto"/>
            <w:vAlign w:val="center"/>
            <w:hideMark/>
          </w:tcPr>
          <w:p w14:paraId="1649E341" w14:textId="77777777" w:rsidR="002A6CA0" w:rsidRPr="002A6CA0" w:rsidRDefault="002A6CA0" w:rsidP="002A6CA0">
            <w:pPr>
              <w:jc w:val="right"/>
              <w:rPr>
                <w:rFonts w:ascii="Calibri" w:hAnsi="Calibri" w:cs="Calibri"/>
                <w:b/>
                <w:bCs/>
                <w:color w:val="000000"/>
                <w:szCs w:val="20"/>
                <w:lang w:val="en-CA" w:eastAsia="en-CA"/>
              </w:rPr>
            </w:pPr>
            <w:r w:rsidRPr="002A6CA0">
              <w:rPr>
                <w:rFonts w:ascii="Calibri" w:hAnsi="Calibri" w:cs="Calibri"/>
                <w:b/>
                <w:bCs/>
                <w:color w:val="000000"/>
                <w:szCs w:val="20"/>
                <w:lang w:val="en-CA" w:eastAsia="en-CA"/>
              </w:rPr>
              <w:t>March 31, 2024</w:t>
            </w:r>
          </w:p>
        </w:tc>
        <w:tc>
          <w:tcPr>
            <w:tcW w:w="1559" w:type="dxa"/>
            <w:tcBorders>
              <w:top w:val="nil"/>
              <w:left w:val="nil"/>
              <w:bottom w:val="single" w:sz="12" w:space="0" w:color="auto"/>
              <w:right w:val="nil"/>
            </w:tcBorders>
            <w:shd w:val="clear" w:color="auto" w:fill="auto"/>
            <w:vAlign w:val="center"/>
            <w:hideMark/>
          </w:tcPr>
          <w:p w14:paraId="2BA00098" w14:textId="77777777" w:rsidR="002A6CA0" w:rsidRPr="002A6CA0" w:rsidRDefault="002A6CA0" w:rsidP="002A6CA0">
            <w:pPr>
              <w:jc w:val="right"/>
              <w:rPr>
                <w:rFonts w:ascii="Calibri" w:hAnsi="Calibri" w:cs="Calibri"/>
                <w:color w:val="000000"/>
                <w:szCs w:val="20"/>
                <w:lang w:val="en-CA" w:eastAsia="en-CA"/>
              </w:rPr>
            </w:pPr>
            <w:r w:rsidRPr="002A6CA0">
              <w:rPr>
                <w:rFonts w:ascii="Calibri" w:hAnsi="Calibri" w:cs="Calibri"/>
                <w:color w:val="000000"/>
                <w:szCs w:val="20"/>
                <w:lang w:val="en-CA" w:eastAsia="en-CA"/>
              </w:rPr>
              <w:t>June 30, 2023</w:t>
            </w:r>
          </w:p>
        </w:tc>
      </w:tr>
      <w:tr w:rsidR="002A6CA0" w:rsidRPr="002A6CA0" w14:paraId="40182CB4" w14:textId="77777777" w:rsidTr="00D84B03">
        <w:trPr>
          <w:trHeight w:val="276"/>
          <w:jc w:val="center"/>
        </w:trPr>
        <w:tc>
          <w:tcPr>
            <w:tcW w:w="2552" w:type="dxa"/>
            <w:tcBorders>
              <w:top w:val="single" w:sz="12" w:space="0" w:color="auto"/>
              <w:left w:val="nil"/>
              <w:bottom w:val="nil"/>
              <w:right w:val="nil"/>
            </w:tcBorders>
            <w:shd w:val="clear" w:color="auto" w:fill="auto"/>
            <w:vAlign w:val="center"/>
            <w:hideMark/>
          </w:tcPr>
          <w:p w14:paraId="1CD5042F" w14:textId="77777777" w:rsidR="002A6CA0" w:rsidRPr="002A6CA0" w:rsidRDefault="002A6CA0" w:rsidP="002A6CA0">
            <w:pPr>
              <w:rPr>
                <w:rFonts w:ascii="Calibri" w:hAnsi="Calibri" w:cs="Calibri"/>
                <w:color w:val="000000"/>
                <w:szCs w:val="20"/>
                <w:lang w:val="en-CA" w:eastAsia="en-CA"/>
              </w:rPr>
            </w:pPr>
            <w:r w:rsidRPr="002A6CA0">
              <w:rPr>
                <w:rFonts w:ascii="Calibri" w:hAnsi="Calibri" w:cs="Calibri"/>
                <w:color w:val="000000"/>
                <w:szCs w:val="20"/>
                <w:lang w:val="en-CA" w:eastAsia="en-CA"/>
              </w:rPr>
              <w:t>Beginning balance</w:t>
            </w:r>
          </w:p>
        </w:tc>
        <w:tc>
          <w:tcPr>
            <w:tcW w:w="1843" w:type="dxa"/>
            <w:tcBorders>
              <w:top w:val="single" w:sz="12" w:space="0" w:color="auto"/>
              <w:left w:val="nil"/>
              <w:bottom w:val="nil"/>
              <w:right w:val="nil"/>
            </w:tcBorders>
            <w:shd w:val="clear" w:color="auto" w:fill="auto"/>
            <w:vAlign w:val="center"/>
            <w:hideMark/>
          </w:tcPr>
          <w:p w14:paraId="330E2E5B" w14:textId="4C726367" w:rsidR="002A6CA0" w:rsidRPr="002A6CA0" w:rsidRDefault="002A6CA0" w:rsidP="002A6CA0">
            <w:pPr>
              <w:jc w:val="right"/>
              <w:rPr>
                <w:rFonts w:ascii="Calibri" w:hAnsi="Calibri" w:cs="Calibri"/>
                <w:b/>
                <w:bCs/>
                <w:color w:val="000000"/>
                <w:szCs w:val="20"/>
                <w:lang w:val="en-CA" w:eastAsia="en-CA"/>
              </w:rPr>
            </w:pPr>
            <w:r w:rsidRPr="002A6CA0">
              <w:rPr>
                <w:rFonts w:ascii="Calibri" w:hAnsi="Calibri" w:cs="Calibri"/>
                <w:b/>
                <w:bCs/>
                <w:color w:val="000000"/>
                <w:szCs w:val="20"/>
                <w:lang w:val="en-CA" w:eastAsia="en-CA"/>
              </w:rPr>
              <w:t xml:space="preserve"> $ 63,618 </w:t>
            </w:r>
          </w:p>
        </w:tc>
        <w:tc>
          <w:tcPr>
            <w:tcW w:w="1559" w:type="dxa"/>
            <w:tcBorders>
              <w:top w:val="single" w:sz="12" w:space="0" w:color="auto"/>
              <w:left w:val="nil"/>
              <w:bottom w:val="nil"/>
              <w:right w:val="nil"/>
            </w:tcBorders>
            <w:shd w:val="clear" w:color="auto" w:fill="auto"/>
            <w:vAlign w:val="center"/>
            <w:hideMark/>
          </w:tcPr>
          <w:p w14:paraId="42152423" w14:textId="50938A7D" w:rsidR="002A6CA0" w:rsidRPr="002A6CA0" w:rsidRDefault="002A6CA0" w:rsidP="002A6CA0">
            <w:pPr>
              <w:jc w:val="right"/>
              <w:rPr>
                <w:rFonts w:ascii="Calibri" w:hAnsi="Calibri" w:cs="Calibri"/>
                <w:color w:val="000000"/>
                <w:szCs w:val="20"/>
                <w:lang w:val="en-CA" w:eastAsia="en-CA"/>
              </w:rPr>
            </w:pPr>
            <w:r w:rsidRPr="002A6CA0">
              <w:rPr>
                <w:rFonts w:ascii="Calibri" w:hAnsi="Calibri" w:cs="Calibri"/>
                <w:color w:val="000000"/>
                <w:szCs w:val="20"/>
                <w:lang w:val="en-CA" w:eastAsia="en-CA"/>
              </w:rPr>
              <w:t xml:space="preserve"> $ 94,934 </w:t>
            </w:r>
          </w:p>
        </w:tc>
      </w:tr>
      <w:tr w:rsidR="002A6CA0" w:rsidRPr="002A6CA0" w14:paraId="64025F3C" w14:textId="77777777" w:rsidTr="002A6CA0">
        <w:trPr>
          <w:trHeight w:val="276"/>
          <w:jc w:val="center"/>
        </w:trPr>
        <w:tc>
          <w:tcPr>
            <w:tcW w:w="2552" w:type="dxa"/>
            <w:tcBorders>
              <w:top w:val="nil"/>
              <w:left w:val="nil"/>
              <w:bottom w:val="nil"/>
              <w:right w:val="nil"/>
            </w:tcBorders>
            <w:shd w:val="clear" w:color="auto" w:fill="auto"/>
            <w:vAlign w:val="center"/>
            <w:hideMark/>
          </w:tcPr>
          <w:p w14:paraId="7A77D4FF" w14:textId="77777777" w:rsidR="002A6CA0" w:rsidRPr="002A6CA0" w:rsidRDefault="002A6CA0" w:rsidP="002A6CA0">
            <w:pPr>
              <w:rPr>
                <w:rFonts w:ascii="Calibri" w:hAnsi="Calibri" w:cs="Calibri"/>
                <w:color w:val="000000"/>
                <w:szCs w:val="20"/>
                <w:lang w:val="en-CA" w:eastAsia="en-CA"/>
              </w:rPr>
            </w:pPr>
            <w:r w:rsidRPr="002A6CA0">
              <w:rPr>
                <w:rFonts w:ascii="Calibri" w:hAnsi="Calibri" w:cs="Calibri"/>
                <w:color w:val="000000"/>
                <w:szCs w:val="20"/>
                <w:lang w:val="en-CA" w:eastAsia="en-CA"/>
              </w:rPr>
              <w:t>Interest expense</w:t>
            </w:r>
          </w:p>
        </w:tc>
        <w:tc>
          <w:tcPr>
            <w:tcW w:w="1843" w:type="dxa"/>
            <w:tcBorders>
              <w:top w:val="nil"/>
              <w:left w:val="nil"/>
              <w:bottom w:val="nil"/>
              <w:right w:val="nil"/>
            </w:tcBorders>
            <w:shd w:val="clear" w:color="auto" w:fill="auto"/>
            <w:vAlign w:val="center"/>
            <w:hideMark/>
          </w:tcPr>
          <w:p w14:paraId="62333225" w14:textId="010685EC" w:rsidR="002A6CA0" w:rsidRPr="002A6CA0" w:rsidRDefault="002A6CA0" w:rsidP="002A6CA0">
            <w:pPr>
              <w:jc w:val="right"/>
              <w:rPr>
                <w:rFonts w:ascii="Calibri" w:hAnsi="Calibri" w:cs="Calibri"/>
                <w:b/>
                <w:bCs/>
                <w:color w:val="000000"/>
                <w:szCs w:val="20"/>
                <w:lang w:val="en-CA" w:eastAsia="en-CA"/>
              </w:rPr>
            </w:pPr>
            <w:r w:rsidRPr="002A6CA0">
              <w:rPr>
                <w:rFonts w:ascii="Calibri" w:hAnsi="Calibri" w:cs="Calibri"/>
                <w:b/>
                <w:bCs/>
                <w:color w:val="000000"/>
                <w:szCs w:val="20"/>
                <w:lang w:val="en-CA" w:eastAsia="en-CA"/>
              </w:rPr>
              <w:t xml:space="preserve">  4,874 </w:t>
            </w:r>
          </w:p>
        </w:tc>
        <w:tc>
          <w:tcPr>
            <w:tcW w:w="1559" w:type="dxa"/>
            <w:tcBorders>
              <w:top w:val="nil"/>
              <w:left w:val="nil"/>
              <w:bottom w:val="nil"/>
              <w:right w:val="nil"/>
            </w:tcBorders>
            <w:shd w:val="clear" w:color="auto" w:fill="auto"/>
            <w:vAlign w:val="center"/>
            <w:hideMark/>
          </w:tcPr>
          <w:p w14:paraId="6117AADA" w14:textId="19CFB65B" w:rsidR="002A6CA0" w:rsidRPr="002A6CA0" w:rsidRDefault="002A6CA0" w:rsidP="002A6CA0">
            <w:pPr>
              <w:jc w:val="right"/>
              <w:rPr>
                <w:rFonts w:ascii="Calibri" w:hAnsi="Calibri" w:cs="Calibri"/>
                <w:color w:val="000000"/>
                <w:szCs w:val="20"/>
                <w:lang w:val="en-CA" w:eastAsia="en-CA"/>
              </w:rPr>
            </w:pPr>
            <w:r w:rsidRPr="002A6CA0">
              <w:rPr>
                <w:rFonts w:ascii="Calibri" w:hAnsi="Calibri" w:cs="Calibri"/>
                <w:color w:val="000000"/>
                <w:szCs w:val="20"/>
                <w:lang w:val="en-CA" w:eastAsia="en-CA"/>
              </w:rPr>
              <w:t xml:space="preserve">    10,124 </w:t>
            </w:r>
          </w:p>
        </w:tc>
      </w:tr>
      <w:tr w:rsidR="002A6CA0" w:rsidRPr="002A6CA0" w14:paraId="4B54A83B" w14:textId="77777777" w:rsidTr="00D84B03">
        <w:trPr>
          <w:trHeight w:val="276"/>
          <w:jc w:val="center"/>
        </w:trPr>
        <w:tc>
          <w:tcPr>
            <w:tcW w:w="2552" w:type="dxa"/>
            <w:tcBorders>
              <w:top w:val="nil"/>
              <w:left w:val="nil"/>
              <w:bottom w:val="single" w:sz="4" w:space="0" w:color="auto"/>
              <w:right w:val="nil"/>
            </w:tcBorders>
            <w:shd w:val="clear" w:color="auto" w:fill="auto"/>
            <w:vAlign w:val="center"/>
            <w:hideMark/>
          </w:tcPr>
          <w:p w14:paraId="4A0C6C2B" w14:textId="77777777" w:rsidR="002A6CA0" w:rsidRPr="002A6CA0" w:rsidRDefault="002A6CA0" w:rsidP="002A6CA0">
            <w:pPr>
              <w:rPr>
                <w:rFonts w:ascii="Calibri" w:hAnsi="Calibri" w:cs="Calibri"/>
                <w:color w:val="000000"/>
                <w:szCs w:val="20"/>
                <w:lang w:val="en-CA" w:eastAsia="en-CA"/>
              </w:rPr>
            </w:pPr>
            <w:r w:rsidRPr="002A6CA0">
              <w:rPr>
                <w:rFonts w:ascii="Calibri" w:hAnsi="Calibri" w:cs="Calibri"/>
                <w:color w:val="000000"/>
                <w:szCs w:val="20"/>
                <w:lang w:val="en-CA" w:eastAsia="en-CA"/>
              </w:rPr>
              <w:t>Lease payments</w:t>
            </w:r>
          </w:p>
        </w:tc>
        <w:tc>
          <w:tcPr>
            <w:tcW w:w="1843" w:type="dxa"/>
            <w:tcBorders>
              <w:top w:val="nil"/>
              <w:left w:val="nil"/>
              <w:bottom w:val="single" w:sz="4" w:space="0" w:color="auto"/>
              <w:right w:val="nil"/>
            </w:tcBorders>
            <w:shd w:val="clear" w:color="auto" w:fill="auto"/>
            <w:vAlign w:val="center"/>
            <w:hideMark/>
          </w:tcPr>
          <w:p w14:paraId="599E92A0" w14:textId="724C5BC3" w:rsidR="002A6CA0" w:rsidRPr="002A6CA0" w:rsidRDefault="002A6CA0" w:rsidP="002A6CA0">
            <w:pPr>
              <w:ind w:right="-62"/>
              <w:jc w:val="right"/>
              <w:rPr>
                <w:rFonts w:ascii="Calibri" w:hAnsi="Calibri" w:cs="Calibri"/>
                <w:b/>
                <w:bCs/>
                <w:color w:val="000000"/>
                <w:szCs w:val="20"/>
                <w:lang w:val="en-CA" w:eastAsia="en-CA"/>
              </w:rPr>
            </w:pPr>
            <w:r w:rsidRPr="002A6CA0">
              <w:rPr>
                <w:rFonts w:ascii="Calibri" w:hAnsi="Calibri" w:cs="Calibri"/>
                <w:b/>
                <w:bCs/>
                <w:color w:val="000000"/>
                <w:szCs w:val="20"/>
                <w:lang w:val="en-CA" w:eastAsia="en-CA"/>
              </w:rPr>
              <w:t>(31,570)</w:t>
            </w:r>
          </w:p>
        </w:tc>
        <w:tc>
          <w:tcPr>
            <w:tcW w:w="1559" w:type="dxa"/>
            <w:tcBorders>
              <w:top w:val="nil"/>
              <w:left w:val="nil"/>
              <w:bottom w:val="single" w:sz="4" w:space="0" w:color="auto"/>
              <w:right w:val="nil"/>
            </w:tcBorders>
            <w:shd w:val="clear" w:color="auto" w:fill="auto"/>
            <w:vAlign w:val="center"/>
            <w:hideMark/>
          </w:tcPr>
          <w:p w14:paraId="336BD845" w14:textId="08D977A5" w:rsidR="002A6CA0" w:rsidRPr="002A6CA0" w:rsidRDefault="002A6CA0" w:rsidP="002A6CA0">
            <w:pPr>
              <w:ind w:right="-62"/>
              <w:jc w:val="right"/>
              <w:rPr>
                <w:rFonts w:ascii="Calibri" w:hAnsi="Calibri" w:cs="Calibri"/>
                <w:color w:val="000000"/>
                <w:szCs w:val="20"/>
                <w:lang w:val="en-CA" w:eastAsia="en-CA"/>
              </w:rPr>
            </w:pPr>
            <w:r w:rsidRPr="002A6CA0">
              <w:rPr>
                <w:rFonts w:ascii="Calibri" w:hAnsi="Calibri" w:cs="Calibri"/>
                <w:color w:val="000000"/>
                <w:szCs w:val="20"/>
                <w:lang w:val="en-CA" w:eastAsia="en-CA"/>
              </w:rPr>
              <w:t>(41,440)</w:t>
            </w:r>
          </w:p>
        </w:tc>
      </w:tr>
      <w:tr w:rsidR="002A6CA0" w:rsidRPr="002A6CA0" w14:paraId="45BFF9C8" w14:textId="77777777" w:rsidTr="00D84B03">
        <w:trPr>
          <w:trHeight w:val="288"/>
          <w:jc w:val="center"/>
        </w:trPr>
        <w:tc>
          <w:tcPr>
            <w:tcW w:w="2552" w:type="dxa"/>
            <w:tcBorders>
              <w:top w:val="single" w:sz="4" w:space="0" w:color="auto"/>
              <w:left w:val="nil"/>
              <w:bottom w:val="single" w:sz="12" w:space="0" w:color="auto"/>
              <w:right w:val="nil"/>
            </w:tcBorders>
            <w:shd w:val="clear" w:color="auto" w:fill="auto"/>
            <w:vAlign w:val="center"/>
            <w:hideMark/>
          </w:tcPr>
          <w:p w14:paraId="09C6BF1F" w14:textId="77777777" w:rsidR="002A6CA0" w:rsidRPr="002A6CA0" w:rsidRDefault="002A6CA0" w:rsidP="002A6CA0">
            <w:pPr>
              <w:rPr>
                <w:rFonts w:ascii="Calibri" w:hAnsi="Calibri" w:cs="Calibri"/>
                <w:b/>
                <w:bCs/>
                <w:color w:val="000000"/>
                <w:szCs w:val="20"/>
                <w:lang w:val="en-CA" w:eastAsia="en-CA"/>
              </w:rPr>
            </w:pPr>
            <w:r w:rsidRPr="002A6CA0">
              <w:rPr>
                <w:rFonts w:ascii="Calibri" w:hAnsi="Calibri" w:cs="Calibri"/>
                <w:b/>
                <w:bCs/>
                <w:color w:val="000000"/>
                <w:szCs w:val="20"/>
                <w:lang w:val="en-CA" w:eastAsia="en-CA"/>
              </w:rPr>
              <w:t>Ending balance</w:t>
            </w:r>
          </w:p>
        </w:tc>
        <w:tc>
          <w:tcPr>
            <w:tcW w:w="1843" w:type="dxa"/>
            <w:tcBorders>
              <w:top w:val="single" w:sz="4" w:space="0" w:color="auto"/>
              <w:left w:val="nil"/>
              <w:bottom w:val="single" w:sz="12" w:space="0" w:color="auto"/>
              <w:right w:val="nil"/>
            </w:tcBorders>
            <w:shd w:val="clear" w:color="auto" w:fill="auto"/>
            <w:vAlign w:val="center"/>
            <w:hideMark/>
          </w:tcPr>
          <w:p w14:paraId="289EBA04" w14:textId="56431522" w:rsidR="002A6CA0" w:rsidRPr="002A6CA0" w:rsidRDefault="002A6CA0" w:rsidP="002A6CA0">
            <w:pPr>
              <w:jc w:val="right"/>
              <w:rPr>
                <w:rFonts w:ascii="Calibri" w:hAnsi="Calibri" w:cs="Calibri"/>
                <w:b/>
                <w:bCs/>
                <w:color w:val="000000"/>
                <w:szCs w:val="20"/>
                <w:lang w:val="en-CA" w:eastAsia="en-CA"/>
              </w:rPr>
            </w:pPr>
            <w:r w:rsidRPr="002A6CA0">
              <w:rPr>
                <w:rFonts w:ascii="Calibri" w:hAnsi="Calibri" w:cs="Calibri"/>
                <w:b/>
                <w:bCs/>
                <w:color w:val="000000"/>
                <w:szCs w:val="20"/>
                <w:lang w:val="en-CA" w:eastAsia="en-CA"/>
              </w:rPr>
              <w:t xml:space="preserve"> $  36,922 </w:t>
            </w:r>
          </w:p>
        </w:tc>
        <w:tc>
          <w:tcPr>
            <w:tcW w:w="1559" w:type="dxa"/>
            <w:tcBorders>
              <w:top w:val="single" w:sz="4" w:space="0" w:color="auto"/>
              <w:left w:val="nil"/>
              <w:bottom w:val="single" w:sz="12" w:space="0" w:color="auto"/>
              <w:right w:val="nil"/>
            </w:tcBorders>
            <w:shd w:val="clear" w:color="auto" w:fill="auto"/>
            <w:vAlign w:val="center"/>
            <w:hideMark/>
          </w:tcPr>
          <w:p w14:paraId="6C52F64E" w14:textId="668EA193" w:rsidR="002A6CA0" w:rsidRPr="002A6CA0" w:rsidRDefault="002A6CA0" w:rsidP="002A6CA0">
            <w:pPr>
              <w:jc w:val="right"/>
              <w:rPr>
                <w:rFonts w:ascii="Calibri" w:hAnsi="Calibri" w:cs="Calibri"/>
                <w:color w:val="000000"/>
                <w:szCs w:val="20"/>
                <w:lang w:val="en-CA" w:eastAsia="en-CA"/>
              </w:rPr>
            </w:pPr>
            <w:r w:rsidRPr="002A6CA0">
              <w:rPr>
                <w:rFonts w:ascii="Calibri" w:hAnsi="Calibri" w:cs="Calibri"/>
                <w:color w:val="000000"/>
                <w:szCs w:val="20"/>
                <w:lang w:val="en-CA" w:eastAsia="en-CA"/>
              </w:rPr>
              <w:t xml:space="preserve"> $ 63,618 </w:t>
            </w:r>
          </w:p>
        </w:tc>
      </w:tr>
    </w:tbl>
    <w:p w14:paraId="65D68016" w14:textId="0187F0A5" w:rsidR="000402C2" w:rsidRDefault="000402C2" w:rsidP="000402C2">
      <w:pPr>
        <w:tabs>
          <w:tab w:val="left" w:pos="426"/>
        </w:tabs>
        <w:ind w:left="426"/>
        <w:jc w:val="center"/>
        <w:rPr>
          <w:rFonts w:cstheme="minorHAnsi"/>
          <w:szCs w:val="20"/>
          <w:lang w:val="en-GB"/>
        </w:rPr>
      </w:pPr>
    </w:p>
    <w:p w14:paraId="4641AF7A" w14:textId="77777777" w:rsidR="000C0D5D" w:rsidRPr="00FC2211" w:rsidRDefault="000C0D5D" w:rsidP="000402C2">
      <w:pPr>
        <w:tabs>
          <w:tab w:val="left" w:pos="426"/>
        </w:tabs>
        <w:ind w:left="426"/>
        <w:jc w:val="center"/>
        <w:rPr>
          <w:rFonts w:cstheme="minorHAnsi"/>
          <w:szCs w:val="20"/>
          <w:lang w:val="en-GB"/>
        </w:rPr>
      </w:pPr>
    </w:p>
    <w:p w14:paraId="49199FB6" w14:textId="77777777" w:rsidR="000C0D5D" w:rsidRPr="00FC2211" w:rsidRDefault="000C0D5D" w:rsidP="000C0D5D">
      <w:pPr>
        <w:pStyle w:val="Heading1"/>
        <w:rPr>
          <w:lang w:val="en-GB"/>
        </w:rPr>
      </w:pPr>
      <w:r w:rsidRPr="00FC2211">
        <w:rPr>
          <w:lang w:val="en-GB"/>
        </w:rPr>
        <w:lastRenderedPageBreak/>
        <w:t>2</w:t>
      </w:r>
      <w:r>
        <w:rPr>
          <w:lang w:val="en-GB"/>
        </w:rPr>
        <w:t>2</w:t>
      </w:r>
      <w:r w:rsidRPr="00FC2211">
        <w:rPr>
          <w:lang w:val="en-GB"/>
        </w:rPr>
        <w:t>.   LEASE LIABILITY (CONTINUED)</w:t>
      </w:r>
    </w:p>
    <w:p w14:paraId="1206F535" w14:textId="77777777" w:rsidR="00B77076" w:rsidRPr="00FC2211" w:rsidRDefault="00B77076">
      <w:pPr>
        <w:rPr>
          <w:rFonts w:cstheme="minorHAnsi"/>
          <w:szCs w:val="20"/>
          <w:lang w:val="en-GB"/>
        </w:rPr>
      </w:pPr>
    </w:p>
    <w:p w14:paraId="2FF9B278" w14:textId="1C337103" w:rsidR="006F5C86" w:rsidRPr="00FC2211" w:rsidRDefault="006B49CC" w:rsidP="002B36BD">
      <w:pPr>
        <w:tabs>
          <w:tab w:val="left" w:pos="426"/>
        </w:tabs>
        <w:ind w:left="426"/>
        <w:rPr>
          <w:rFonts w:cstheme="minorHAnsi"/>
          <w:szCs w:val="20"/>
          <w:lang w:val="en-GB"/>
        </w:rPr>
      </w:pPr>
      <w:r w:rsidRPr="00FC2211">
        <w:rPr>
          <w:rFonts w:cstheme="minorHAnsi"/>
          <w:szCs w:val="20"/>
          <w:lang w:val="en-GB"/>
        </w:rPr>
        <w:t xml:space="preserve">The following table presents the contractual undiscounted </w:t>
      </w:r>
      <w:r w:rsidR="000B7E24" w:rsidRPr="00FC2211">
        <w:rPr>
          <w:rFonts w:cstheme="minorHAnsi"/>
          <w:szCs w:val="20"/>
          <w:lang w:val="en-GB"/>
        </w:rPr>
        <w:t>cash flows</w:t>
      </w:r>
      <w:r w:rsidRPr="00FC2211">
        <w:rPr>
          <w:rFonts w:cstheme="minorHAnsi"/>
          <w:szCs w:val="20"/>
          <w:lang w:val="en-GB"/>
        </w:rPr>
        <w:t xml:space="preserve"> for lease obligation </w:t>
      </w:r>
      <w:r w:rsidR="00496C3A" w:rsidRPr="00FC2211">
        <w:rPr>
          <w:rFonts w:cstheme="minorHAnsi"/>
          <w:szCs w:val="20"/>
          <w:lang w:val="en-GB"/>
        </w:rPr>
        <w:t xml:space="preserve">for the </w:t>
      </w:r>
      <w:r w:rsidR="0067761D">
        <w:rPr>
          <w:rFonts w:cstheme="minorHAnsi"/>
          <w:szCs w:val="20"/>
          <w:lang w:val="en-GB"/>
        </w:rPr>
        <w:t>nine</w:t>
      </w:r>
      <w:r w:rsidR="00496C3A" w:rsidRPr="00FC2211">
        <w:rPr>
          <w:rFonts w:cstheme="minorHAnsi"/>
          <w:szCs w:val="20"/>
          <w:lang w:val="en-GB"/>
        </w:rPr>
        <w:t xml:space="preserve"> months ended </w:t>
      </w:r>
      <w:r w:rsidR="0067761D">
        <w:rPr>
          <w:rFonts w:cstheme="minorHAnsi"/>
          <w:szCs w:val="20"/>
          <w:lang w:val="en-GB"/>
        </w:rPr>
        <w:t>March</w:t>
      </w:r>
      <w:r w:rsidR="00214BC7" w:rsidRPr="00FC2211">
        <w:rPr>
          <w:rFonts w:cstheme="minorHAnsi"/>
          <w:szCs w:val="20"/>
          <w:lang w:val="en-GB"/>
        </w:rPr>
        <w:t xml:space="preserve"> 31</w:t>
      </w:r>
      <w:r w:rsidR="00496C3A" w:rsidRPr="00FC2211">
        <w:rPr>
          <w:rFonts w:cstheme="minorHAnsi"/>
          <w:szCs w:val="20"/>
          <w:lang w:val="en-GB"/>
        </w:rPr>
        <w:t>, 202</w:t>
      </w:r>
      <w:r w:rsidR="0067761D">
        <w:rPr>
          <w:rFonts w:cstheme="minorHAnsi"/>
          <w:szCs w:val="20"/>
          <w:lang w:val="en-GB"/>
        </w:rPr>
        <w:t>4</w:t>
      </w:r>
      <w:r w:rsidR="00496C3A" w:rsidRPr="00FC2211">
        <w:rPr>
          <w:rFonts w:cstheme="minorHAnsi"/>
          <w:szCs w:val="20"/>
          <w:lang w:val="en-GB"/>
        </w:rPr>
        <w:t xml:space="preserve"> and for the year ended June 30, 2023:</w:t>
      </w:r>
    </w:p>
    <w:p w14:paraId="0872A54C" w14:textId="77777777" w:rsidR="00BE5E33" w:rsidRPr="00FC2211" w:rsidRDefault="00BE5E33" w:rsidP="002B36BD">
      <w:pPr>
        <w:tabs>
          <w:tab w:val="left" w:pos="426"/>
        </w:tabs>
        <w:ind w:left="426"/>
        <w:rPr>
          <w:rFonts w:cstheme="minorHAnsi"/>
          <w:szCs w:val="20"/>
          <w:lang w:val="en-GB"/>
        </w:rPr>
      </w:pPr>
    </w:p>
    <w:tbl>
      <w:tblPr>
        <w:tblW w:w="6585" w:type="dxa"/>
        <w:jc w:val="center"/>
        <w:tblLook w:val="04A0" w:firstRow="1" w:lastRow="0" w:firstColumn="1" w:lastColumn="0" w:noHBand="0" w:noVBand="1"/>
      </w:tblPr>
      <w:tblGrid>
        <w:gridCol w:w="3261"/>
        <w:gridCol w:w="1765"/>
        <w:gridCol w:w="1559"/>
      </w:tblGrid>
      <w:tr w:rsidR="008B37D9" w:rsidRPr="008B37D9" w14:paraId="00F20BD9" w14:textId="77777777" w:rsidTr="00D84B03">
        <w:trPr>
          <w:trHeight w:val="288"/>
          <w:jc w:val="center"/>
        </w:trPr>
        <w:tc>
          <w:tcPr>
            <w:tcW w:w="3261" w:type="dxa"/>
            <w:tcBorders>
              <w:top w:val="nil"/>
              <w:left w:val="nil"/>
              <w:bottom w:val="single" w:sz="12" w:space="0" w:color="auto"/>
              <w:right w:val="nil"/>
            </w:tcBorders>
            <w:shd w:val="clear" w:color="auto" w:fill="auto"/>
            <w:vAlign w:val="center"/>
            <w:hideMark/>
          </w:tcPr>
          <w:p w14:paraId="5ADB9B66" w14:textId="77777777" w:rsidR="008B37D9" w:rsidRPr="008B37D9" w:rsidRDefault="008B37D9" w:rsidP="008B37D9">
            <w:pPr>
              <w:rPr>
                <w:rFonts w:ascii="Calibri" w:hAnsi="Calibri" w:cs="Calibri"/>
                <w:b/>
                <w:bCs/>
                <w:color w:val="000000"/>
                <w:szCs w:val="20"/>
                <w:lang w:val="en-CA" w:eastAsia="en-CA"/>
              </w:rPr>
            </w:pPr>
            <w:r w:rsidRPr="008B37D9">
              <w:rPr>
                <w:rFonts w:ascii="Calibri" w:hAnsi="Calibri" w:cs="Calibri"/>
                <w:b/>
                <w:bCs/>
                <w:color w:val="000000"/>
                <w:szCs w:val="20"/>
                <w:lang w:val="en-CA" w:eastAsia="en-CA"/>
              </w:rPr>
              <w:t> </w:t>
            </w:r>
          </w:p>
        </w:tc>
        <w:tc>
          <w:tcPr>
            <w:tcW w:w="1765" w:type="dxa"/>
            <w:tcBorders>
              <w:top w:val="nil"/>
              <w:left w:val="nil"/>
              <w:bottom w:val="single" w:sz="12" w:space="0" w:color="auto"/>
              <w:right w:val="nil"/>
            </w:tcBorders>
            <w:shd w:val="clear" w:color="auto" w:fill="auto"/>
            <w:vAlign w:val="center"/>
            <w:hideMark/>
          </w:tcPr>
          <w:p w14:paraId="35E56FB9" w14:textId="77777777" w:rsidR="008B37D9" w:rsidRPr="008B37D9" w:rsidRDefault="008B37D9" w:rsidP="008B37D9">
            <w:pPr>
              <w:jc w:val="right"/>
              <w:rPr>
                <w:rFonts w:ascii="Calibri" w:hAnsi="Calibri" w:cs="Calibri"/>
                <w:b/>
                <w:bCs/>
                <w:color w:val="000000"/>
                <w:szCs w:val="20"/>
                <w:lang w:val="en-CA" w:eastAsia="en-CA"/>
              </w:rPr>
            </w:pPr>
            <w:r w:rsidRPr="008B37D9">
              <w:rPr>
                <w:rFonts w:ascii="Calibri" w:hAnsi="Calibri" w:cs="Calibri"/>
                <w:b/>
                <w:bCs/>
                <w:color w:val="000000"/>
                <w:szCs w:val="20"/>
                <w:lang w:val="en-CA" w:eastAsia="en-CA"/>
              </w:rPr>
              <w:t>March 31, 2024</w:t>
            </w:r>
          </w:p>
        </w:tc>
        <w:tc>
          <w:tcPr>
            <w:tcW w:w="1559" w:type="dxa"/>
            <w:tcBorders>
              <w:top w:val="nil"/>
              <w:left w:val="nil"/>
              <w:bottom w:val="single" w:sz="12" w:space="0" w:color="auto"/>
              <w:right w:val="nil"/>
            </w:tcBorders>
            <w:shd w:val="clear" w:color="auto" w:fill="auto"/>
            <w:vAlign w:val="center"/>
            <w:hideMark/>
          </w:tcPr>
          <w:p w14:paraId="3DFBD39D" w14:textId="77777777" w:rsidR="008B37D9" w:rsidRPr="008B37D9" w:rsidRDefault="008B37D9" w:rsidP="008B37D9">
            <w:pPr>
              <w:jc w:val="right"/>
              <w:rPr>
                <w:rFonts w:ascii="Calibri" w:hAnsi="Calibri" w:cs="Calibri"/>
                <w:color w:val="000000"/>
                <w:szCs w:val="20"/>
                <w:lang w:val="en-CA" w:eastAsia="en-CA"/>
              </w:rPr>
            </w:pPr>
            <w:r w:rsidRPr="008B37D9">
              <w:rPr>
                <w:rFonts w:ascii="Calibri" w:hAnsi="Calibri" w:cs="Calibri"/>
                <w:color w:val="000000"/>
                <w:szCs w:val="20"/>
                <w:lang w:val="en-CA" w:eastAsia="en-CA"/>
              </w:rPr>
              <w:t>June 30, 2023</w:t>
            </w:r>
          </w:p>
        </w:tc>
      </w:tr>
      <w:tr w:rsidR="008B37D9" w:rsidRPr="008B37D9" w14:paraId="141C3F59" w14:textId="77777777" w:rsidTr="00D84B03">
        <w:trPr>
          <w:trHeight w:val="276"/>
          <w:jc w:val="center"/>
        </w:trPr>
        <w:tc>
          <w:tcPr>
            <w:tcW w:w="3261" w:type="dxa"/>
            <w:tcBorders>
              <w:top w:val="single" w:sz="12" w:space="0" w:color="auto"/>
              <w:left w:val="nil"/>
              <w:bottom w:val="nil"/>
              <w:right w:val="nil"/>
            </w:tcBorders>
            <w:shd w:val="clear" w:color="auto" w:fill="auto"/>
            <w:vAlign w:val="center"/>
            <w:hideMark/>
          </w:tcPr>
          <w:p w14:paraId="60BD4731" w14:textId="77777777" w:rsidR="008B37D9" w:rsidRPr="008B37D9" w:rsidRDefault="008B37D9" w:rsidP="008B37D9">
            <w:pPr>
              <w:rPr>
                <w:rFonts w:ascii="Calibri" w:hAnsi="Calibri" w:cs="Calibri"/>
                <w:color w:val="000000"/>
                <w:szCs w:val="20"/>
                <w:lang w:val="en-CA" w:eastAsia="en-CA"/>
              </w:rPr>
            </w:pPr>
            <w:r w:rsidRPr="008B37D9">
              <w:rPr>
                <w:rFonts w:ascii="Calibri" w:hAnsi="Calibri" w:cs="Calibri"/>
                <w:color w:val="000000"/>
                <w:szCs w:val="20"/>
                <w:lang w:val="en-CA" w:eastAsia="en-CA"/>
              </w:rPr>
              <w:t xml:space="preserve">Less than one year </w:t>
            </w:r>
          </w:p>
        </w:tc>
        <w:tc>
          <w:tcPr>
            <w:tcW w:w="1765" w:type="dxa"/>
            <w:tcBorders>
              <w:top w:val="single" w:sz="12" w:space="0" w:color="auto"/>
              <w:left w:val="nil"/>
              <w:bottom w:val="nil"/>
              <w:right w:val="nil"/>
            </w:tcBorders>
            <w:shd w:val="clear" w:color="auto" w:fill="auto"/>
            <w:vAlign w:val="center"/>
            <w:hideMark/>
          </w:tcPr>
          <w:p w14:paraId="586107F4" w14:textId="6EC9C33D" w:rsidR="008B37D9" w:rsidRPr="008B37D9" w:rsidRDefault="008B37D9" w:rsidP="008B37D9">
            <w:pPr>
              <w:jc w:val="right"/>
              <w:rPr>
                <w:rFonts w:ascii="Calibri" w:hAnsi="Calibri" w:cs="Calibri"/>
                <w:b/>
                <w:bCs/>
                <w:color w:val="000000"/>
                <w:szCs w:val="20"/>
                <w:lang w:val="en-CA" w:eastAsia="en-CA"/>
              </w:rPr>
            </w:pPr>
            <w:r w:rsidRPr="008B37D9">
              <w:rPr>
                <w:rFonts w:ascii="Calibri" w:hAnsi="Calibri" w:cs="Calibri"/>
                <w:b/>
                <w:bCs/>
                <w:color w:val="000000"/>
                <w:szCs w:val="20"/>
                <w:lang w:val="en-CA" w:eastAsia="en-CA"/>
              </w:rPr>
              <w:t xml:space="preserve"> $  39,270 </w:t>
            </w:r>
          </w:p>
        </w:tc>
        <w:tc>
          <w:tcPr>
            <w:tcW w:w="1559" w:type="dxa"/>
            <w:tcBorders>
              <w:top w:val="single" w:sz="12" w:space="0" w:color="auto"/>
              <w:left w:val="nil"/>
              <w:bottom w:val="nil"/>
              <w:right w:val="nil"/>
            </w:tcBorders>
            <w:shd w:val="clear" w:color="auto" w:fill="auto"/>
            <w:vAlign w:val="center"/>
            <w:hideMark/>
          </w:tcPr>
          <w:p w14:paraId="1D7B0930" w14:textId="4FA0BEC8" w:rsidR="008B37D9" w:rsidRPr="008B37D9" w:rsidRDefault="008B37D9" w:rsidP="008B37D9">
            <w:pPr>
              <w:jc w:val="right"/>
              <w:rPr>
                <w:rFonts w:ascii="Calibri" w:hAnsi="Calibri" w:cs="Calibri"/>
                <w:color w:val="000000"/>
                <w:szCs w:val="20"/>
                <w:lang w:val="en-CA" w:eastAsia="en-CA"/>
              </w:rPr>
            </w:pPr>
            <w:r w:rsidRPr="008B37D9">
              <w:rPr>
                <w:rFonts w:ascii="Calibri" w:hAnsi="Calibri" w:cs="Calibri"/>
                <w:color w:val="000000"/>
                <w:szCs w:val="20"/>
                <w:lang w:val="en-CA" w:eastAsia="en-CA"/>
              </w:rPr>
              <w:t xml:space="preserve"> $  42,280 </w:t>
            </w:r>
          </w:p>
        </w:tc>
      </w:tr>
      <w:tr w:rsidR="008B37D9" w:rsidRPr="008B37D9" w14:paraId="6A20486B" w14:textId="77777777" w:rsidTr="00D84B03">
        <w:trPr>
          <w:trHeight w:val="276"/>
          <w:jc w:val="center"/>
        </w:trPr>
        <w:tc>
          <w:tcPr>
            <w:tcW w:w="3261" w:type="dxa"/>
            <w:tcBorders>
              <w:top w:val="nil"/>
              <w:left w:val="nil"/>
              <w:bottom w:val="single" w:sz="4" w:space="0" w:color="auto"/>
              <w:right w:val="nil"/>
            </w:tcBorders>
            <w:shd w:val="clear" w:color="auto" w:fill="auto"/>
            <w:vAlign w:val="center"/>
            <w:hideMark/>
          </w:tcPr>
          <w:p w14:paraId="1AB6E2B2" w14:textId="77777777" w:rsidR="008B37D9" w:rsidRPr="008B37D9" w:rsidRDefault="008B37D9" w:rsidP="008B37D9">
            <w:pPr>
              <w:rPr>
                <w:rFonts w:ascii="Calibri" w:hAnsi="Calibri" w:cs="Calibri"/>
                <w:color w:val="000000"/>
                <w:szCs w:val="20"/>
                <w:lang w:val="en-CA" w:eastAsia="en-CA"/>
              </w:rPr>
            </w:pPr>
            <w:r w:rsidRPr="008B37D9">
              <w:rPr>
                <w:rFonts w:ascii="Calibri" w:hAnsi="Calibri" w:cs="Calibri"/>
                <w:color w:val="000000"/>
                <w:szCs w:val="20"/>
                <w:lang w:val="en-CA" w:eastAsia="en-CA"/>
              </w:rPr>
              <w:t>One to five years</w:t>
            </w:r>
          </w:p>
        </w:tc>
        <w:tc>
          <w:tcPr>
            <w:tcW w:w="1765" w:type="dxa"/>
            <w:tcBorders>
              <w:top w:val="nil"/>
              <w:left w:val="nil"/>
              <w:bottom w:val="single" w:sz="4" w:space="0" w:color="auto"/>
              <w:right w:val="nil"/>
            </w:tcBorders>
            <w:shd w:val="clear" w:color="auto" w:fill="auto"/>
            <w:vAlign w:val="center"/>
            <w:hideMark/>
          </w:tcPr>
          <w:p w14:paraId="75238454" w14:textId="4D53F9B7" w:rsidR="008B37D9" w:rsidRPr="008B37D9" w:rsidRDefault="008B37D9" w:rsidP="008B37D9">
            <w:pPr>
              <w:jc w:val="right"/>
              <w:rPr>
                <w:rFonts w:ascii="Calibri" w:hAnsi="Calibri" w:cs="Calibri"/>
                <w:b/>
                <w:bCs/>
                <w:color w:val="000000"/>
                <w:szCs w:val="20"/>
                <w:lang w:val="en-CA" w:eastAsia="en-CA"/>
              </w:rPr>
            </w:pPr>
            <w:r w:rsidRPr="008B37D9">
              <w:rPr>
                <w:rFonts w:ascii="Calibri" w:hAnsi="Calibri" w:cs="Calibri"/>
                <w:b/>
                <w:bCs/>
                <w:color w:val="000000"/>
                <w:szCs w:val="20"/>
                <w:lang w:val="en-CA" w:eastAsia="en-CA"/>
              </w:rPr>
              <w:t xml:space="preserve">      -   </w:t>
            </w:r>
          </w:p>
        </w:tc>
        <w:tc>
          <w:tcPr>
            <w:tcW w:w="1559" w:type="dxa"/>
            <w:tcBorders>
              <w:top w:val="nil"/>
              <w:left w:val="nil"/>
              <w:bottom w:val="single" w:sz="4" w:space="0" w:color="auto"/>
              <w:right w:val="nil"/>
            </w:tcBorders>
            <w:shd w:val="clear" w:color="auto" w:fill="auto"/>
            <w:vAlign w:val="center"/>
            <w:hideMark/>
          </w:tcPr>
          <w:p w14:paraId="6E987729" w14:textId="249051D9" w:rsidR="008B37D9" w:rsidRPr="008B37D9" w:rsidRDefault="008B37D9" w:rsidP="008B37D9">
            <w:pPr>
              <w:jc w:val="right"/>
              <w:rPr>
                <w:rFonts w:ascii="Calibri" w:hAnsi="Calibri" w:cs="Calibri"/>
                <w:color w:val="000000"/>
                <w:szCs w:val="20"/>
                <w:lang w:val="en-CA" w:eastAsia="en-CA"/>
              </w:rPr>
            </w:pPr>
            <w:r w:rsidRPr="008B37D9">
              <w:rPr>
                <w:rFonts w:ascii="Calibri" w:hAnsi="Calibri" w:cs="Calibri"/>
                <w:color w:val="000000"/>
                <w:szCs w:val="20"/>
                <w:lang w:val="en-CA" w:eastAsia="en-CA"/>
              </w:rPr>
              <w:t xml:space="preserve">   28,560 </w:t>
            </w:r>
          </w:p>
        </w:tc>
      </w:tr>
      <w:tr w:rsidR="008B37D9" w:rsidRPr="008B37D9" w14:paraId="07D50974" w14:textId="77777777" w:rsidTr="00D84B03">
        <w:trPr>
          <w:trHeight w:val="288"/>
          <w:jc w:val="center"/>
        </w:trPr>
        <w:tc>
          <w:tcPr>
            <w:tcW w:w="3261" w:type="dxa"/>
            <w:tcBorders>
              <w:top w:val="single" w:sz="4" w:space="0" w:color="auto"/>
              <w:left w:val="nil"/>
              <w:bottom w:val="single" w:sz="12" w:space="0" w:color="auto"/>
              <w:right w:val="nil"/>
            </w:tcBorders>
            <w:shd w:val="clear" w:color="auto" w:fill="auto"/>
            <w:vAlign w:val="center"/>
            <w:hideMark/>
          </w:tcPr>
          <w:p w14:paraId="738719B1" w14:textId="77777777" w:rsidR="008B37D9" w:rsidRPr="008B37D9" w:rsidRDefault="008B37D9" w:rsidP="008B37D9">
            <w:pPr>
              <w:rPr>
                <w:rFonts w:ascii="Calibri" w:hAnsi="Calibri" w:cs="Calibri"/>
                <w:b/>
                <w:bCs/>
                <w:color w:val="000000"/>
                <w:szCs w:val="20"/>
                <w:lang w:val="en-CA" w:eastAsia="en-CA"/>
              </w:rPr>
            </w:pPr>
            <w:r w:rsidRPr="008B37D9">
              <w:rPr>
                <w:rFonts w:ascii="Calibri" w:hAnsi="Calibri" w:cs="Calibri"/>
                <w:b/>
                <w:bCs/>
                <w:color w:val="000000"/>
                <w:szCs w:val="20"/>
                <w:lang w:val="en-CA" w:eastAsia="en-CA"/>
              </w:rPr>
              <w:t>Total undiscounted lease obligation</w:t>
            </w:r>
          </w:p>
        </w:tc>
        <w:tc>
          <w:tcPr>
            <w:tcW w:w="1765" w:type="dxa"/>
            <w:tcBorders>
              <w:top w:val="single" w:sz="4" w:space="0" w:color="auto"/>
              <w:left w:val="nil"/>
              <w:bottom w:val="single" w:sz="12" w:space="0" w:color="auto"/>
              <w:right w:val="nil"/>
            </w:tcBorders>
            <w:shd w:val="clear" w:color="auto" w:fill="auto"/>
            <w:vAlign w:val="center"/>
            <w:hideMark/>
          </w:tcPr>
          <w:p w14:paraId="20F19FED" w14:textId="299FB361" w:rsidR="008B37D9" w:rsidRPr="008B37D9" w:rsidRDefault="008B37D9" w:rsidP="008B37D9">
            <w:pPr>
              <w:jc w:val="right"/>
              <w:rPr>
                <w:rFonts w:ascii="Calibri" w:hAnsi="Calibri" w:cs="Calibri"/>
                <w:b/>
                <w:bCs/>
                <w:color w:val="000000"/>
                <w:szCs w:val="20"/>
                <w:lang w:val="en-CA" w:eastAsia="en-CA"/>
              </w:rPr>
            </w:pPr>
            <w:r w:rsidRPr="008B37D9">
              <w:rPr>
                <w:rFonts w:ascii="Calibri" w:hAnsi="Calibri" w:cs="Calibri"/>
                <w:b/>
                <w:bCs/>
                <w:color w:val="000000"/>
                <w:szCs w:val="20"/>
                <w:lang w:val="en-CA" w:eastAsia="en-CA"/>
              </w:rPr>
              <w:t xml:space="preserve"> $  39,270 </w:t>
            </w:r>
          </w:p>
        </w:tc>
        <w:tc>
          <w:tcPr>
            <w:tcW w:w="1559" w:type="dxa"/>
            <w:tcBorders>
              <w:top w:val="single" w:sz="4" w:space="0" w:color="auto"/>
              <w:left w:val="nil"/>
              <w:bottom w:val="single" w:sz="12" w:space="0" w:color="auto"/>
              <w:right w:val="nil"/>
            </w:tcBorders>
            <w:shd w:val="clear" w:color="auto" w:fill="auto"/>
            <w:vAlign w:val="center"/>
            <w:hideMark/>
          </w:tcPr>
          <w:p w14:paraId="70910E0D" w14:textId="7472C7BD" w:rsidR="008B37D9" w:rsidRPr="008B37D9" w:rsidRDefault="008B37D9" w:rsidP="008B37D9">
            <w:pPr>
              <w:jc w:val="right"/>
              <w:rPr>
                <w:rFonts w:ascii="Calibri" w:hAnsi="Calibri" w:cs="Calibri"/>
                <w:color w:val="000000"/>
                <w:szCs w:val="20"/>
                <w:lang w:val="en-CA" w:eastAsia="en-CA"/>
              </w:rPr>
            </w:pPr>
            <w:r w:rsidRPr="008B37D9">
              <w:rPr>
                <w:rFonts w:ascii="Calibri" w:hAnsi="Calibri" w:cs="Calibri"/>
                <w:color w:val="000000"/>
                <w:szCs w:val="20"/>
                <w:lang w:val="en-CA" w:eastAsia="en-CA"/>
              </w:rPr>
              <w:t xml:space="preserve"> $  70,840 </w:t>
            </w:r>
          </w:p>
        </w:tc>
      </w:tr>
    </w:tbl>
    <w:p w14:paraId="492A9B53" w14:textId="30548CA0" w:rsidR="00566385" w:rsidRPr="00FC2211" w:rsidRDefault="00566385" w:rsidP="0067761D">
      <w:pPr>
        <w:tabs>
          <w:tab w:val="left" w:pos="426"/>
        </w:tabs>
        <w:ind w:left="426"/>
        <w:jc w:val="center"/>
        <w:rPr>
          <w:rFonts w:cstheme="minorHAnsi"/>
          <w:szCs w:val="20"/>
          <w:lang w:val="en-GB"/>
        </w:rPr>
      </w:pPr>
    </w:p>
    <w:p w14:paraId="468FB38A" w14:textId="77777777" w:rsidR="00724B4F" w:rsidRDefault="00724B4F" w:rsidP="002B36BD">
      <w:pPr>
        <w:tabs>
          <w:tab w:val="left" w:pos="426"/>
        </w:tabs>
        <w:ind w:left="426"/>
        <w:rPr>
          <w:rFonts w:cstheme="minorHAnsi"/>
          <w:szCs w:val="20"/>
          <w:lang w:val="en-GB"/>
        </w:rPr>
      </w:pPr>
    </w:p>
    <w:p w14:paraId="02959732" w14:textId="520B50FE" w:rsidR="00624024" w:rsidRPr="00FC2211" w:rsidRDefault="006D57A9" w:rsidP="002B36BD">
      <w:pPr>
        <w:tabs>
          <w:tab w:val="left" w:pos="426"/>
        </w:tabs>
        <w:ind w:left="426"/>
        <w:rPr>
          <w:rFonts w:cstheme="minorHAnsi"/>
          <w:szCs w:val="20"/>
          <w:lang w:val="en-GB"/>
        </w:rPr>
      </w:pPr>
      <w:r w:rsidRPr="00FC2211">
        <w:rPr>
          <w:rFonts w:cstheme="minorHAnsi"/>
          <w:szCs w:val="20"/>
          <w:lang w:val="en-GB"/>
        </w:rPr>
        <w:t>D</w:t>
      </w:r>
      <w:r w:rsidR="00115ED2" w:rsidRPr="00FC2211">
        <w:rPr>
          <w:rFonts w:cstheme="minorHAnsi"/>
          <w:szCs w:val="20"/>
          <w:lang w:val="en-GB"/>
        </w:rPr>
        <w:t xml:space="preserve">uring the </w:t>
      </w:r>
      <w:r w:rsidR="00724B4F">
        <w:rPr>
          <w:rFonts w:cstheme="minorHAnsi"/>
          <w:szCs w:val="20"/>
          <w:lang w:val="en-GB"/>
        </w:rPr>
        <w:t>nine</w:t>
      </w:r>
      <w:r w:rsidR="00BE5E33" w:rsidRPr="00FC2211">
        <w:rPr>
          <w:rFonts w:cstheme="minorHAnsi"/>
          <w:szCs w:val="20"/>
          <w:lang w:val="en-GB"/>
        </w:rPr>
        <w:t xml:space="preserve"> months</w:t>
      </w:r>
      <w:r w:rsidR="002D0812" w:rsidRPr="00FC2211">
        <w:rPr>
          <w:rFonts w:cstheme="minorHAnsi"/>
          <w:szCs w:val="20"/>
          <w:lang w:val="en-GB"/>
        </w:rPr>
        <w:t xml:space="preserve"> </w:t>
      </w:r>
      <w:r w:rsidR="00FB780D" w:rsidRPr="00FC2211">
        <w:rPr>
          <w:rFonts w:cstheme="minorHAnsi"/>
          <w:szCs w:val="20"/>
          <w:lang w:val="en-GB"/>
        </w:rPr>
        <w:t xml:space="preserve">ended </w:t>
      </w:r>
      <w:r w:rsidR="00724B4F">
        <w:rPr>
          <w:rFonts w:cstheme="minorHAnsi"/>
          <w:szCs w:val="20"/>
          <w:lang w:val="en-GB"/>
        </w:rPr>
        <w:t>March 31, 2024</w:t>
      </w:r>
      <w:r w:rsidR="00115ED2" w:rsidRPr="00FC2211">
        <w:rPr>
          <w:rFonts w:cstheme="minorHAnsi"/>
          <w:szCs w:val="20"/>
          <w:lang w:val="en-GB"/>
        </w:rPr>
        <w:t>, the Company expensed $</w:t>
      </w:r>
      <w:r w:rsidR="003E4602">
        <w:rPr>
          <w:rFonts w:cstheme="minorHAnsi"/>
          <w:szCs w:val="20"/>
          <w:lang w:val="en-GB"/>
        </w:rPr>
        <w:t>33,010</w:t>
      </w:r>
      <w:r w:rsidR="00503059" w:rsidRPr="00FC2211">
        <w:rPr>
          <w:rFonts w:cstheme="minorHAnsi"/>
          <w:szCs w:val="20"/>
          <w:lang w:val="en-GB"/>
        </w:rPr>
        <w:t xml:space="preserve"> </w:t>
      </w:r>
      <w:r w:rsidR="00115ED2" w:rsidRPr="00FC2211">
        <w:rPr>
          <w:rFonts w:cstheme="minorHAnsi"/>
          <w:szCs w:val="20"/>
          <w:lang w:val="en-GB"/>
        </w:rPr>
        <w:t>in short</w:t>
      </w:r>
      <w:r w:rsidR="00F953D9" w:rsidRPr="00FC2211">
        <w:rPr>
          <w:rFonts w:cstheme="minorHAnsi"/>
          <w:szCs w:val="20"/>
          <w:lang w:val="en-GB"/>
        </w:rPr>
        <w:t>-</w:t>
      </w:r>
      <w:r w:rsidR="00115ED2" w:rsidRPr="00FC2211">
        <w:rPr>
          <w:rFonts w:cstheme="minorHAnsi"/>
          <w:szCs w:val="20"/>
          <w:lang w:val="en-GB"/>
        </w:rPr>
        <w:t xml:space="preserve">term and </w:t>
      </w:r>
      <w:r w:rsidR="00D02C78" w:rsidRPr="00FC2211">
        <w:rPr>
          <w:rFonts w:cstheme="minorHAnsi"/>
          <w:szCs w:val="20"/>
          <w:lang w:val="en-GB"/>
        </w:rPr>
        <w:t>low-value</w:t>
      </w:r>
      <w:r w:rsidR="00115ED2" w:rsidRPr="00FC2211">
        <w:rPr>
          <w:rFonts w:cstheme="minorHAnsi"/>
          <w:szCs w:val="20"/>
          <w:lang w:val="en-GB"/>
        </w:rPr>
        <w:t xml:space="preserve"> leases</w:t>
      </w:r>
      <w:r w:rsidR="007442A6" w:rsidRPr="00FC2211">
        <w:rPr>
          <w:rFonts w:cstheme="minorHAnsi"/>
          <w:szCs w:val="20"/>
          <w:lang w:val="en-GB"/>
        </w:rPr>
        <w:t xml:space="preserve"> (</w:t>
      </w:r>
      <w:r w:rsidR="008D5D67">
        <w:rPr>
          <w:rFonts w:cstheme="minorHAnsi"/>
          <w:szCs w:val="20"/>
          <w:lang w:val="en-GB"/>
        </w:rPr>
        <w:t>March 31, 2023</w:t>
      </w:r>
      <w:r w:rsidR="007442A6" w:rsidRPr="00FC2211">
        <w:rPr>
          <w:rFonts w:cstheme="minorHAnsi"/>
          <w:szCs w:val="20"/>
          <w:lang w:val="en-GB"/>
        </w:rPr>
        <w:t xml:space="preserve"> – $</w:t>
      </w:r>
      <w:r w:rsidR="008D5D67">
        <w:rPr>
          <w:rFonts w:cstheme="minorHAnsi"/>
          <w:szCs w:val="20"/>
          <w:lang w:val="en-GB"/>
        </w:rPr>
        <w:t>28,750</w:t>
      </w:r>
      <w:r w:rsidR="007442A6" w:rsidRPr="00FC2211">
        <w:rPr>
          <w:rFonts w:cstheme="minorHAnsi"/>
          <w:szCs w:val="20"/>
          <w:lang w:val="en-GB"/>
        </w:rPr>
        <w:t>)</w:t>
      </w:r>
      <w:r w:rsidR="00115ED2" w:rsidRPr="00FC2211">
        <w:rPr>
          <w:rFonts w:cstheme="minorHAnsi"/>
          <w:szCs w:val="20"/>
          <w:lang w:val="en-GB"/>
        </w:rPr>
        <w:t>.</w:t>
      </w:r>
    </w:p>
    <w:p w14:paraId="71F6AF8B" w14:textId="77777777" w:rsidR="00E9211A" w:rsidRPr="00FC2211" w:rsidRDefault="00E9211A" w:rsidP="00E9211A">
      <w:pPr>
        <w:tabs>
          <w:tab w:val="right" w:pos="10080"/>
        </w:tabs>
        <w:rPr>
          <w:rFonts w:cstheme="minorHAnsi"/>
          <w:b/>
          <w:bCs/>
          <w:szCs w:val="20"/>
          <w:lang w:val="en-GB"/>
        </w:rPr>
      </w:pPr>
    </w:p>
    <w:p w14:paraId="142544EF" w14:textId="3C2D8F9B" w:rsidR="00794B55" w:rsidRPr="00FC2211" w:rsidRDefault="00351BE0" w:rsidP="00351BE0">
      <w:pPr>
        <w:pStyle w:val="Heading1"/>
        <w:rPr>
          <w:lang w:val="en-GB"/>
        </w:rPr>
      </w:pPr>
      <w:bookmarkStart w:id="11" w:name="_Hlk95893495"/>
      <w:r w:rsidRPr="00FC2211">
        <w:rPr>
          <w:lang w:val="en-GB"/>
        </w:rPr>
        <w:t>2</w:t>
      </w:r>
      <w:r w:rsidR="00CC1E02">
        <w:rPr>
          <w:lang w:val="en-GB"/>
        </w:rPr>
        <w:t>3</w:t>
      </w:r>
      <w:r w:rsidR="00714F68">
        <w:rPr>
          <w:lang w:val="en-GB"/>
        </w:rPr>
        <w:t>.</w:t>
      </w:r>
      <w:r w:rsidRPr="00FC2211">
        <w:rPr>
          <w:lang w:val="en-GB"/>
        </w:rPr>
        <w:t xml:space="preserve"> </w:t>
      </w:r>
      <w:r w:rsidR="00E0783F" w:rsidRPr="00FC2211">
        <w:rPr>
          <w:lang w:val="en-GB"/>
        </w:rPr>
        <w:t xml:space="preserve">  </w:t>
      </w:r>
      <w:r w:rsidR="00794B55" w:rsidRPr="00FC2211">
        <w:rPr>
          <w:lang w:val="en-GB"/>
        </w:rPr>
        <w:t>SEGMENTED INFO</w:t>
      </w:r>
      <w:r w:rsidR="005B4ECC" w:rsidRPr="00FC2211">
        <w:rPr>
          <w:lang w:val="en-GB"/>
        </w:rPr>
        <w:t>RMATION</w:t>
      </w:r>
      <w:r w:rsidR="004035DA" w:rsidRPr="00FC2211">
        <w:rPr>
          <w:lang w:val="en-GB"/>
        </w:rPr>
        <w:t xml:space="preserve"> </w:t>
      </w:r>
    </w:p>
    <w:bookmarkEnd w:id="11"/>
    <w:p w14:paraId="74D23AB2" w14:textId="77777777" w:rsidR="003829B3" w:rsidRPr="00FC2211" w:rsidRDefault="003829B3" w:rsidP="002B36BD">
      <w:pPr>
        <w:ind w:left="426" w:firstLine="1"/>
        <w:rPr>
          <w:rFonts w:cstheme="minorHAnsi"/>
          <w:szCs w:val="20"/>
          <w:lang w:val="en-GB"/>
        </w:rPr>
      </w:pPr>
    </w:p>
    <w:p w14:paraId="4022AF82" w14:textId="5B1E44D9" w:rsidR="00B65585" w:rsidRPr="00FC2211" w:rsidRDefault="005924E9" w:rsidP="00D02C78">
      <w:pPr>
        <w:ind w:left="426" w:firstLine="1"/>
        <w:jc w:val="both"/>
        <w:rPr>
          <w:rFonts w:cstheme="minorHAnsi"/>
          <w:szCs w:val="20"/>
          <w:lang w:val="en-GB"/>
        </w:rPr>
      </w:pPr>
      <w:r w:rsidRPr="00FC2211">
        <w:rPr>
          <w:rFonts w:cstheme="minorHAnsi"/>
          <w:szCs w:val="20"/>
          <w:lang w:val="en-GB"/>
        </w:rPr>
        <w:t>T</w:t>
      </w:r>
      <w:r w:rsidR="00B65585" w:rsidRPr="00FC2211">
        <w:rPr>
          <w:rFonts w:cstheme="minorHAnsi"/>
          <w:szCs w:val="20"/>
          <w:lang w:val="en-GB"/>
        </w:rPr>
        <w:t xml:space="preserve">he Company has </w:t>
      </w:r>
      <w:r w:rsidRPr="00FC2211">
        <w:rPr>
          <w:rFonts w:cstheme="minorHAnsi"/>
          <w:szCs w:val="20"/>
          <w:lang w:val="en-GB"/>
        </w:rPr>
        <w:t xml:space="preserve">the following </w:t>
      </w:r>
      <w:r w:rsidR="00B65585" w:rsidRPr="00FC2211">
        <w:rPr>
          <w:rFonts w:cstheme="minorHAnsi"/>
          <w:szCs w:val="20"/>
          <w:lang w:val="en-GB"/>
        </w:rPr>
        <w:t xml:space="preserve">reporting segments: corporate and </w:t>
      </w:r>
      <w:r w:rsidR="001548F0" w:rsidRPr="00FC2211">
        <w:rPr>
          <w:rFonts w:cstheme="minorHAnsi"/>
          <w:szCs w:val="20"/>
          <w:lang w:val="en-GB"/>
        </w:rPr>
        <w:t>administration</w:t>
      </w:r>
      <w:r w:rsidR="003556B9" w:rsidRPr="00FC2211">
        <w:rPr>
          <w:rFonts w:cstheme="minorHAnsi"/>
          <w:szCs w:val="20"/>
          <w:lang w:val="en-GB"/>
        </w:rPr>
        <w:t>,</w:t>
      </w:r>
      <w:r w:rsidR="00B65585" w:rsidRPr="00FC2211">
        <w:rPr>
          <w:rFonts w:cstheme="minorHAnsi"/>
          <w:szCs w:val="20"/>
          <w:lang w:val="en-GB"/>
        </w:rPr>
        <w:t xml:space="preserve"> </w:t>
      </w:r>
      <w:r w:rsidR="00CE3F66" w:rsidRPr="00FC2211">
        <w:rPr>
          <w:rFonts w:cstheme="minorHAnsi"/>
          <w:szCs w:val="20"/>
          <w:lang w:val="en-GB"/>
        </w:rPr>
        <w:t>loss prevention</w:t>
      </w:r>
      <w:r w:rsidR="00B25DDB" w:rsidRPr="00FC2211">
        <w:rPr>
          <w:rFonts w:cstheme="minorHAnsi"/>
          <w:szCs w:val="20"/>
          <w:lang w:val="en-GB"/>
        </w:rPr>
        <w:t xml:space="preserve">, </w:t>
      </w:r>
      <w:r w:rsidR="002E5A41" w:rsidRPr="00FC2211">
        <w:rPr>
          <w:rFonts w:cstheme="minorHAnsi"/>
          <w:szCs w:val="20"/>
          <w:lang w:val="en-GB"/>
        </w:rPr>
        <w:t>retail media</w:t>
      </w:r>
      <w:r w:rsidR="00C83304" w:rsidRPr="00FC2211">
        <w:rPr>
          <w:rFonts w:cstheme="minorHAnsi"/>
          <w:szCs w:val="20"/>
          <w:lang w:val="en-GB"/>
        </w:rPr>
        <w:t>,</w:t>
      </w:r>
      <w:r w:rsidR="00276AFD" w:rsidRPr="00FC2211">
        <w:rPr>
          <w:rFonts w:cstheme="minorHAnsi"/>
          <w:szCs w:val="20"/>
          <w:lang w:val="en-GB"/>
        </w:rPr>
        <w:t xml:space="preserve"> and </w:t>
      </w:r>
      <w:r w:rsidR="00CE3F66" w:rsidRPr="00FC2211">
        <w:rPr>
          <w:rFonts w:cstheme="minorHAnsi"/>
          <w:szCs w:val="20"/>
          <w:lang w:val="en-GB"/>
        </w:rPr>
        <w:t>fabrication</w:t>
      </w:r>
      <w:r w:rsidR="00B65585" w:rsidRPr="00FC2211">
        <w:rPr>
          <w:rFonts w:cstheme="minorHAnsi"/>
          <w:szCs w:val="20"/>
          <w:lang w:val="en-GB"/>
        </w:rPr>
        <w:t xml:space="preserve">. </w:t>
      </w:r>
    </w:p>
    <w:p w14:paraId="0DB3D6FC" w14:textId="77777777" w:rsidR="00B65585" w:rsidRPr="00FC2211" w:rsidRDefault="00276AFD" w:rsidP="00D02C78">
      <w:pPr>
        <w:ind w:left="426"/>
        <w:jc w:val="both"/>
        <w:rPr>
          <w:rFonts w:cstheme="minorHAnsi"/>
          <w:szCs w:val="20"/>
          <w:lang w:val="en-GB"/>
        </w:rPr>
      </w:pPr>
      <w:r w:rsidRPr="00FC2211">
        <w:rPr>
          <w:rFonts w:cstheme="minorHAnsi"/>
          <w:szCs w:val="20"/>
          <w:lang w:val="en-GB"/>
        </w:rPr>
        <w:tab/>
      </w:r>
      <w:r w:rsidRPr="00FC2211">
        <w:rPr>
          <w:rFonts w:cstheme="minorHAnsi"/>
          <w:szCs w:val="20"/>
          <w:lang w:val="en-GB"/>
        </w:rPr>
        <w:tab/>
      </w:r>
    </w:p>
    <w:p w14:paraId="474B4355" w14:textId="60F5C26C" w:rsidR="006364BA" w:rsidRPr="00FC2211" w:rsidRDefault="00B65585" w:rsidP="00D02C78">
      <w:pPr>
        <w:ind w:left="426"/>
        <w:jc w:val="both"/>
        <w:rPr>
          <w:rFonts w:cstheme="minorHAnsi"/>
          <w:szCs w:val="20"/>
          <w:lang w:val="en-GB"/>
        </w:rPr>
      </w:pPr>
      <w:r w:rsidRPr="00FC2211">
        <w:rPr>
          <w:rFonts w:cstheme="minorHAnsi"/>
          <w:szCs w:val="20"/>
          <w:lang w:val="en-GB"/>
        </w:rPr>
        <w:t xml:space="preserve">Reportable segments are defined as components of an enterprise </w:t>
      </w:r>
      <w:r w:rsidR="009F3B3A" w:rsidRPr="00FC2211">
        <w:rPr>
          <w:rFonts w:cstheme="minorHAnsi"/>
          <w:szCs w:val="20"/>
          <w:lang w:val="en-GB"/>
        </w:rPr>
        <w:t xml:space="preserve">for </w:t>
      </w:r>
      <w:r w:rsidRPr="00FC2211">
        <w:rPr>
          <w:rFonts w:cstheme="minorHAnsi"/>
          <w:szCs w:val="20"/>
          <w:lang w:val="en-GB"/>
        </w:rPr>
        <w:t xml:space="preserve">which separate financial information is </w:t>
      </w:r>
      <w:r w:rsidR="00DA2EFA" w:rsidRPr="00FC2211">
        <w:rPr>
          <w:rFonts w:cstheme="minorHAnsi"/>
          <w:szCs w:val="20"/>
          <w:lang w:val="en-GB"/>
        </w:rPr>
        <w:t>available</w:t>
      </w:r>
      <w:r w:rsidR="00C83304" w:rsidRPr="00FC2211">
        <w:rPr>
          <w:rFonts w:cstheme="minorHAnsi"/>
          <w:szCs w:val="20"/>
          <w:lang w:val="en-GB"/>
        </w:rPr>
        <w:t>. They are</w:t>
      </w:r>
      <w:r w:rsidRPr="00FC2211">
        <w:rPr>
          <w:rFonts w:cstheme="minorHAnsi"/>
          <w:szCs w:val="20"/>
          <w:lang w:val="en-GB"/>
        </w:rPr>
        <w:t xml:space="preserve"> evaluated regularly by the chief operating decision maker </w:t>
      </w:r>
      <w:r w:rsidR="00EF4733" w:rsidRPr="00FC2211">
        <w:rPr>
          <w:rFonts w:cstheme="minorHAnsi"/>
          <w:szCs w:val="20"/>
          <w:lang w:val="en-GB"/>
        </w:rPr>
        <w:t>when</w:t>
      </w:r>
      <w:r w:rsidRPr="00FC2211">
        <w:rPr>
          <w:rFonts w:cstheme="minorHAnsi"/>
          <w:szCs w:val="20"/>
          <w:lang w:val="en-GB"/>
        </w:rPr>
        <w:t xml:space="preserve"> deciding how to allocate resources and </w:t>
      </w:r>
      <w:r w:rsidR="00C83304" w:rsidRPr="00FC2211">
        <w:rPr>
          <w:rFonts w:cstheme="minorHAnsi"/>
          <w:szCs w:val="20"/>
          <w:lang w:val="en-GB"/>
        </w:rPr>
        <w:t>assess</w:t>
      </w:r>
      <w:r w:rsidRPr="00FC2211">
        <w:rPr>
          <w:rFonts w:cstheme="minorHAnsi"/>
          <w:szCs w:val="20"/>
          <w:lang w:val="en-GB"/>
        </w:rPr>
        <w:t xml:space="preserve"> performance.</w:t>
      </w:r>
      <w:r w:rsidR="005B4ECC" w:rsidRPr="00FC2211">
        <w:rPr>
          <w:rFonts w:cstheme="minorHAnsi"/>
          <w:szCs w:val="20"/>
          <w:lang w:val="en-GB"/>
        </w:rPr>
        <w:t xml:space="preserve"> </w:t>
      </w:r>
    </w:p>
    <w:p w14:paraId="1E033E69" w14:textId="77777777" w:rsidR="006364BA" w:rsidRPr="00FC2211" w:rsidRDefault="006364BA" w:rsidP="00A31793">
      <w:pPr>
        <w:ind w:left="426"/>
        <w:jc w:val="both"/>
        <w:rPr>
          <w:rFonts w:cstheme="minorHAnsi"/>
          <w:szCs w:val="20"/>
          <w:lang w:val="en-GB"/>
        </w:rPr>
      </w:pPr>
    </w:p>
    <w:p w14:paraId="609B4BC8" w14:textId="7FFB3E29" w:rsidR="00E97F3D" w:rsidRDefault="005B4ECC" w:rsidP="00A31793">
      <w:pPr>
        <w:ind w:left="426"/>
        <w:jc w:val="both"/>
        <w:rPr>
          <w:rFonts w:cstheme="minorHAnsi"/>
          <w:szCs w:val="20"/>
          <w:lang w:val="en-GB"/>
        </w:rPr>
      </w:pPr>
      <w:r w:rsidRPr="00FC2211">
        <w:rPr>
          <w:rFonts w:cstheme="minorHAnsi"/>
          <w:szCs w:val="20"/>
          <w:lang w:val="en-GB"/>
        </w:rPr>
        <w:t xml:space="preserve">The reportable segments were determined based on the nature of the services provided and goods sold. Loss Prevention refers to sales of </w:t>
      </w:r>
      <w:r w:rsidR="00C22882" w:rsidRPr="00FC2211">
        <w:rPr>
          <w:rFonts w:cstheme="minorHAnsi"/>
          <w:szCs w:val="20"/>
          <w:lang w:val="en-GB"/>
        </w:rPr>
        <w:t xml:space="preserve">security technology, </w:t>
      </w:r>
      <w:r w:rsidR="00D25148" w:rsidRPr="00FC2211">
        <w:rPr>
          <w:rFonts w:cstheme="minorHAnsi"/>
          <w:szCs w:val="20"/>
          <w:lang w:val="en-GB"/>
        </w:rPr>
        <w:t>electronic article surveillance systems</w:t>
      </w:r>
      <w:r w:rsidR="002B484B" w:rsidRPr="00FC2211">
        <w:rPr>
          <w:rFonts w:cstheme="minorHAnsi"/>
          <w:szCs w:val="20"/>
          <w:lang w:val="en-GB"/>
        </w:rPr>
        <w:t>,</w:t>
      </w:r>
      <w:r w:rsidR="00D25148" w:rsidRPr="00FC2211">
        <w:rPr>
          <w:rFonts w:cstheme="minorHAnsi"/>
          <w:szCs w:val="20"/>
          <w:lang w:val="en-GB"/>
        </w:rPr>
        <w:t xml:space="preserve"> and</w:t>
      </w:r>
      <w:r w:rsidR="002F47C0" w:rsidRPr="00FC2211">
        <w:rPr>
          <w:rFonts w:cstheme="minorHAnsi"/>
          <w:szCs w:val="20"/>
          <w:lang w:val="en-GB"/>
        </w:rPr>
        <w:t xml:space="preserve"> </w:t>
      </w:r>
      <w:r w:rsidR="00922E2A" w:rsidRPr="00FC2211">
        <w:rPr>
          <w:rFonts w:cstheme="minorHAnsi"/>
          <w:szCs w:val="20"/>
          <w:lang w:val="en-GB"/>
        </w:rPr>
        <w:t>supplies</w:t>
      </w:r>
      <w:r w:rsidR="00D70FB5" w:rsidRPr="00FC2211">
        <w:rPr>
          <w:rFonts w:cstheme="minorHAnsi"/>
          <w:szCs w:val="20"/>
          <w:lang w:val="en-GB"/>
        </w:rPr>
        <w:t>.</w:t>
      </w:r>
      <w:r w:rsidR="00C22882" w:rsidRPr="00FC2211">
        <w:rPr>
          <w:rFonts w:cstheme="minorHAnsi"/>
          <w:szCs w:val="20"/>
          <w:lang w:val="en-GB"/>
        </w:rPr>
        <w:t xml:space="preserve"> Fabrication</w:t>
      </w:r>
      <w:r w:rsidR="00DB647A" w:rsidRPr="00FC2211">
        <w:rPr>
          <w:rFonts w:cstheme="minorHAnsi"/>
          <w:szCs w:val="20"/>
          <w:lang w:val="en-GB"/>
        </w:rPr>
        <w:t xml:space="preserve"> specializes in </w:t>
      </w:r>
      <w:r w:rsidR="00970AA3" w:rsidRPr="00FC2211">
        <w:rPr>
          <w:rFonts w:cstheme="minorHAnsi"/>
          <w:szCs w:val="20"/>
          <w:lang w:val="en-GB"/>
        </w:rPr>
        <w:t xml:space="preserve">precision </w:t>
      </w:r>
      <w:r w:rsidR="00211ACD" w:rsidRPr="00FC2211">
        <w:rPr>
          <w:rFonts w:cstheme="minorHAnsi"/>
          <w:szCs w:val="20"/>
          <w:lang w:val="en-GB"/>
        </w:rPr>
        <w:t>CNC</w:t>
      </w:r>
      <w:r w:rsidR="00C22882" w:rsidRPr="00FC2211">
        <w:rPr>
          <w:rFonts w:cstheme="minorHAnsi"/>
          <w:szCs w:val="20"/>
          <w:lang w:val="en-GB"/>
        </w:rPr>
        <w:t xml:space="preserve"> cutting, </w:t>
      </w:r>
      <w:r w:rsidR="00DB647A" w:rsidRPr="00FC2211">
        <w:rPr>
          <w:rFonts w:cstheme="minorHAnsi"/>
          <w:szCs w:val="20"/>
          <w:lang w:val="en-GB"/>
        </w:rPr>
        <w:t>routing</w:t>
      </w:r>
      <w:r w:rsidR="002B484B" w:rsidRPr="00FC2211">
        <w:rPr>
          <w:rFonts w:cstheme="minorHAnsi"/>
          <w:szCs w:val="20"/>
          <w:lang w:val="en-GB"/>
        </w:rPr>
        <w:t>,</w:t>
      </w:r>
      <w:r w:rsidR="00DB647A" w:rsidRPr="00FC2211">
        <w:rPr>
          <w:rFonts w:cstheme="minorHAnsi"/>
          <w:szCs w:val="20"/>
          <w:lang w:val="en-GB"/>
        </w:rPr>
        <w:t xml:space="preserve"> and drilling for </w:t>
      </w:r>
      <w:r w:rsidR="00C83304" w:rsidRPr="00FC2211">
        <w:rPr>
          <w:rFonts w:cstheme="minorHAnsi"/>
          <w:szCs w:val="20"/>
          <w:lang w:val="en-GB"/>
        </w:rPr>
        <w:t>various</w:t>
      </w:r>
      <w:r w:rsidR="00DB647A" w:rsidRPr="00FC2211">
        <w:rPr>
          <w:rFonts w:cstheme="minorHAnsi"/>
          <w:szCs w:val="20"/>
          <w:lang w:val="en-GB"/>
        </w:rPr>
        <w:t xml:space="preserve"> industries and sectors.</w:t>
      </w:r>
      <w:r w:rsidR="009463E5" w:rsidRPr="00FC2211">
        <w:rPr>
          <w:rFonts w:cstheme="minorHAnsi"/>
          <w:szCs w:val="20"/>
          <w:lang w:val="en-GB"/>
        </w:rPr>
        <w:t xml:space="preserve"> Retail media refers to advertising services</w:t>
      </w:r>
      <w:r w:rsidR="00631D70" w:rsidRPr="00FC2211">
        <w:rPr>
          <w:rFonts w:cstheme="minorHAnsi"/>
          <w:szCs w:val="20"/>
          <w:lang w:val="en-GB"/>
        </w:rPr>
        <w:t>.</w:t>
      </w:r>
      <w:r w:rsidR="00E97F3D">
        <w:rPr>
          <w:rFonts w:cstheme="minorHAnsi"/>
          <w:szCs w:val="20"/>
          <w:lang w:val="en-GB"/>
        </w:rPr>
        <w:br w:type="page"/>
      </w:r>
    </w:p>
    <w:p w14:paraId="27E1B1D5" w14:textId="77777777" w:rsidR="00D0255C" w:rsidRPr="00FC2211" w:rsidRDefault="00D0255C" w:rsidP="00D0255C">
      <w:pPr>
        <w:pStyle w:val="Heading1"/>
        <w:rPr>
          <w:lang w:val="en-GB"/>
        </w:rPr>
      </w:pPr>
      <w:r w:rsidRPr="00FC2211">
        <w:rPr>
          <w:lang w:val="en-GB"/>
        </w:rPr>
        <w:lastRenderedPageBreak/>
        <w:t>2</w:t>
      </w:r>
      <w:r>
        <w:rPr>
          <w:lang w:val="en-GB"/>
        </w:rPr>
        <w:t>3.</w:t>
      </w:r>
      <w:r w:rsidRPr="00FC2211">
        <w:rPr>
          <w:lang w:val="en-GB"/>
        </w:rPr>
        <w:t xml:space="preserve">   SEGMENTED INFORMATION (CONTINUED)</w:t>
      </w:r>
    </w:p>
    <w:tbl>
      <w:tblPr>
        <w:tblW w:w="9612" w:type="dxa"/>
        <w:tblLook w:val="04A0" w:firstRow="1" w:lastRow="0" w:firstColumn="1" w:lastColumn="0" w:noHBand="0" w:noVBand="1"/>
      </w:tblPr>
      <w:tblGrid>
        <w:gridCol w:w="2977"/>
        <w:gridCol w:w="1276"/>
        <w:gridCol w:w="1315"/>
        <w:gridCol w:w="1134"/>
        <w:gridCol w:w="1351"/>
        <w:gridCol w:w="1559"/>
      </w:tblGrid>
      <w:tr w:rsidR="004962B3" w:rsidRPr="00D84B03" w14:paraId="43D1B751" w14:textId="77777777" w:rsidTr="006A7B47">
        <w:trPr>
          <w:trHeight w:val="288"/>
        </w:trPr>
        <w:tc>
          <w:tcPr>
            <w:tcW w:w="2977" w:type="dxa"/>
            <w:tcBorders>
              <w:top w:val="nil"/>
              <w:left w:val="nil"/>
              <w:bottom w:val="single" w:sz="8" w:space="0" w:color="auto"/>
              <w:right w:val="nil"/>
            </w:tcBorders>
            <w:shd w:val="clear" w:color="auto" w:fill="auto"/>
            <w:noWrap/>
            <w:vAlign w:val="center"/>
            <w:hideMark/>
          </w:tcPr>
          <w:p w14:paraId="7C2C0744" w14:textId="77777777" w:rsidR="004962B3" w:rsidRPr="00D84B03" w:rsidRDefault="004962B3" w:rsidP="00D84B03">
            <w:pPr>
              <w:jc w:val="both"/>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w:t>
            </w:r>
          </w:p>
        </w:tc>
        <w:tc>
          <w:tcPr>
            <w:tcW w:w="1276" w:type="dxa"/>
            <w:tcBorders>
              <w:top w:val="nil"/>
              <w:left w:val="nil"/>
              <w:bottom w:val="single" w:sz="8" w:space="0" w:color="auto"/>
              <w:right w:val="nil"/>
            </w:tcBorders>
            <w:shd w:val="clear" w:color="auto" w:fill="auto"/>
            <w:vAlign w:val="center"/>
            <w:hideMark/>
          </w:tcPr>
          <w:p w14:paraId="401FA80D" w14:textId="77777777" w:rsidR="004962B3" w:rsidRPr="00D84B03" w:rsidRDefault="004962B3" w:rsidP="00D84B03">
            <w:pPr>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w:t>
            </w:r>
          </w:p>
        </w:tc>
        <w:tc>
          <w:tcPr>
            <w:tcW w:w="5359" w:type="dxa"/>
            <w:gridSpan w:val="4"/>
            <w:tcBorders>
              <w:top w:val="nil"/>
              <w:left w:val="nil"/>
              <w:bottom w:val="single" w:sz="8" w:space="0" w:color="auto"/>
              <w:right w:val="nil"/>
            </w:tcBorders>
            <w:shd w:val="clear" w:color="auto" w:fill="auto"/>
            <w:vAlign w:val="center"/>
            <w:hideMark/>
          </w:tcPr>
          <w:p w14:paraId="19F0BEBA" w14:textId="46ADFDD9" w:rsidR="004962B3" w:rsidRPr="00D84B03" w:rsidRDefault="004962B3" w:rsidP="004962B3">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For the nine months ended March 31, 2024</w:t>
            </w:r>
          </w:p>
        </w:tc>
      </w:tr>
      <w:tr w:rsidR="00D84B03" w:rsidRPr="00D84B03" w14:paraId="7F195452" w14:textId="77777777" w:rsidTr="006A7B47">
        <w:trPr>
          <w:trHeight w:val="480"/>
        </w:trPr>
        <w:tc>
          <w:tcPr>
            <w:tcW w:w="2977" w:type="dxa"/>
            <w:tcBorders>
              <w:top w:val="nil"/>
              <w:left w:val="nil"/>
              <w:bottom w:val="single" w:sz="4" w:space="0" w:color="auto"/>
              <w:right w:val="nil"/>
            </w:tcBorders>
            <w:shd w:val="clear" w:color="auto" w:fill="auto"/>
            <w:vAlign w:val="center"/>
            <w:hideMark/>
          </w:tcPr>
          <w:p w14:paraId="5F727EC8"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w:t>
            </w:r>
          </w:p>
        </w:tc>
        <w:tc>
          <w:tcPr>
            <w:tcW w:w="1276" w:type="dxa"/>
            <w:tcBorders>
              <w:top w:val="nil"/>
              <w:left w:val="nil"/>
              <w:bottom w:val="single" w:sz="4" w:space="0" w:color="auto"/>
              <w:right w:val="nil"/>
            </w:tcBorders>
            <w:shd w:val="clear" w:color="auto" w:fill="auto"/>
            <w:vAlign w:val="center"/>
            <w:hideMark/>
          </w:tcPr>
          <w:p w14:paraId="4676AF20" w14:textId="77777777" w:rsidR="00D84B03" w:rsidRPr="00D84B03" w:rsidRDefault="00D84B03" w:rsidP="00D84B03">
            <w:pPr>
              <w:jc w:val="center"/>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Loss Prevention</w:t>
            </w:r>
          </w:p>
        </w:tc>
        <w:tc>
          <w:tcPr>
            <w:tcW w:w="1315" w:type="dxa"/>
            <w:tcBorders>
              <w:top w:val="nil"/>
              <w:left w:val="nil"/>
              <w:bottom w:val="single" w:sz="4" w:space="0" w:color="auto"/>
              <w:right w:val="nil"/>
            </w:tcBorders>
            <w:shd w:val="clear" w:color="auto" w:fill="auto"/>
            <w:vAlign w:val="center"/>
            <w:hideMark/>
          </w:tcPr>
          <w:p w14:paraId="52292AC0" w14:textId="77777777" w:rsidR="00D84B03" w:rsidRPr="00D84B03" w:rsidRDefault="00D84B03" w:rsidP="00D84B03">
            <w:pPr>
              <w:jc w:val="center"/>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Fabrication</w:t>
            </w:r>
          </w:p>
        </w:tc>
        <w:tc>
          <w:tcPr>
            <w:tcW w:w="1134" w:type="dxa"/>
            <w:tcBorders>
              <w:top w:val="nil"/>
              <w:left w:val="nil"/>
              <w:bottom w:val="single" w:sz="4" w:space="0" w:color="auto"/>
              <w:right w:val="nil"/>
            </w:tcBorders>
            <w:shd w:val="clear" w:color="auto" w:fill="auto"/>
            <w:vAlign w:val="center"/>
            <w:hideMark/>
          </w:tcPr>
          <w:p w14:paraId="1059F692" w14:textId="672DA9AD" w:rsidR="00D84B03" w:rsidRPr="00D84B03" w:rsidRDefault="009F0F15" w:rsidP="00D84B03">
            <w:pPr>
              <w:jc w:val="center"/>
              <w:rPr>
                <w:rFonts w:ascii="Calibri" w:hAnsi="Calibri" w:cs="Calibri"/>
                <w:b/>
                <w:bCs/>
                <w:color w:val="000000"/>
                <w:sz w:val="18"/>
                <w:szCs w:val="18"/>
                <w:lang w:val="en-CA" w:eastAsia="en-CA"/>
              </w:rPr>
            </w:pPr>
            <w:r>
              <w:rPr>
                <w:rFonts w:ascii="Calibri" w:hAnsi="Calibri" w:cs="Calibri"/>
                <w:b/>
                <w:bCs/>
                <w:color w:val="000000"/>
                <w:sz w:val="18"/>
                <w:szCs w:val="18"/>
                <w:lang w:val="en-CA" w:eastAsia="en-CA"/>
              </w:rPr>
              <w:t>Retail Media</w:t>
            </w:r>
          </w:p>
        </w:tc>
        <w:tc>
          <w:tcPr>
            <w:tcW w:w="1351" w:type="dxa"/>
            <w:tcBorders>
              <w:top w:val="nil"/>
              <w:left w:val="nil"/>
              <w:bottom w:val="single" w:sz="4" w:space="0" w:color="auto"/>
              <w:right w:val="nil"/>
            </w:tcBorders>
            <w:shd w:val="clear" w:color="auto" w:fill="auto"/>
            <w:vAlign w:val="center"/>
            <w:hideMark/>
          </w:tcPr>
          <w:p w14:paraId="66550B50" w14:textId="77777777" w:rsidR="00D84B03" w:rsidRPr="00D84B03" w:rsidRDefault="00D84B03" w:rsidP="00D84B03">
            <w:pPr>
              <w:jc w:val="center"/>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Corporate and administration</w:t>
            </w:r>
          </w:p>
        </w:tc>
        <w:tc>
          <w:tcPr>
            <w:tcW w:w="1559" w:type="dxa"/>
            <w:tcBorders>
              <w:top w:val="nil"/>
              <w:left w:val="nil"/>
              <w:bottom w:val="single" w:sz="4" w:space="0" w:color="auto"/>
              <w:right w:val="nil"/>
            </w:tcBorders>
            <w:shd w:val="clear" w:color="auto" w:fill="auto"/>
            <w:vAlign w:val="center"/>
            <w:hideMark/>
          </w:tcPr>
          <w:p w14:paraId="679FF8D1" w14:textId="77777777" w:rsidR="00D84B03" w:rsidRPr="00D84B03" w:rsidRDefault="00D84B03" w:rsidP="00D84B03">
            <w:pPr>
              <w:jc w:val="center"/>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Total</w:t>
            </w:r>
          </w:p>
        </w:tc>
      </w:tr>
      <w:tr w:rsidR="00D84B03" w:rsidRPr="00D84B03" w14:paraId="5C240D3B" w14:textId="77777777" w:rsidTr="006A7B47">
        <w:trPr>
          <w:trHeight w:val="276"/>
        </w:trPr>
        <w:tc>
          <w:tcPr>
            <w:tcW w:w="2977" w:type="dxa"/>
            <w:tcBorders>
              <w:top w:val="nil"/>
              <w:left w:val="nil"/>
              <w:bottom w:val="nil"/>
              <w:right w:val="nil"/>
            </w:tcBorders>
            <w:shd w:val="clear" w:color="auto" w:fill="auto"/>
            <w:vAlign w:val="center"/>
            <w:hideMark/>
          </w:tcPr>
          <w:p w14:paraId="09C4CB4C"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Sales</w:t>
            </w:r>
          </w:p>
        </w:tc>
        <w:tc>
          <w:tcPr>
            <w:tcW w:w="1276" w:type="dxa"/>
            <w:tcBorders>
              <w:top w:val="nil"/>
              <w:left w:val="nil"/>
              <w:bottom w:val="nil"/>
              <w:right w:val="nil"/>
            </w:tcBorders>
            <w:shd w:val="clear" w:color="auto" w:fill="auto"/>
            <w:noWrap/>
            <w:vAlign w:val="center"/>
            <w:hideMark/>
          </w:tcPr>
          <w:p w14:paraId="5DB7DFAD" w14:textId="476E370B"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$ 971,870 </w:t>
            </w:r>
          </w:p>
        </w:tc>
        <w:tc>
          <w:tcPr>
            <w:tcW w:w="1315" w:type="dxa"/>
            <w:tcBorders>
              <w:top w:val="nil"/>
              <w:left w:val="nil"/>
              <w:bottom w:val="nil"/>
              <w:right w:val="nil"/>
            </w:tcBorders>
            <w:shd w:val="clear" w:color="auto" w:fill="auto"/>
            <w:noWrap/>
            <w:vAlign w:val="center"/>
            <w:hideMark/>
          </w:tcPr>
          <w:p w14:paraId="720CCB1C" w14:textId="5A3697C2"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$ 75,186 </w:t>
            </w:r>
          </w:p>
        </w:tc>
        <w:tc>
          <w:tcPr>
            <w:tcW w:w="1134" w:type="dxa"/>
            <w:tcBorders>
              <w:top w:val="nil"/>
              <w:left w:val="nil"/>
              <w:bottom w:val="nil"/>
              <w:right w:val="nil"/>
            </w:tcBorders>
            <w:shd w:val="clear" w:color="auto" w:fill="auto"/>
            <w:noWrap/>
            <w:vAlign w:val="center"/>
            <w:hideMark/>
          </w:tcPr>
          <w:p w14:paraId="6FD8D426" w14:textId="7B68CBBC"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$ 81,835 </w:t>
            </w:r>
          </w:p>
        </w:tc>
        <w:tc>
          <w:tcPr>
            <w:tcW w:w="1351" w:type="dxa"/>
            <w:tcBorders>
              <w:top w:val="nil"/>
              <w:left w:val="nil"/>
              <w:bottom w:val="nil"/>
              <w:right w:val="nil"/>
            </w:tcBorders>
            <w:shd w:val="clear" w:color="auto" w:fill="auto"/>
            <w:noWrap/>
            <w:vAlign w:val="center"/>
            <w:hideMark/>
          </w:tcPr>
          <w:p w14:paraId="6C4FB40E" w14:textId="31EEC4E0" w:rsidR="00D84B03" w:rsidRPr="00D84B03" w:rsidRDefault="00D84B03" w:rsidP="00D565D6">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 -   </w:t>
            </w:r>
          </w:p>
        </w:tc>
        <w:tc>
          <w:tcPr>
            <w:tcW w:w="1559" w:type="dxa"/>
            <w:tcBorders>
              <w:top w:val="nil"/>
              <w:left w:val="nil"/>
              <w:bottom w:val="nil"/>
              <w:right w:val="nil"/>
            </w:tcBorders>
            <w:shd w:val="clear" w:color="auto" w:fill="auto"/>
            <w:noWrap/>
            <w:vAlign w:val="center"/>
            <w:hideMark/>
          </w:tcPr>
          <w:p w14:paraId="48BB7FD6" w14:textId="1405E96B"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$ 1,128,891 </w:t>
            </w:r>
          </w:p>
        </w:tc>
      </w:tr>
      <w:tr w:rsidR="00D84B03" w:rsidRPr="00D84B03" w14:paraId="706EE940" w14:textId="77777777" w:rsidTr="006A7B47">
        <w:trPr>
          <w:trHeight w:val="276"/>
        </w:trPr>
        <w:tc>
          <w:tcPr>
            <w:tcW w:w="2977" w:type="dxa"/>
            <w:tcBorders>
              <w:top w:val="nil"/>
              <w:left w:val="nil"/>
              <w:bottom w:val="nil"/>
              <w:right w:val="nil"/>
            </w:tcBorders>
            <w:shd w:val="clear" w:color="auto" w:fill="auto"/>
            <w:vAlign w:val="center"/>
            <w:hideMark/>
          </w:tcPr>
          <w:p w14:paraId="6E1C7E20"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Cost of Goods Sold</w:t>
            </w:r>
          </w:p>
        </w:tc>
        <w:tc>
          <w:tcPr>
            <w:tcW w:w="1276" w:type="dxa"/>
            <w:tcBorders>
              <w:top w:val="nil"/>
              <w:left w:val="nil"/>
              <w:bottom w:val="nil"/>
              <w:right w:val="nil"/>
            </w:tcBorders>
            <w:shd w:val="clear" w:color="auto" w:fill="auto"/>
            <w:noWrap/>
            <w:vAlign w:val="center"/>
            <w:hideMark/>
          </w:tcPr>
          <w:p w14:paraId="561F8ED4" w14:textId="2CEF1509" w:rsidR="00D84B03" w:rsidRPr="00D84B03" w:rsidRDefault="00D84B03" w:rsidP="00D565D6">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r w:rsidR="005D7857">
              <w:rPr>
                <w:rFonts w:ascii="Calibri" w:hAnsi="Calibri" w:cs="Calibri"/>
                <w:b/>
                <w:bCs/>
                <w:color w:val="000000"/>
                <w:sz w:val="18"/>
                <w:szCs w:val="18"/>
                <w:lang w:val="en-CA" w:eastAsia="en-CA"/>
              </w:rPr>
              <w:t>(</w:t>
            </w:r>
            <w:r w:rsidRPr="00D84B03">
              <w:rPr>
                <w:rFonts w:ascii="Calibri" w:hAnsi="Calibri" w:cs="Calibri"/>
                <w:b/>
                <w:bCs/>
                <w:color w:val="000000"/>
                <w:sz w:val="18"/>
                <w:szCs w:val="18"/>
                <w:lang w:val="en-CA" w:eastAsia="en-CA"/>
              </w:rPr>
              <w:t>649,226)</w:t>
            </w:r>
          </w:p>
        </w:tc>
        <w:tc>
          <w:tcPr>
            <w:tcW w:w="1315" w:type="dxa"/>
            <w:tcBorders>
              <w:top w:val="nil"/>
              <w:left w:val="nil"/>
              <w:bottom w:val="nil"/>
              <w:right w:val="nil"/>
            </w:tcBorders>
            <w:shd w:val="clear" w:color="auto" w:fill="auto"/>
            <w:noWrap/>
            <w:vAlign w:val="center"/>
            <w:hideMark/>
          </w:tcPr>
          <w:p w14:paraId="13B748F0" w14:textId="2BF7BDBC" w:rsidR="00D84B03" w:rsidRPr="00D84B03" w:rsidRDefault="00D84B03" w:rsidP="00D565D6">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(49,321)</w:t>
            </w:r>
          </w:p>
        </w:tc>
        <w:tc>
          <w:tcPr>
            <w:tcW w:w="1134" w:type="dxa"/>
            <w:tcBorders>
              <w:top w:val="nil"/>
              <w:left w:val="nil"/>
              <w:bottom w:val="nil"/>
              <w:right w:val="nil"/>
            </w:tcBorders>
            <w:shd w:val="clear" w:color="auto" w:fill="auto"/>
            <w:noWrap/>
            <w:vAlign w:val="center"/>
            <w:hideMark/>
          </w:tcPr>
          <w:p w14:paraId="7975E491" w14:textId="7E5CD877" w:rsidR="00D84B03" w:rsidRPr="00D84B03" w:rsidRDefault="00D84B03" w:rsidP="00D565D6">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(10,268)</w:t>
            </w:r>
          </w:p>
        </w:tc>
        <w:tc>
          <w:tcPr>
            <w:tcW w:w="1351" w:type="dxa"/>
            <w:tcBorders>
              <w:top w:val="nil"/>
              <w:left w:val="nil"/>
              <w:bottom w:val="nil"/>
              <w:right w:val="nil"/>
            </w:tcBorders>
            <w:shd w:val="clear" w:color="auto" w:fill="auto"/>
            <w:noWrap/>
            <w:vAlign w:val="center"/>
            <w:hideMark/>
          </w:tcPr>
          <w:p w14:paraId="3ACE9685" w14:textId="380BA612" w:rsidR="00D84B03" w:rsidRPr="00D84B03" w:rsidRDefault="00D84B03" w:rsidP="00D565D6">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559" w:type="dxa"/>
            <w:tcBorders>
              <w:top w:val="nil"/>
              <w:left w:val="nil"/>
              <w:bottom w:val="nil"/>
              <w:right w:val="nil"/>
            </w:tcBorders>
            <w:shd w:val="clear" w:color="auto" w:fill="auto"/>
            <w:noWrap/>
            <w:vAlign w:val="center"/>
            <w:hideMark/>
          </w:tcPr>
          <w:p w14:paraId="2271524C" w14:textId="30039207" w:rsidR="00D84B03" w:rsidRPr="00D84B03" w:rsidRDefault="00D84B03" w:rsidP="00D565D6">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(708,815)</w:t>
            </w:r>
          </w:p>
        </w:tc>
      </w:tr>
      <w:tr w:rsidR="00D84B03" w:rsidRPr="00D84B03" w14:paraId="199151BD" w14:textId="77777777" w:rsidTr="006A7B47">
        <w:trPr>
          <w:trHeight w:val="276"/>
        </w:trPr>
        <w:tc>
          <w:tcPr>
            <w:tcW w:w="2977" w:type="dxa"/>
            <w:tcBorders>
              <w:top w:val="single" w:sz="4" w:space="0" w:color="auto"/>
              <w:left w:val="nil"/>
              <w:bottom w:val="single" w:sz="4" w:space="0" w:color="auto"/>
              <w:right w:val="nil"/>
            </w:tcBorders>
            <w:shd w:val="clear" w:color="auto" w:fill="auto"/>
            <w:noWrap/>
            <w:vAlign w:val="center"/>
            <w:hideMark/>
          </w:tcPr>
          <w:p w14:paraId="69F72C91" w14:textId="77777777" w:rsidR="00D84B03" w:rsidRPr="00D84B03" w:rsidRDefault="00D84B03" w:rsidP="00D84B03">
            <w:pPr>
              <w:ind w:firstLineChars="100" w:firstLine="180"/>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Gross Profit</w:t>
            </w:r>
          </w:p>
        </w:tc>
        <w:tc>
          <w:tcPr>
            <w:tcW w:w="1276" w:type="dxa"/>
            <w:tcBorders>
              <w:top w:val="single" w:sz="4" w:space="0" w:color="auto"/>
              <w:left w:val="nil"/>
              <w:bottom w:val="single" w:sz="4" w:space="0" w:color="auto"/>
              <w:right w:val="nil"/>
            </w:tcBorders>
            <w:shd w:val="clear" w:color="auto" w:fill="auto"/>
            <w:noWrap/>
            <w:vAlign w:val="center"/>
            <w:hideMark/>
          </w:tcPr>
          <w:p w14:paraId="4A759B4E" w14:textId="287A9CEA"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322,644 </w:t>
            </w:r>
          </w:p>
        </w:tc>
        <w:tc>
          <w:tcPr>
            <w:tcW w:w="1315" w:type="dxa"/>
            <w:tcBorders>
              <w:top w:val="single" w:sz="4" w:space="0" w:color="auto"/>
              <w:left w:val="nil"/>
              <w:bottom w:val="single" w:sz="4" w:space="0" w:color="auto"/>
              <w:right w:val="nil"/>
            </w:tcBorders>
            <w:shd w:val="clear" w:color="auto" w:fill="auto"/>
            <w:noWrap/>
            <w:vAlign w:val="center"/>
            <w:hideMark/>
          </w:tcPr>
          <w:p w14:paraId="1CD3D701" w14:textId="7D61CCB9"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25,865 </w:t>
            </w:r>
          </w:p>
        </w:tc>
        <w:tc>
          <w:tcPr>
            <w:tcW w:w="1134" w:type="dxa"/>
            <w:tcBorders>
              <w:top w:val="single" w:sz="4" w:space="0" w:color="auto"/>
              <w:left w:val="nil"/>
              <w:bottom w:val="single" w:sz="4" w:space="0" w:color="auto"/>
              <w:right w:val="nil"/>
            </w:tcBorders>
            <w:shd w:val="clear" w:color="auto" w:fill="auto"/>
            <w:noWrap/>
            <w:vAlign w:val="center"/>
            <w:hideMark/>
          </w:tcPr>
          <w:p w14:paraId="05EC08C6" w14:textId="4AE94018"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71,567 </w:t>
            </w:r>
          </w:p>
        </w:tc>
        <w:tc>
          <w:tcPr>
            <w:tcW w:w="1351" w:type="dxa"/>
            <w:tcBorders>
              <w:top w:val="single" w:sz="4" w:space="0" w:color="auto"/>
              <w:left w:val="nil"/>
              <w:bottom w:val="single" w:sz="4" w:space="0" w:color="auto"/>
              <w:right w:val="nil"/>
            </w:tcBorders>
            <w:shd w:val="clear" w:color="auto" w:fill="auto"/>
            <w:noWrap/>
            <w:vAlign w:val="center"/>
            <w:hideMark/>
          </w:tcPr>
          <w:p w14:paraId="4B194B60" w14:textId="63D9DD4C" w:rsidR="00D84B03" w:rsidRPr="00D84B03" w:rsidRDefault="00D84B03" w:rsidP="00D565D6">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559" w:type="dxa"/>
            <w:tcBorders>
              <w:top w:val="single" w:sz="4" w:space="0" w:color="auto"/>
              <w:left w:val="nil"/>
              <w:bottom w:val="single" w:sz="4" w:space="0" w:color="auto"/>
              <w:right w:val="nil"/>
            </w:tcBorders>
            <w:shd w:val="clear" w:color="auto" w:fill="auto"/>
            <w:noWrap/>
            <w:vAlign w:val="center"/>
            <w:hideMark/>
          </w:tcPr>
          <w:p w14:paraId="246D8B9A" w14:textId="17B11FBF"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420,076 </w:t>
            </w:r>
          </w:p>
        </w:tc>
      </w:tr>
      <w:tr w:rsidR="00D84B03" w:rsidRPr="00D84B03" w14:paraId="0FD82787" w14:textId="77777777" w:rsidTr="006A7B47">
        <w:trPr>
          <w:trHeight w:val="276"/>
        </w:trPr>
        <w:tc>
          <w:tcPr>
            <w:tcW w:w="2977" w:type="dxa"/>
            <w:tcBorders>
              <w:top w:val="nil"/>
              <w:left w:val="nil"/>
              <w:bottom w:val="nil"/>
              <w:right w:val="nil"/>
            </w:tcBorders>
            <w:shd w:val="clear" w:color="auto" w:fill="auto"/>
            <w:vAlign w:val="center"/>
            <w:hideMark/>
          </w:tcPr>
          <w:p w14:paraId="76F97B60"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Operating Expenses</w:t>
            </w:r>
          </w:p>
        </w:tc>
        <w:tc>
          <w:tcPr>
            <w:tcW w:w="1276" w:type="dxa"/>
            <w:tcBorders>
              <w:top w:val="nil"/>
              <w:left w:val="nil"/>
              <w:bottom w:val="nil"/>
              <w:right w:val="nil"/>
            </w:tcBorders>
            <w:shd w:val="clear" w:color="auto" w:fill="auto"/>
            <w:noWrap/>
            <w:vAlign w:val="center"/>
            <w:hideMark/>
          </w:tcPr>
          <w:p w14:paraId="5BFF0929" w14:textId="4B51A3BB"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(172,418)</w:t>
            </w:r>
          </w:p>
        </w:tc>
        <w:tc>
          <w:tcPr>
            <w:tcW w:w="1315" w:type="dxa"/>
            <w:tcBorders>
              <w:top w:val="nil"/>
              <w:left w:val="nil"/>
              <w:bottom w:val="nil"/>
              <w:right w:val="nil"/>
            </w:tcBorders>
            <w:shd w:val="clear" w:color="auto" w:fill="auto"/>
            <w:noWrap/>
            <w:vAlign w:val="center"/>
            <w:hideMark/>
          </w:tcPr>
          <w:p w14:paraId="620F4A53" w14:textId="7169A813"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(15,610)</w:t>
            </w:r>
          </w:p>
        </w:tc>
        <w:tc>
          <w:tcPr>
            <w:tcW w:w="1134" w:type="dxa"/>
            <w:tcBorders>
              <w:top w:val="nil"/>
              <w:left w:val="nil"/>
              <w:bottom w:val="nil"/>
              <w:right w:val="nil"/>
            </w:tcBorders>
            <w:shd w:val="clear" w:color="auto" w:fill="auto"/>
            <w:noWrap/>
            <w:vAlign w:val="center"/>
            <w:hideMark/>
          </w:tcPr>
          <w:p w14:paraId="7FA34996" w14:textId="714CC417"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(284,878)</w:t>
            </w:r>
          </w:p>
        </w:tc>
        <w:tc>
          <w:tcPr>
            <w:tcW w:w="1351" w:type="dxa"/>
            <w:tcBorders>
              <w:top w:val="nil"/>
              <w:left w:val="nil"/>
              <w:bottom w:val="nil"/>
              <w:right w:val="nil"/>
            </w:tcBorders>
            <w:shd w:val="clear" w:color="auto" w:fill="auto"/>
            <w:noWrap/>
            <w:vAlign w:val="center"/>
            <w:hideMark/>
          </w:tcPr>
          <w:p w14:paraId="364AEDDD" w14:textId="11040FAB"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(1,618,812)</w:t>
            </w:r>
          </w:p>
        </w:tc>
        <w:tc>
          <w:tcPr>
            <w:tcW w:w="1559" w:type="dxa"/>
            <w:tcBorders>
              <w:top w:val="nil"/>
              <w:left w:val="nil"/>
              <w:bottom w:val="nil"/>
              <w:right w:val="nil"/>
            </w:tcBorders>
            <w:shd w:val="clear" w:color="auto" w:fill="auto"/>
            <w:noWrap/>
            <w:vAlign w:val="center"/>
            <w:hideMark/>
          </w:tcPr>
          <w:p w14:paraId="73940030" w14:textId="41D85D4D"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(2,091,718)</w:t>
            </w:r>
          </w:p>
        </w:tc>
      </w:tr>
      <w:tr w:rsidR="00D84B03" w:rsidRPr="00D84B03" w14:paraId="6F4D69EB" w14:textId="77777777" w:rsidTr="006A7B47">
        <w:trPr>
          <w:trHeight w:val="276"/>
        </w:trPr>
        <w:tc>
          <w:tcPr>
            <w:tcW w:w="2977" w:type="dxa"/>
            <w:tcBorders>
              <w:top w:val="nil"/>
              <w:left w:val="nil"/>
              <w:bottom w:val="nil"/>
              <w:right w:val="nil"/>
            </w:tcBorders>
            <w:shd w:val="clear" w:color="auto" w:fill="auto"/>
            <w:vAlign w:val="center"/>
            <w:hideMark/>
          </w:tcPr>
          <w:p w14:paraId="727123B5"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Interest expense, net</w:t>
            </w:r>
          </w:p>
        </w:tc>
        <w:tc>
          <w:tcPr>
            <w:tcW w:w="1276" w:type="dxa"/>
            <w:tcBorders>
              <w:top w:val="nil"/>
              <w:left w:val="nil"/>
              <w:bottom w:val="nil"/>
              <w:right w:val="nil"/>
            </w:tcBorders>
            <w:shd w:val="clear" w:color="auto" w:fill="auto"/>
            <w:noWrap/>
            <w:vAlign w:val="center"/>
            <w:hideMark/>
          </w:tcPr>
          <w:p w14:paraId="7973C366" w14:textId="1D7A44D2"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(4,908)</w:t>
            </w:r>
          </w:p>
        </w:tc>
        <w:tc>
          <w:tcPr>
            <w:tcW w:w="1315" w:type="dxa"/>
            <w:tcBorders>
              <w:top w:val="nil"/>
              <w:left w:val="nil"/>
              <w:bottom w:val="nil"/>
              <w:right w:val="nil"/>
            </w:tcBorders>
            <w:shd w:val="clear" w:color="auto" w:fill="auto"/>
            <w:noWrap/>
            <w:vAlign w:val="center"/>
            <w:hideMark/>
          </w:tcPr>
          <w:p w14:paraId="691C0894" w14:textId="6BC4A137"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(4,908)</w:t>
            </w:r>
          </w:p>
        </w:tc>
        <w:tc>
          <w:tcPr>
            <w:tcW w:w="1134" w:type="dxa"/>
            <w:tcBorders>
              <w:top w:val="nil"/>
              <w:left w:val="nil"/>
              <w:bottom w:val="nil"/>
              <w:right w:val="nil"/>
            </w:tcBorders>
            <w:shd w:val="clear" w:color="auto" w:fill="auto"/>
            <w:noWrap/>
            <w:vAlign w:val="center"/>
            <w:hideMark/>
          </w:tcPr>
          <w:p w14:paraId="7381FE96" w14:textId="290B8B5C" w:rsidR="00D84B03" w:rsidRPr="00D84B03" w:rsidRDefault="00D84B03" w:rsidP="00D565D6">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351" w:type="dxa"/>
            <w:tcBorders>
              <w:top w:val="nil"/>
              <w:left w:val="nil"/>
              <w:bottom w:val="nil"/>
              <w:right w:val="nil"/>
            </w:tcBorders>
            <w:shd w:val="clear" w:color="auto" w:fill="auto"/>
            <w:noWrap/>
            <w:vAlign w:val="center"/>
            <w:hideMark/>
          </w:tcPr>
          <w:p w14:paraId="5D10C51D" w14:textId="1E006A8B"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(181,024)</w:t>
            </w:r>
          </w:p>
        </w:tc>
        <w:tc>
          <w:tcPr>
            <w:tcW w:w="1559" w:type="dxa"/>
            <w:tcBorders>
              <w:top w:val="nil"/>
              <w:left w:val="nil"/>
              <w:bottom w:val="nil"/>
              <w:right w:val="nil"/>
            </w:tcBorders>
            <w:shd w:val="clear" w:color="auto" w:fill="auto"/>
            <w:noWrap/>
            <w:vAlign w:val="center"/>
            <w:hideMark/>
          </w:tcPr>
          <w:p w14:paraId="6766D6DA" w14:textId="24802BFD"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(190,840)</w:t>
            </w:r>
          </w:p>
        </w:tc>
      </w:tr>
      <w:tr w:rsidR="00D84B03" w:rsidRPr="00D84B03" w14:paraId="3DA44A24" w14:textId="77777777" w:rsidTr="006A7B47">
        <w:trPr>
          <w:trHeight w:val="276"/>
        </w:trPr>
        <w:tc>
          <w:tcPr>
            <w:tcW w:w="2977" w:type="dxa"/>
            <w:tcBorders>
              <w:top w:val="nil"/>
              <w:left w:val="nil"/>
              <w:bottom w:val="nil"/>
              <w:right w:val="nil"/>
            </w:tcBorders>
            <w:shd w:val="clear" w:color="auto" w:fill="auto"/>
            <w:vAlign w:val="center"/>
            <w:hideMark/>
          </w:tcPr>
          <w:p w14:paraId="07E55ED3"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Amortization, Equipment</w:t>
            </w:r>
          </w:p>
        </w:tc>
        <w:tc>
          <w:tcPr>
            <w:tcW w:w="1276" w:type="dxa"/>
            <w:tcBorders>
              <w:top w:val="nil"/>
              <w:left w:val="nil"/>
              <w:bottom w:val="nil"/>
              <w:right w:val="nil"/>
            </w:tcBorders>
            <w:shd w:val="clear" w:color="auto" w:fill="auto"/>
            <w:noWrap/>
            <w:vAlign w:val="center"/>
            <w:hideMark/>
          </w:tcPr>
          <w:p w14:paraId="05738146" w14:textId="6292314D"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(5,619)</w:t>
            </w:r>
          </w:p>
        </w:tc>
        <w:tc>
          <w:tcPr>
            <w:tcW w:w="1315" w:type="dxa"/>
            <w:tcBorders>
              <w:top w:val="nil"/>
              <w:left w:val="nil"/>
              <w:bottom w:val="nil"/>
              <w:right w:val="nil"/>
            </w:tcBorders>
            <w:shd w:val="clear" w:color="auto" w:fill="auto"/>
            <w:noWrap/>
            <w:vAlign w:val="center"/>
            <w:hideMark/>
          </w:tcPr>
          <w:p w14:paraId="3B330BE2" w14:textId="0856248B"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(14,095)</w:t>
            </w:r>
          </w:p>
        </w:tc>
        <w:tc>
          <w:tcPr>
            <w:tcW w:w="1134" w:type="dxa"/>
            <w:tcBorders>
              <w:top w:val="nil"/>
              <w:left w:val="nil"/>
              <w:bottom w:val="nil"/>
              <w:right w:val="nil"/>
            </w:tcBorders>
            <w:shd w:val="clear" w:color="auto" w:fill="auto"/>
            <w:noWrap/>
            <w:vAlign w:val="center"/>
            <w:hideMark/>
          </w:tcPr>
          <w:p w14:paraId="305BB272" w14:textId="0D684D56"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(264,955)</w:t>
            </w:r>
          </w:p>
        </w:tc>
        <w:tc>
          <w:tcPr>
            <w:tcW w:w="1351" w:type="dxa"/>
            <w:tcBorders>
              <w:top w:val="nil"/>
              <w:left w:val="nil"/>
              <w:bottom w:val="nil"/>
              <w:right w:val="nil"/>
            </w:tcBorders>
            <w:shd w:val="clear" w:color="auto" w:fill="auto"/>
            <w:noWrap/>
            <w:vAlign w:val="center"/>
            <w:hideMark/>
          </w:tcPr>
          <w:p w14:paraId="48D994FB" w14:textId="70523D23" w:rsidR="00D84B03" w:rsidRPr="00D84B03" w:rsidRDefault="00D84B03" w:rsidP="00D565D6">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559" w:type="dxa"/>
            <w:tcBorders>
              <w:top w:val="nil"/>
              <w:left w:val="nil"/>
              <w:bottom w:val="nil"/>
              <w:right w:val="nil"/>
            </w:tcBorders>
            <w:shd w:val="clear" w:color="auto" w:fill="auto"/>
            <w:noWrap/>
            <w:vAlign w:val="center"/>
            <w:hideMark/>
          </w:tcPr>
          <w:p w14:paraId="5E354BA8" w14:textId="64245AA8"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(284,669)</w:t>
            </w:r>
          </w:p>
        </w:tc>
      </w:tr>
      <w:tr w:rsidR="00D84B03" w:rsidRPr="00D84B03" w14:paraId="76F73A50" w14:textId="77777777" w:rsidTr="006A7B47">
        <w:trPr>
          <w:trHeight w:val="276"/>
        </w:trPr>
        <w:tc>
          <w:tcPr>
            <w:tcW w:w="2977" w:type="dxa"/>
            <w:tcBorders>
              <w:top w:val="nil"/>
              <w:left w:val="nil"/>
              <w:bottom w:val="nil"/>
              <w:right w:val="nil"/>
            </w:tcBorders>
            <w:shd w:val="clear" w:color="auto" w:fill="auto"/>
            <w:vAlign w:val="center"/>
            <w:hideMark/>
          </w:tcPr>
          <w:p w14:paraId="62BD264F"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Amortization, Right of Use of Asset</w:t>
            </w:r>
          </w:p>
        </w:tc>
        <w:tc>
          <w:tcPr>
            <w:tcW w:w="1276" w:type="dxa"/>
            <w:tcBorders>
              <w:top w:val="nil"/>
              <w:left w:val="nil"/>
              <w:bottom w:val="nil"/>
              <w:right w:val="nil"/>
            </w:tcBorders>
            <w:shd w:val="clear" w:color="auto" w:fill="auto"/>
            <w:noWrap/>
            <w:vAlign w:val="center"/>
            <w:hideMark/>
          </w:tcPr>
          <w:p w14:paraId="0D739FBC" w14:textId="556D70EE"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(5,822)</w:t>
            </w:r>
          </w:p>
        </w:tc>
        <w:tc>
          <w:tcPr>
            <w:tcW w:w="1315" w:type="dxa"/>
            <w:tcBorders>
              <w:top w:val="nil"/>
              <w:left w:val="nil"/>
              <w:bottom w:val="nil"/>
              <w:right w:val="nil"/>
            </w:tcBorders>
            <w:shd w:val="clear" w:color="auto" w:fill="auto"/>
            <w:noWrap/>
            <w:vAlign w:val="center"/>
            <w:hideMark/>
          </w:tcPr>
          <w:p w14:paraId="27C3AC84" w14:textId="23477B69" w:rsidR="00D84B03" w:rsidRPr="00D84B03" w:rsidRDefault="00D84B03" w:rsidP="00D565D6">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134" w:type="dxa"/>
            <w:tcBorders>
              <w:top w:val="nil"/>
              <w:left w:val="nil"/>
              <w:bottom w:val="nil"/>
              <w:right w:val="nil"/>
            </w:tcBorders>
            <w:shd w:val="clear" w:color="auto" w:fill="auto"/>
            <w:noWrap/>
            <w:vAlign w:val="center"/>
            <w:hideMark/>
          </w:tcPr>
          <w:p w14:paraId="18BE06CB" w14:textId="756B94F6"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(5,822)</w:t>
            </w:r>
          </w:p>
        </w:tc>
        <w:tc>
          <w:tcPr>
            <w:tcW w:w="1351" w:type="dxa"/>
            <w:tcBorders>
              <w:top w:val="nil"/>
              <w:left w:val="nil"/>
              <w:bottom w:val="nil"/>
              <w:right w:val="nil"/>
            </w:tcBorders>
            <w:shd w:val="clear" w:color="auto" w:fill="auto"/>
            <w:noWrap/>
            <w:vAlign w:val="center"/>
            <w:hideMark/>
          </w:tcPr>
          <w:p w14:paraId="4D174E1F" w14:textId="0766081F"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(11,645)</w:t>
            </w:r>
          </w:p>
        </w:tc>
        <w:tc>
          <w:tcPr>
            <w:tcW w:w="1559" w:type="dxa"/>
            <w:tcBorders>
              <w:top w:val="nil"/>
              <w:left w:val="nil"/>
              <w:bottom w:val="nil"/>
              <w:right w:val="nil"/>
            </w:tcBorders>
            <w:shd w:val="clear" w:color="auto" w:fill="auto"/>
            <w:noWrap/>
            <w:vAlign w:val="center"/>
            <w:hideMark/>
          </w:tcPr>
          <w:p w14:paraId="121CD3D5" w14:textId="61B6BF63"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(23,289)</w:t>
            </w:r>
          </w:p>
        </w:tc>
      </w:tr>
      <w:tr w:rsidR="00D84B03" w:rsidRPr="00D84B03" w14:paraId="43D97736" w14:textId="77777777" w:rsidTr="006A7B47">
        <w:trPr>
          <w:trHeight w:val="276"/>
        </w:trPr>
        <w:tc>
          <w:tcPr>
            <w:tcW w:w="2977" w:type="dxa"/>
            <w:tcBorders>
              <w:top w:val="nil"/>
              <w:left w:val="nil"/>
              <w:bottom w:val="nil"/>
              <w:right w:val="nil"/>
            </w:tcBorders>
            <w:shd w:val="clear" w:color="auto" w:fill="auto"/>
            <w:vAlign w:val="center"/>
            <w:hideMark/>
          </w:tcPr>
          <w:p w14:paraId="05850827" w14:textId="274E8EB6"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Foreign exchange </w:t>
            </w:r>
            <w:r w:rsidR="00570A64">
              <w:rPr>
                <w:rFonts w:ascii="Calibri" w:hAnsi="Calibri" w:cs="Calibri"/>
                <w:color w:val="000000"/>
                <w:sz w:val="18"/>
                <w:szCs w:val="18"/>
                <w:lang w:val="en-CA" w:eastAsia="en-CA"/>
              </w:rPr>
              <w:t>loss</w:t>
            </w:r>
          </w:p>
        </w:tc>
        <w:tc>
          <w:tcPr>
            <w:tcW w:w="1276" w:type="dxa"/>
            <w:tcBorders>
              <w:top w:val="nil"/>
              <w:left w:val="nil"/>
              <w:bottom w:val="nil"/>
              <w:right w:val="nil"/>
            </w:tcBorders>
            <w:shd w:val="clear" w:color="auto" w:fill="auto"/>
            <w:noWrap/>
            <w:vAlign w:val="center"/>
            <w:hideMark/>
          </w:tcPr>
          <w:p w14:paraId="5B9661A9" w14:textId="501875D6" w:rsidR="00D84B03" w:rsidRPr="00D84B03" w:rsidRDefault="00D84B03" w:rsidP="00E12CCD">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315" w:type="dxa"/>
            <w:tcBorders>
              <w:top w:val="nil"/>
              <w:left w:val="nil"/>
              <w:bottom w:val="nil"/>
              <w:right w:val="nil"/>
            </w:tcBorders>
            <w:shd w:val="clear" w:color="auto" w:fill="auto"/>
            <w:noWrap/>
            <w:vAlign w:val="center"/>
            <w:hideMark/>
          </w:tcPr>
          <w:p w14:paraId="332D71A7" w14:textId="53D4BC45" w:rsidR="00D84B03" w:rsidRPr="00D84B03" w:rsidRDefault="00D84B03" w:rsidP="00D565D6">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134" w:type="dxa"/>
            <w:tcBorders>
              <w:top w:val="nil"/>
              <w:left w:val="nil"/>
              <w:bottom w:val="nil"/>
              <w:right w:val="nil"/>
            </w:tcBorders>
            <w:shd w:val="clear" w:color="auto" w:fill="auto"/>
            <w:noWrap/>
            <w:vAlign w:val="center"/>
            <w:hideMark/>
          </w:tcPr>
          <w:p w14:paraId="716DE4AA" w14:textId="3B3E8E77" w:rsidR="00D84B03" w:rsidRPr="00D84B03" w:rsidRDefault="00D84B03" w:rsidP="00E12CCD">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351" w:type="dxa"/>
            <w:tcBorders>
              <w:top w:val="nil"/>
              <w:left w:val="nil"/>
              <w:bottom w:val="nil"/>
              <w:right w:val="nil"/>
            </w:tcBorders>
            <w:shd w:val="clear" w:color="auto" w:fill="auto"/>
            <w:noWrap/>
            <w:vAlign w:val="center"/>
            <w:hideMark/>
          </w:tcPr>
          <w:p w14:paraId="1FEA3529" w14:textId="7A5E1C06"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(22,725)</w:t>
            </w:r>
          </w:p>
        </w:tc>
        <w:tc>
          <w:tcPr>
            <w:tcW w:w="1559" w:type="dxa"/>
            <w:tcBorders>
              <w:top w:val="nil"/>
              <w:left w:val="nil"/>
              <w:bottom w:val="nil"/>
              <w:right w:val="nil"/>
            </w:tcBorders>
            <w:shd w:val="clear" w:color="auto" w:fill="auto"/>
            <w:noWrap/>
            <w:vAlign w:val="center"/>
            <w:hideMark/>
          </w:tcPr>
          <w:p w14:paraId="770632D8" w14:textId="2DAE4427" w:rsidR="00D84B03" w:rsidRPr="00D84B03" w:rsidRDefault="00D84B03" w:rsidP="00E12CCD">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(22,725)</w:t>
            </w:r>
          </w:p>
        </w:tc>
      </w:tr>
      <w:tr w:rsidR="00D84B03" w:rsidRPr="00D84B03" w14:paraId="12DA94BE" w14:textId="77777777" w:rsidTr="006A7B47">
        <w:trPr>
          <w:trHeight w:val="276"/>
        </w:trPr>
        <w:tc>
          <w:tcPr>
            <w:tcW w:w="2977" w:type="dxa"/>
            <w:tcBorders>
              <w:top w:val="nil"/>
              <w:left w:val="nil"/>
              <w:bottom w:val="nil"/>
              <w:right w:val="nil"/>
            </w:tcBorders>
            <w:shd w:val="clear" w:color="auto" w:fill="auto"/>
            <w:vAlign w:val="center"/>
            <w:hideMark/>
          </w:tcPr>
          <w:p w14:paraId="08BF3E71"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Miscellaneous Income, net</w:t>
            </w:r>
          </w:p>
        </w:tc>
        <w:tc>
          <w:tcPr>
            <w:tcW w:w="1276" w:type="dxa"/>
            <w:tcBorders>
              <w:top w:val="nil"/>
              <w:left w:val="nil"/>
              <w:bottom w:val="nil"/>
              <w:right w:val="nil"/>
            </w:tcBorders>
            <w:shd w:val="clear" w:color="auto" w:fill="auto"/>
            <w:noWrap/>
            <w:vAlign w:val="center"/>
            <w:hideMark/>
          </w:tcPr>
          <w:p w14:paraId="2BCB3724" w14:textId="024299F1" w:rsidR="00D84B03" w:rsidRPr="00D84B03" w:rsidRDefault="00D84B03" w:rsidP="00E12CCD">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315" w:type="dxa"/>
            <w:tcBorders>
              <w:top w:val="nil"/>
              <w:left w:val="nil"/>
              <w:bottom w:val="nil"/>
              <w:right w:val="nil"/>
            </w:tcBorders>
            <w:shd w:val="clear" w:color="auto" w:fill="auto"/>
            <w:noWrap/>
            <w:vAlign w:val="center"/>
            <w:hideMark/>
          </w:tcPr>
          <w:p w14:paraId="2E0F1B7F" w14:textId="4C076C5B" w:rsidR="00D84B03" w:rsidRPr="00D84B03" w:rsidRDefault="00D84B03" w:rsidP="00D565D6">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134" w:type="dxa"/>
            <w:tcBorders>
              <w:top w:val="nil"/>
              <w:left w:val="nil"/>
              <w:bottom w:val="nil"/>
              <w:right w:val="nil"/>
            </w:tcBorders>
            <w:shd w:val="clear" w:color="auto" w:fill="auto"/>
            <w:noWrap/>
            <w:vAlign w:val="center"/>
            <w:hideMark/>
          </w:tcPr>
          <w:p w14:paraId="149EB28D" w14:textId="69EC30B0" w:rsidR="00D84B03" w:rsidRPr="00D84B03" w:rsidRDefault="00D84B03" w:rsidP="00E12CCD">
            <w:pPr>
              <w:ind w:right="125"/>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w:t>
            </w:r>
          </w:p>
        </w:tc>
        <w:tc>
          <w:tcPr>
            <w:tcW w:w="1351" w:type="dxa"/>
            <w:tcBorders>
              <w:top w:val="nil"/>
              <w:left w:val="nil"/>
              <w:bottom w:val="nil"/>
              <w:right w:val="nil"/>
            </w:tcBorders>
            <w:shd w:val="clear" w:color="auto" w:fill="auto"/>
            <w:noWrap/>
            <w:vAlign w:val="center"/>
            <w:hideMark/>
          </w:tcPr>
          <w:p w14:paraId="273495C7" w14:textId="42816DCD"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72 </w:t>
            </w:r>
          </w:p>
        </w:tc>
        <w:tc>
          <w:tcPr>
            <w:tcW w:w="1559" w:type="dxa"/>
            <w:tcBorders>
              <w:top w:val="nil"/>
              <w:left w:val="nil"/>
              <w:bottom w:val="nil"/>
              <w:right w:val="nil"/>
            </w:tcBorders>
            <w:shd w:val="clear" w:color="auto" w:fill="auto"/>
            <w:noWrap/>
            <w:vAlign w:val="center"/>
            <w:hideMark/>
          </w:tcPr>
          <w:p w14:paraId="2762C2DE" w14:textId="1179627D"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72 </w:t>
            </w:r>
          </w:p>
        </w:tc>
      </w:tr>
      <w:tr w:rsidR="00D84B03" w:rsidRPr="00D84B03" w14:paraId="755D7C80" w14:textId="77777777" w:rsidTr="0093752D">
        <w:trPr>
          <w:trHeight w:val="276"/>
        </w:trPr>
        <w:tc>
          <w:tcPr>
            <w:tcW w:w="2977" w:type="dxa"/>
            <w:tcBorders>
              <w:top w:val="single" w:sz="4" w:space="0" w:color="auto"/>
              <w:left w:val="nil"/>
              <w:bottom w:val="single" w:sz="4" w:space="0" w:color="auto"/>
              <w:right w:val="nil"/>
            </w:tcBorders>
            <w:shd w:val="clear" w:color="auto" w:fill="auto"/>
            <w:noWrap/>
            <w:vAlign w:val="center"/>
            <w:hideMark/>
          </w:tcPr>
          <w:p w14:paraId="66890B8C"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w:t>
            </w:r>
          </w:p>
        </w:tc>
        <w:tc>
          <w:tcPr>
            <w:tcW w:w="1276" w:type="dxa"/>
            <w:tcBorders>
              <w:top w:val="single" w:sz="4" w:space="0" w:color="auto"/>
              <w:left w:val="nil"/>
              <w:bottom w:val="single" w:sz="4" w:space="0" w:color="auto"/>
              <w:right w:val="nil"/>
            </w:tcBorders>
            <w:shd w:val="clear" w:color="auto" w:fill="auto"/>
            <w:noWrap/>
            <w:vAlign w:val="center"/>
            <w:hideMark/>
          </w:tcPr>
          <w:p w14:paraId="328CE17D" w14:textId="12AC97A7" w:rsidR="00D84B03" w:rsidRPr="00D84B03" w:rsidRDefault="00D84B03" w:rsidP="0023169F">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(188,767)</w:t>
            </w:r>
          </w:p>
        </w:tc>
        <w:tc>
          <w:tcPr>
            <w:tcW w:w="1315" w:type="dxa"/>
            <w:tcBorders>
              <w:top w:val="single" w:sz="4" w:space="0" w:color="auto"/>
              <w:left w:val="nil"/>
              <w:bottom w:val="single" w:sz="4" w:space="0" w:color="auto"/>
              <w:right w:val="nil"/>
            </w:tcBorders>
            <w:shd w:val="clear" w:color="auto" w:fill="auto"/>
            <w:noWrap/>
            <w:vAlign w:val="center"/>
            <w:hideMark/>
          </w:tcPr>
          <w:p w14:paraId="61B333E7" w14:textId="69891C16" w:rsidR="00D84B03" w:rsidRPr="00D84B03" w:rsidRDefault="00D84B03" w:rsidP="0023169F">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(34,613)</w:t>
            </w:r>
          </w:p>
        </w:tc>
        <w:tc>
          <w:tcPr>
            <w:tcW w:w="1134" w:type="dxa"/>
            <w:tcBorders>
              <w:top w:val="single" w:sz="4" w:space="0" w:color="auto"/>
              <w:left w:val="nil"/>
              <w:bottom w:val="single" w:sz="4" w:space="0" w:color="auto"/>
              <w:right w:val="nil"/>
            </w:tcBorders>
            <w:shd w:val="clear" w:color="auto" w:fill="auto"/>
            <w:noWrap/>
            <w:vAlign w:val="center"/>
            <w:hideMark/>
          </w:tcPr>
          <w:p w14:paraId="32DB074D" w14:textId="2514B864" w:rsidR="00D84B03" w:rsidRPr="00D84B03" w:rsidRDefault="00D84B03" w:rsidP="0023169F">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(555,655)</w:t>
            </w:r>
          </w:p>
        </w:tc>
        <w:tc>
          <w:tcPr>
            <w:tcW w:w="1351" w:type="dxa"/>
            <w:tcBorders>
              <w:top w:val="single" w:sz="4" w:space="0" w:color="auto"/>
              <w:left w:val="nil"/>
              <w:bottom w:val="single" w:sz="4" w:space="0" w:color="auto"/>
              <w:right w:val="nil"/>
            </w:tcBorders>
            <w:shd w:val="clear" w:color="auto" w:fill="auto"/>
            <w:noWrap/>
            <w:vAlign w:val="center"/>
            <w:hideMark/>
          </w:tcPr>
          <w:p w14:paraId="17B3DB68" w14:textId="26F28FC0" w:rsidR="00D84B03" w:rsidRPr="00D84B03" w:rsidRDefault="00D84B03" w:rsidP="0023169F">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(1,834,134)</w:t>
            </w:r>
          </w:p>
        </w:tc>
        <w:tc>
          <w:tcPr>
            <w:tcW w:w="1559" w:type="dxa"/>
            <w:tcBorders>
              <w:top w:val="single" w:sz="4" w:space="0" w:color="auto"/>
              <w:left w:val="nil"/>
              <w:bottom w:val="single" w:sz="4" w:space="0" w:color="auto"/>
              <w:right w:val="nil"/>
            </w:tcBorders>
            <w:shd w:val="clear" w:color="auto" w:fill="auto"/>
            <w:noWrap/>
            <w:vAlign w:val="center"/>
            <w:hideMark/>
          </w:tcPr>
          <w:p w14:paraId="69F4F4BA" w14:textId="0F30DD93" w:rsidR="00D84B03" w:rsidRPr="00D84B03" w:rsidRDefault="00D84B03" w:rsidP="0023169F">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(2,613,169)</w:t>
            </w:r>
          </w:p>
        </w:tc>
      </w:tr>
      <w:tr w:rsidR="00D84B03" w:rsidRPr="00D84B03" w14:paraId="46BBD403" w14:textId="77777777" w:rsidTr="0093752D">
        <w:trPr>
          <w:trHeight w:val="492"/>
        </w:trPr>
        <w:tc>
          <w:tcPr>
            <w:tcW w:w="2977" w:type="dxa"/>
            <w:tcBorders>
              <w:top w:val="single" w:sz="4" w:space="0" w:color="auto"/>
              <w:left w:val="nil"/>
              <w:bottom w:val="single" w:sz="12" w:space="0" w:color="auto"/>
              <w:right w:val="nil"/>
            </w:tcBorders>
            <w:shd w:val="clear" w:color="auto" w:fill="auto"/>
            <w:vAlign w:val="center"/>
            <w:hideMark/>
          </w:tcPr>
          <w:p w14:paraId="1E7E4126"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Net income (loss) and comprehensive income (loss)</w:t>
            </w:r>
          </w:p>
        </w:tc>
        <w:tc>
          <w:tcPr>
            <w:tcW w:w="1276" w:type="dxa"/>
            <w:tcBorders>
              <w:top w:val="single" w:sz="4" w:space="0" w:color="auto"/>
              <w:left w:val="nil"/>
              <w:bottom w:val="single" w:sz="12" w:space="0" w:color="auto"/>
              <w:right w:val="nil"/>
            </w:tcBorders>
            <w:shd w:val="clear" w:color="auto" w:fill="auto"/>
            <w:noWrap/>
            <w:vAlign w:val="center"/>
            <w:hideMark/>
          </w:tcPr>
          <w:p w14:paraId="6C961203" w14:textId="16032B9B" w:rsidR="00D84B03" w:rsidRPr="00D84B03" w:rsidRDefault="00D84B03" w:rsidP="005D7857">
            <w:pPr>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$ 133,877 </w:t>
            </w:r>
          </w:p>
        </w:tc>
        <w:tc>
          <w:tcPr>
            <w:tcW w:w="1315" w:type="dxa"/>
            <w:tcBorders>
              <w:top w:val="single" w:sz="4" w:space="0" w:color="auto"/>
              <w:left w:val="nil"/>
              <w:bottom w:val="single" w:sz="12" w:space="0" w:color="auto"/>
              <w:right w:val="nil"/>
            </w:tcBorders>
            <w:shd w:val="clear" w:color="auto" w:fill="auto"/>
            <w:noWrap/>
            <w:vAlign w:val="center"/>
            <w:hideMark/>
          </w:tcPr>
          <w:p w14:paraId="543DFAAB" w14:textId="76AEEAB4" w:rsidR="00D84B03" w:rsidRPr="00D84B03" w:rsidRDefault="00D84B03" w:rsidP="0023169F">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 (8,748)</w:t>
            </w:r>
          </w:p>
        </w:tc>
        <w:tc>
          <w:tcPr>
            <w:tcW w:w="1134" w:type="dxa"/>
            <w:tcBorders>
              <w:top w:val="single" w:sz="4" w:space="0" w:color="auto"/>
              <w:left w:val="nil"/>
              <w:bottom w:val="single" w:sz="12" w:space="0" w:color="auto"/>
              <w:right w:val="nil"/>
            </w:tcBorders>
            <w:shd w:val="clear" w:color="auto" w:fill="auto"/>
            <w:noWrap/>
            <w:vAlign w:val="center"/>
            <w:hideMark/>
          </w:tcPr>
          <w:p w14:paraId="68C65C71" w14:textId="2F6EE0FF" w:rsidR="00D84B03" w:rsidRPr="00D84B03" w:rsidRDefault="00D84B03" w:rsidP="0023169F">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 (484,088)</w:t>
            </w:r>
          </w:p>
        </w:tc>
        <w:tc>
          <w:tcPr>
            <w:tcW w:w="1351" w:type="dxa"/>
            <w:tcBorders>
              <w:top w:val="single" w:sz="4" w:space="0" w:color="auto"/>
              <w:left w:val="nil"/>
              <w:bottom w:val="single" w:sz="12" w:space="0" w:color="auto"/>
              <w:right w:val="nil"/>
            </w:tcBorders>
            <w:shd w:val="clear" w:color="auto" w:fill="auto"/>
            <w:noWrap/>
            <w:vAlign w:val="center"/>
            <w:hideMark/>
          </w:tcPr>
          <w:p w14:paraId="1CD55197" w14:textId="44E14D87" w:rsidR="00D84B03" w:rsidRPr="00D84B03" w:rsidRDefault="00D84B03" w:rsidP="0023169F">
            <w:pPr>
              <w:ind w:right="-62"/>
              <w:jc w:val="right"/>
              <w:rPr>
                <w:rFonts w:ascii="Calibri" w:hAnsi="Calibri" w:cs="Calibri"/>
                <w:b/>
                <w:bCs/>
                <w:color w:val="000000"/>
                <w:sz w:val="18"/>
                <w:szCs w:val="18"/>
                <w:lang w:val="en-CA" w:eastAsia="en-CA"/>
              </w:rPr>
            </w:pPr>
            <w:r w:rsidRPr="00D84B03">
              <w:rPr>
                <w:rFonts w:ascii="Calibri" w:hAnsi="Calibri" w:cs="Calibri"/>
                <w:b/>
                <w:bCs/>
                <w:color w:val="000000"/>
                <w:sz w:val="18"/>
                <w:szCs w:val="18"/>
                <w:lang w:val="en-CA" w:eastAsia="en-CA"/>
              </w:rPr>
              <w:t xml:space="preserve"> $ (1,834,134)</w:t>
            </w:r>
          </w:p>
        </w:tc>
        <w:tc>
          <w:tcPr>
            <w:tcW w:w="1559" w:type="dxa"/>
            <w:tcBorders>
              <w:top w:val="single" w:sz="4" w:space="0" w:color="auto"/>
              <w:left w:val="nil"/>
              <w:bottom w:val="single" w:sz="12" w:space="0" w:color="auto"/>
              <w:right w:val="nil"/>
            </w:tcBorders>
            <w:shd w:val="clear" w:color="auto" w:fill="auto"/>
            <w:noWrap/>
            <w:vAlign w:val="center"/>
            <w:hideMark/>
          </w:tcPr>
          <w:p w14:paraId="3EA7CEF8" w14:textId="3DA4405E" w:rsidR="00D84B03" w:rsidRPr="00D84B03" w:rsidRDefault="006C26C4" w:rsidP="0023169F">
            <w:pPr>
              <w:ind w:right="-62"/>
              <w:jc w:val="right"/>
              <w:rPr>
                <w:rFonts w:ascii="Calibri" w:hAnsi="Calibri" w:cs="Calibri"/>
                <w:b/>
                <w:bCs/>
                <w:color w:val="000000"/>
                <w:sz w:val="18"/>
                <w:szCs w:val="18"/>
                <w:lang w:val="en-CA" w:eastAsia="en-CA"/>
              </w:rPr>
            </w:pPr>
            <w:r>
              <w:rPr>
                <w:rFonts w:ascii="Calibri" w:hAnsi="Calibri" w:cs="Calibri"/>
                <w:b/>
                <w:bCs/>
                <w:color w:val="000000"/>
                <w:sz w:val="18"/>
                <w:szCs w:val="18"/>
                <w:lang w:val="en-CA" w:eastAsia="en-CA"/>
              </w:rPr>
              <w:t>$</w:t>
            </w:r>
            <w:r w:rsidR="00D84B03" w:rsidRPr="00D84B03">
              <w:rPr>
                <w:rFonts w:ascii="Calibri" w:hAnsi="Calibri" w:cs="Calibri"/>
                <w:b/>
                <w:bCs/>
                <w:color w:val="000000"/>
                <w:sz w:val="18"/>
                <w:szCs w:val="18"/>
                <w:lang w:val="en-CA" w:eastAsia="en-CA"/>
              </w:rPr>
              <w:t xml:space="preserve"> (2,193,093)</w:t>
            </w:r>
          </w:p>
        </w:tc>
      </w:tr>
      <w:tr w:rsidR="00D84B03" w:rsidRPr="00D84B03" w14:paraId="34437216" w14:textId="77777777" w:rsidTr="0093752D">
        <w:trPr>
          <w:trHeight w:val="276"/>
        </w:trPr>
        <w:tc>
          <w:tcPr>
            <w:tcW w:w="2977" w:type="dxa"/>
            <w:tcBorders>
              <w:top w:val="single" w:sz="12" w:space="0" w:color="auto"/>
              <w:left w:val="nil"/>
              <w:bottom w:val="nil"/>
              <w:right w:val="nil"/>
            </w:tcBorders>
            <w:shd w:val="clear" w:color="auto" w:fill="auto"/>
            <w:noWrap/>
            <w:vAlign w:val="center"/>
            <w:hideMark/>
          </w:tcPr>
          <w:p w14:paraId="2EC161B7" w14:textId="77777777" w:rsidR="00D84B03" w:rsidRPr="00D84B03" w:rsidRDefault="00D84B03" w:rsidP="00D84B03">
            <w:pPr>
              <w:jc w:val="right"/>
              <w:rPr>
                <w:rFonts w:ascii="Calibri" w:hAnsi="Calibri" w:cs="Calibri"/>
                <w:b/>
                <w:bCs/>
                <w:color w:val="000000"/>
                <w:sz w:val="18"/>
                <w:szCs w:val="18"/>
                <w:lang w:val="en-CA" w:eastAsia="en-CA"/>
              </w:rPr>
            </w:pPr>
          </w:p>
        </w:tc>
        <w:tc>
          <w:tcPr>
            <w:tcW w:w="1276" w:type="dxa"/>
            <w:tcBorders>
              <w:top w:val="single" w:sz="12" w:space="0" w:color="auto"/>
              <w:left w:val="nil"/>
              <w:bottom w:val="nil"/>
              <w:right w:val="nil"/>
            </w:tcBorders>
            <w:shd w:val="clear" w:color="auto" w:fill="auto"/>
            <w:noWrap/>
            <w:vAlign w:val="center"/>
            <w:hideMark/>
          </w:tcPr>
          <w:p w14:paraId="4BCE6F2A" w14:textId="77777777" w:rsidR="00D84B03" w:rsidRPr="00D84B03" w:rsidRDefault="00D84B03" w:rsidP="00D84B03">
            <w:pPr>
              <w:rPr>
                <w:rFonts w:ascii="Times New Roman" w:hAnsi="Times New Roman"/>
                <w:szCs w:val="20"/>
                <w:lang w:val="en-CA" w:eastAsia="en-CA"/>
              </w:rPr>
            </w:pPr>
          </w:p>
        </w:tc>
        <w:tc>
          <w:tcPr>
            <w:tcW w:w="1315" w:type="dxa"/>
            <w:tcBorders>
              <w:top w:val="single" w:sz="12" w:space="0" w:color="auto"/>
              <w:left w:val="nil"/>
              <w:bottom w:val="nil"/>
              <w:right w:val="nil"/>
            </w:tcBorders>
            <w:shd w:val="clear" w:color="auto" w:fill="auto"/>
            <w:noWrap/>
            <w:vAlign w:val="center"/>
            <w:hideMark/>
          </w:tcPr>
          <w:p w14:paraId="498B7540" w14:textId="77777777" w:rsidR="00D84B03" w:rsidRPr="00D84B03" w:rsidRDefault="00D84B03" w:rsidP="00D84B03">
            <w:pPr>
              <w:rPr>
                <w:rFonts w:ascii="Times New Roman" w:hAnsi="Times New Roman"/>
                <w:szCs w:val="20"/>
                <w:lang w:val="en-CA" w:eastAsia="en-CA"/>
              </w:rPr>
            </w:pPr>
          </w:p>
        </w:tc>
        <w:tc>
          <w:tcPr>
            <w:tcW w:w="1134" w:type="dxa"/>
            <w:tcBorders>
              <w:top w:val="single" w:sz="12" w:space="0" w:color="auto"/>
              <w:left w:val="nil"/>
              <w:bottom w:val="nil"/>
              <w:right w:val="nil"/>
            </w:tcBorders>
            <w:shd w:val="clear" w:color="auto" w:fill="auto"/>
            <w:noWrap/>
            <w:vAlign w:val="center"/>
            <w:hideMark/>
          </w:tcPr>
          <w:p w14:paraId="061DEDAC" w14:textId="77777777" w:rsidR="00D84B03" w:rsidRPr="00D84B03" w:rsidRDefault="00D84B03" w:rsidP="00D84B03">
            <w:pPr>
              <w:rPr>
                <w:rFonts w:ascii="Times New Roman" w:hAnsi="Times New Roman"/>
                <w:szCs w:val="20"/>
                <w:lang w:val="en-CA" w:eastAsia="en-CA"/>
              </w:rPr>
            </w:pPr>
          </w:p>
        </w:tc>
        <w:tc>
          <w:tcPr>
            <w:tcW w:w="1351" w:type="dxa"/>
            <w:tcBorders>
              <w:top w:val="single" w:sz="12" w:space="0" w:color="auto"/>
              <w:left w:val="nil"/>
              <w:bottom w:val="nil"/>
              <w:right w:val="nil"/>
            </w:tcBorders>
            <w:shd w:val="clear" w:color="auto" w:fill="auto"/>
            <w:noWrap/>
            <w:vAlign w:val="center"/>
            <w:hideMark/>
          </w:tcPr>
          <w:p w14:paraId="453395A8" w14:textId="77777777" w:rsidR="00D84B03" w:rsidRPr="00D84B03" w:rsidRDefault="00D84B03" w:rsidP="00D84B03">
            <w:pPr>
              <w:rPr>
                <w:rFonts w:ascii="Times New Roman" w:hAnsi="Times New Roman"/>
                <w:szCs w:val="20"/>
                <w:lang w:val="en-CA" w:eastAsia="en-CA"/>
              </w:rPr>
            </w:pPr>
          </w:p>
        </w:tc>
        <w:tc>
          <w:tcPr>
            <w:tcW w:w="1559" w:type="dxa"/>
            <w:tcBorders>
              <w:top w:val="single" w:sz="12" w:space="0" w:color="auto"/>
              <w:left w:val="nil"/>
              <w:bottom w:val="nil"/>
              <w:right w:val="nil"/>
            </w:tcBorders>
            <w:shd w:val="clear" w:color="auto" w:fill="auto"/>
            <w:noWrap/>
            <w:vAlign w:val="center"/>
            <w:hideMark/>
          </w:tcPr>
          <w:p w14:paraId="67013462" w14:textId="77777777" w:rsidR="00D84B03" w:rsidRPr="00D84B03" w:rsidRDefault="00D84B03" w:rsidP="00D84B03">
            <w:pPr>
              <w:jc w:val="right"/>
              <w:rPr>
                <w:rFonts w:ascii="Times New Roman" w:hAnsi="Times New Roman"/>
                <w:szCs w:val="20"/>
                <w:lang w:val="en-CA" w:eastAsia="en-CA"/>
              </w:rPr>
            </w:pPr>
          </w:p>
        </w:tc>
      </w:tr>
      <w:tr w:rsidR="004962B3" w:rsidRPr="00D84B03" w14:paraId="7189E7E8" w14:textId="77777777" w:rsidTr="006A7B47">
        <w:trPr>
          <w:trHeight w:val="288"/>
        </w:trPr>
        <w:tc>
          <w:tcPr>
            <w:tcW w:w="2977" w:type="dxa"/>
            <w:tcBorders>
              <w:top w:val="nil"/>
              <w:left w:val="nil"/>
              <w:bottom w:val="single" w:sz="8" w:space="0" w:color="auto"/>
              <w:right w:val="nil"/>
            </w:tcBorders>
            <w:shd w:val="clear" w:color="auto" w:fill="auto"/>
            <w:noWrap/>
            <w:vAlign w:val="center"/>
            <w:hideMark/>
          </w:tcPr>
          <w:p w14:paraId="1A7C91B5" w14:textId="77777777" w:rsidR="004962B3" w:rsidRPr="00D84B03" w:rsidRDefault="004962B3" w:rsidP="00D84B03">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w:t>
            </w:r>
          </w:p>
        </w:tc>
        <w:tc>
          <w:tcPr>
            <w:tcW w:w="1276" w:type="dxa"/>
            <w:tcBorders>
              <w:top w:val="nil"/>
              <w:left w:val="nil"/>
              <w:bottom w:val="single" w:sz="8" w:space="0" w:color="auto"/>
              <w:right w:val="nil"/>
            </w:tcBorders>
            <w:shd w:val="clear" w:color="auto" w:fill="auto"/>
            <w:vAlign w:val="center"/>
            <w:hideMark/>
          </w:tcPr>
          <w:p w14:paraId="37EE8CD2" w14:textId="77777777" w:rsidR="004962B3" w:rsidRPr="00D84B03" w:rsidRDefault="004962B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w:t>
            </w:r>
          </w:p>
        </w:tc>
        <w:tc>
          <w:tcPr>
            <w:tcW w:w="5359" w:type="dxa"/>
            <w:gridSpan w:val="4"/>
            <w:tcBorders>
              <w:top w:val="nil"/>
              <w:left w:val="nil"/>
              <w:bottom w:val="single" w:sz="8" w:space="0" w:color="auto"/>
              <w:right w:val="nil"/>
            </w:tcBorders>
            <w:shd w:val="clear" w:color="auto" w:fill="auto"/>
            <w:vAlign w:val="center"/>
            <w:hideMark/>
          </w:tcPr>
          <w:p w14:paraId="461011DB" w14:textId="7FF0D20B" w:rsidR="004962B3" w:rsidRPr="00D84B03" w:rsidRDefault="004962B3" w:rsidP="004962B3">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For the nine months ended March 31, 2023</w:t>
            </w:r>
          </w:p>
        </w:tc>
      </w:tr>
      <w:tr w:rsidR="00D84B03" w:rsidRPr="00D84B03" w14:paraId="37197DC3" w14:textId="77777777" w:rsidTr="006A7B47">
        <w:trPr>
          <w:trHeight w:val="480"/>
        </w:trPr>
        <w:tc>
          <w:tcPr>
            <w:tcW w:w="2977" w:type="dxa"/>
            <w:tcBorders>
              <w:top w:val="nil"/>
              <w:left w:val="nil"/>
              <w:bottom w:val="single" w:sz="4" w:space="0" w:color="auto"/>
              <w:right w:val="nil"/>
            </w:tcBorders>
            <w:shd w:val="clear" w:color="auto" w:fill="auto"/>
            <w:vAlign w:val="center"/>
            <w:hideMark/>
          </w:tcPr>
          <w:p w14:paraId="529297F5"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w:t>
            </w:r>
          </w:p>
        </w:tc>
        <w:tc>
          <w:tcPr>
            <w:tcW w:w="1276" w:type="dxa"/>
            <w:tcBorders>
              <w:top w:val="nil"/>
              <w:left w:val="nil"/>
              <w:bottom w:val="single" w:sz="4" w:space="0" w:color="auto"/>
              <w:right w:val="nil"/>
            </w:tcBorders>
            <w:shd w:val="clear" w:color="auto" w:fill="auto"/>
            <w:vAlign w:val="center"/>
            <w:hideMark/>
          </w:tcPr>
          <w:p w14:paraId="5CDC6267" w14:textId="77777777" w:rsidR="00D84B03" w:rsidRPr="00D84B03" w:rsidRDefault="00D84B03" w:rsidP="00D84B03">
            <w:pPr>
              <w:jc w:val="cente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Loss Prevention</w:t>
            </w:r>
          </w:p>
        </w:tc>
        <w:tc>
          <w:tcPr>
            <w:tcW w:w="1315" w:type="dxa"/>
            <w:tcBorders>
              <w:top w:val="nil"/>
              <w:left w:val="nil"/>
              <w:bottom w:val="single" w:sz="4" w:space="0" w:color="auto"/>
              <w:right w:val="nil"/>
            </w:tcBorders>
            <w:shd w:val="clear" w:color="auto" w:fill="auto"/>
            <w:vAlign w:val="center"/>
            <w:hideMark/>
          </w:tcPr>
          <w:p w14:paraId="0DB7DF70" w14:textId="77777777" w:rsidR="00D84B03" w:rsidRPr="00D84B03" w:rsidRDefault="00D84B03" w:rsidP="00D84B03">
            <w:pPr>
              <w:jc w:val="cente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Fabrication</w:t>
            </w:r>
          </w:p>
        </w:tc>
        <w:tc>
          <w:tcPr>
            <w:tcW w:w="1134" w:type="dxa"/>
            <w:tcBorders>
              <w:top w:val="nil"/>
              <w:left w:val="nil"/>
              <w:bottom w:val="single" w:sz="4" w:space="0" w:color="auto"/>
              <w:right w:val="nil"/>
            </w:tcBorders>
            <w:shd w:val="clear" w:color="auto" w:fill="auto"/>
            <w:vAlign w:val="center"/>
            <w:hideMark/>
          </w:tcPr>
          <w:p w14:paraId="6203933E" w14:textId="7B219507" w:rsidR="00D84B03" w:rsidRPr="00D84B03" w:rsidRDefault="009F0F15" w:rsidP="00D84B03">
            <w:pPr>
              <w:jc w:val="center"/>
              <w:rPr>
                <w:rFonts w:ascii="Calibri" w:hAnsi="Calibri" w:cs="Calibri"/>
                <w:color w:val="000000"/>
                <w:sz w:val="18"/>
                <w:szCs w:val="18"/>
                <w:lang w:val="en-CA" w:eastAsia="en-CA"/>
              </w:rPr>
            </w:pPr>
            <w:r>
              <w:rPr>
                <w:rFonts w:ascii="Calibri" w:hAnsi="Calibri" w:cs="Calibri"/>
                <w:color w:val="000000"/>
                <w:sz w:val="18"/>
                <w:szCs w:val="18"/>
                <w:lang w:val="en-CA" w:eastAsia="en-CA"/>
              </w:rPr>
              <w:t>Retail Media</w:t>
            </w:r>
          </w:p>
        </w:tc>
        <w:tc>
          <w:tcPr>
            <w:tcW w:w="1351" w:type="dxa"/>
            <w:tcBorders>
              <w:top w:val="nil"/>
              <w:left w:val="nil"/>
              <w:bottom w:val="single" w:sz="4" w:space="0" w:color="auto"/>
              <w:right w:val="nil"/>
            </w:tcBorders>
            <w:shd w:val="clear" w:color="auto" w:fill="auto"/>
            <w:vAlign w:val="center"/>
            <w:hideMark/>
          </w:tcPr>
          <w:p w14:paraId="3E349D45" w14:textId="77777777" w:rsidR="00D84B03" w:rsidRPr="00D84B03" w:rsidRDefault="00D84B03" w:rsidP="00D84B03">
            <w:pPr>
              <w:jc w:val="cente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Corporate and administration</w:t>
            </w:r>
          </w:p>
        </w:tc>
        <w:tc>
          <w:tcPr>
            <w:tcW w:w="1559" w:type="dxa"/>
            <w:tcBorders>
              <w:top w:val="nil"/>
              <w:left w:val="nil"/>
              <w:bottom w:val="single" w:sz="4" w:space="0" w:color="auto"/>
              <w:right w:val="nil"/>
            </w:tcBorders>
            <w:shd w:val="clear" w:color="auto" w:fill="auto"/>
            <w:vAlign w:val="center"/>
            <w:hideMark/>
          </w:tcPr>
          <w:p w14:paraId="0382418D" w14:textId="77777777" w:rsidR="00D84B03" w:rsidRPr="00D84B03" w:rsidRDefault="00D84B03" w:rsidP="00D84B03">
            <w:pPr>
              <w:jc w:val="cente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Total</w:t>
            </w:r>
          </w:p>
        </w:tc>
      </w:tr>
      <w:tr w:rsidR="00D84B03" w:rsidRPr="00D84B03" w14:paraId="72787EB5" w14:textId="77777777" w:rsidTr="006A7B47">
        <w:trPr>
          <w:trHeight w:val="276"/>
        </w:trPr>
        <w:tc>
          <w:tcPr>
            <w:tcW w:w="2977" w:type="dxa"/>
            <w:tcBorders>
              <w:top w:val="nil"/>
              <w:left w:val="nil"/>
              <w:bottom w:val="nil"/>
              <w:right w:val="nil"/>
            </w:tcBorders>
            <w:shd w:val="clear" w:color="auto" w:fill="auto"/>
            <w:vAlign w:val="center"/>
            <w:hideMark/>
          </w:tcPr>
          <w:p w14:paraId="67FA7CE0"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Sales</w:t>
            </w:r>
          </w:p>
        </w:tc>
        <w:tc>
          <w:tcPr>
            <w:tcW w:w="1276" w:type="dxa"/>
            <w:tcBorders>
              <w:top w:val="nil"/>
              <w:left w:val="nil"/>
              <w:bottom w:val="nil"/>
              <w:right w:val="nil"/>
            </w:tcBorders>
            <w:shd w:val="clear" w:color="auto" w:fill="auto"/>
            <w:noWrap/>
            <w:vAlign w:val="center"/>
            <w:hideMark/>
          </w:tcPr>
          <w:p w14:paraId="0F9591D1" w14:textId="2861B7FA"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$ 990,876 </w:t>
            </w:r>
          </w:p>
        </w:tc>
        <w:tc>
          <w:tcPr>
            <w:tcW w:w="1315" w:type="dxa"/>
            <w:tcBorders>
              <w:top w:val="nil"/>
              <w:left w:val="nil"/>
              <w:bottom w:val="nil"/>
              <w:right w:val="nil"/>
            </w:tcBorders>
            <w:shd w:val="clear" w:color="auto" w:fill="auto"/>
            <w:noWrap/>
            <w:vAlign w:val="center"/>
            <w:hideMark/>
          </w:tcPr>
          <w:p w14:paraId="7807BCBD" w14:textId="47DBCAC3"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$ 95,918 </w:t>
            </w:r>
          </w:p>
        </w:tc>
        <w:tc>
          <w:tcPr>
            <w:tcW w:w="1134" w:type="dxa"/>
            <w:tcBorders>
              <w:top w:val="nil"/>
              <w:left w:val="nil"/>
              <w:bottom w:val="nil"/>
              <w:right w:val="nil"/>
            </w:tcBorders>
            <w:shd w:val="clear" w:color="auto" w:fill="auto"/>
            <w:noWrap/>
            <w:vAlign w:val="center"/>
            <w:hideMark/>
          </w:tcPr>
          <w:p w14:paraId="5BE0993E" w14:textId="55FE659E"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$ 114,447 </w:t>
            </w:r>
          </w:p>
        </w:tc>
        <w:tc>
          <w:tcPr>
            <w:tcW w:w="1351" w:type="dxa"/>
            <w:tcBorders>
              <w:top w:val="nil"/>
              <w:left w:val="nil"/>
              <w:bottom w:val="nil"/>
              <w:right w:val="nil"/>
            </w:tcBorders>
            <w:shd w:val="clear" w:color="auto" w:fill="auto"/>
            <w:noWrap/>
            <w:vAlign w:val="center"/>
            <w:hideMark/>
          </w:tcPr>
          <w:p w14:paraId="5263BFA8" w14:textId="1B8D42E1"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 -   </w:t>
            </w:r>
          </w:p>
        </w:tc>
        <w:tc>
          <w:tcPr>
            <w:tcW w:w="1559" w:type="dxa"/>
            <w:tcBorders>
              <w:top w:val="nil"/>
              <w:left w:val="nil"/>
              <w:bottom w:val="nil"/>
              <w:right w:val="nil"/>
            </w:tcBorders>
            <w:shd w:val="clear" w:color="auto" w:fill="auto"/>
            <w:noWrap/>
            <w:vAlign w:val="center"/>
            <w:hideMark/>
          </w:tcPr>
          <w:p w14:paraId="57BC6B98" w14:textId="0BCC7A3F"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r w:rsidR="00302373">
              <w:rPr>
                <w:rFonts w:ascii="Calibri" w:hAnsi="Calibri" w:cs="Calibri"/>
                <w:color w:val="000000"/>
                <w:sz w:val="18"/>
                <w:szCs w:val="18"/>
                <w:lang w:val="en-CA" w:eastAsia="en-CA"/>
              </w:rPr>
              <w:t xml:space="preserve"> </w:t>
            </w:r>
            <w:r w:rsidRPr="00D84B03">
              <w:rPr>
                <w:rFonts w:ascii="Calibri" w:hAnsi="Calibri" w:cs="Calibri"/>
                <w:color w:val="000000"/>
                <w:sz w:val="18"/>
                <w:szCs w:val="18"/>
                <w:lang w:val="en-CA" w:eastAsia="en-CA"/>
              </w:rPr>
              <w:t xml:space="preserve">1,201,241 </w:t>
            </w:r>
          </w:p>
        </w:tc>
      </w:tr>
      <w:tr w:rsidR="00D84B03" w:rsidRPr="00D84B03" w14:paraId="14BD2706" w14:textId="77777777" w:rsidTr="006A7B47">
        <w:trPr>
          <w:trHeight w:val="276"/>
        </w:trPr>
        <w:tc>
          <w:tcPr>
            <w:tcW w:w="2977" w:type="dxa"/>
            <w:tcBorders>
              <w:top w:val="nil"/>
              <w:left w:val="nil"/>
              <w:bottom w:val="nil"/>
              <w:right w:val="nil"/>
            </w:tcBorders>
            <w:shd w:val="clear" w:color="auto" w:fill="auto"/>
            <w:vAlign w:val="center"/>
            <w:hideMark/>
          </w:tcPr>
          <w:p w14:paraId="13A1D374"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Cost of Goods Sold</w:t>
            </w:r>
          </w:p>
        </w:tc>
        <w:tc>
          <w:tcPr>
            <w:tcW w:w="1276" w:type="dxa"/>
            <w:tcBorders>
              <w:top w:val="nil"/>
              <w:left w:val="nil"/>
              <w:bottom w:val="nil"/>
              <w:right w:val="nil"/>
            </w:tcBorders>
            <w:shd w:val="clear" w:color="auto" w:fill="auto"/>
            <w:noWrap/>
            <w:vAlign w:val="center"/>
            <w:hideMark/>
          </w:tcPr>
          <w:p w14:paraId="4239B99F" w14:textId="3E7A7996"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(596,374)</w:t>
            </w:r>
          </w:p>
        </w:tc>
        <w:tc>
          <w:tcPr>
            <w:tcW w:w="1315" w:type="dxa"/>
            <w:tcBorders>
              <w:top w:val="nil"/>
              <w:left w:val="nil"/>
              <w:bottom w:val="nil"/>
              <w:right w:val="nil"/>
            </w:tcBorders>
            <w:shd w:val="clear" w:color="auto" w:fill="auto"/>
            <w:noWrap/>
            <w:vAlign w:val="center"/>
            <w:hideMark/>
          </w:tcPr>
          <w:p w14:paraId="3B92D03E" w14:textId="7B9739E5"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(48,665)</w:t>
            </w:r>
          </w:p>
        </w:tc>
        <w:tc>
          <w:tcPr>
            <w:tcW w:w="1134" w:type="dxa"/>
            <w:tcBorders>
              <w:top w:val="nil"/>
              <w:left w:val="nil"/>
              <w:bottom w:val="nil"/>
              <w:right w:val="nil"/>
            </w:tcBorders>
            <w:shd w:val="clear" w:color="auto" w:fill="auto"/>
            <w:noWrap/>
            <w:vAlign w:val="center"/>
            <w:hideMark/>
          </w:tcPr>
          <w:p w14:paraId="0A4BBF4E" w14:textId="7394EE30"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(10,229)</w:t>
            </w:r>
          </w:p>
        </w:tc>
        <w:tc>
          <w:tcPr>
            <w:tcW w:w="1351" w:type="dxa"/>
            <w:tcBorders>
              <w:top w:val="nil"/>
              <w:left w:val="nil"/>
              <w:bottom w:val="nil"/>
              <w:right w:val="nil"/>
            </w:tcBorders>
            <w:shd w:val="clear" w:color="auto" w:fill="auto"/>
            <w:noWrap/>
            <w:vAlign w:val="center"/>
            <w:hideMark/>
          </w:tcPr>
          <w:p w14:paraId="16F6D294" w14:textId="3382AC23"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p>
        </w:tc>
        <w:tc>
          <w:tcPr>
            <w:tcW w:w="1559" w:type="dxa"/>
            <w:tcBorders>
              <w:top w:val="nil"/>
              <w:left w:val="nil"/>
              <w:bottom w:val="nil"/>
              <w:right w:val="nil"/>
            </w:tcBorders>
            <w:shd w:val="clear" w:color="auto" w:fill="auto"/>
            <w:noWrap/>
            <w:vAlign w:val="center"/>
            <w:hideMark/>
          </w:tcPr>
          <w:p w14:paraId="15F936EF" w14:textId="37128891"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(655,268)</w:t>
            </w:r>
          </w:p>
        </w:tc>
      </w:tr>
      <w:tr w:rsidR="00D84B03" w:rsidRPr="00D84B03" w14:paraId="62B75ED2" w14:textId="77777777" w:rsidTr="006A7B47">
        <w:trPr>
          <w:trHeight w:val="276"/>
        </w:trPr>
        <w:tc>
          <w:tcPr>
            <w:tcW w:w="2977" w:type="dxa"/>
            <w:tcBorders>
              <w:top w:val="single" w:sz="4" w:space="0" w:color="auto"/>
              <w:left w:val="nil"/>
              <w:bottom w:val="single" w:sz="4" w:space="0" w:color="auto"/>
              <w:right w:val="nil"/>
            </w:tcBorders>
            <w:shd w:val="clear" w:color="auto" w:fill="auto"/>
            <w:noWrap/>
            <w:vAlign w:val="center"/>
            <w:hideMark/>
          </w:tcPr>
          <w:p w14:paraId="378ECD7F" w14:textId="77777777" w:rsidR="00D84B03" w:rsidRPr="00D84B03" w:rsidRDefault="00D84B03" w:rsidP="00D84B03">
            <w:pPr>
              <w:ind w:firstLineChars="100" w:firstLine="180"/>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Gross Profit</w:t>
            </w:r>
          </w:p>
        </w:tc>
        <w:tc>
          <w:tcPr>
            <w:tcW w:w="1276" w:type="dxa"/>
            <w:tcBorders>
              <w:top w:val="single" w:sz="4" w:space="0" w:color="auto"/>
              <w:left w:val="nil"/>
              <w:bottom w:val="single" w:sz="4" w:space="0" w:color="auto"/>
              <w:right w:val="nil"/>
            </w:tcBorders>
            <w:shd w:val="clear" w:color="auto" w:fill="auto"/>
            <w:noWrap/>
            <w:vAlign w:val="center"/>
            <w:hideMark/>
          </w:tcPr>
          <w:p w14:paraId="7C6E6370" w14:textId="5D0DF1F3"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394,502 </w:t>
            </w:r>
          </w:p>
        </w:tc>
        <w:tc>
          <w:tcPr>
            <w:tcW w:w="1315" w:type="dxa"/>
            <w:tcBorders>
              <w:top w:val="single" w:sz="4" w:space="0" w:color="auto"/>
              <w:left w:val="nil"/>
              <w:bottom w:val="single" w:sz="4" w:space="0" w:color="auto"/>
              <w:right w:val="nil"/>
            </w:tcBorders>
            <w:shd w:val="clear" w:color="auto" w:fill="auto"/>
            <w:noWrap/>
            <w:vAlign w:val="center"/>
            <w:hideMark/>
          </w:tcPr>
          <w:p w14:paraId="31E9CBE1" w14:textId="7B07D7DB"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47,253 </w:t>
            </w:r>
          </w:p>
        </w:tc>
        <w:tc>
          <w:tcPr>
            <w:tcW w:w="1134" w:type="dxa"/>
            <w:tcBorders>
              <w:top w:val="single" w:sz="4" w:space="0" w:color="auto"/>
              <w:left w:val="nil"/>
              <w:bottom w:val="single" w:sz="4" w:space="0" w:color="auto"/>
              <w:right w:val="nil"/>
            </w:tcBorders>
            <w:shd w:val="clear" w:color="auto" w:fill="auto"/>
            <w:noWrap/>
            <w:vAlign w:val="center"/>
            <w:hideMark/>
          </w:tcPr>
          <w:p w14:paraId="713F4AE1" w14:textId="76F0F1EE"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104,218 </w:t>
            </w:r>
          </w:p>
        </w:tc>
        <w:tc>
          <w:tcPr>
            <w:tcW w:w="1351" w:type="dxa"/>
            <w:tcBorders>
              <w:top w:val="single" w:sz="4" w:space="0" w:color="auto"/>
              <w:left w:val="nil"/>
              <w:bottom w:val="single" w:sz="4" w:space="0" w:color="auto"/>
              <w:right w:val="nil"/>
            </w:tcBorders>
            <w:shd w:val="clear" w:color="auto" w:fill="auto"/>
            <w:noWrap/>
            <w:vAlign w:val="center"/>
            <w:hideMark/>
          </w:tcPr>
          <w:p w14:paraId="24289945" w14:textId="147E1D97"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p>
        </w:tc>
        <w:tc>
          <w:tcPr>
            <w:tcW w:w="1559" w:type="dxa"/>
            <w:tcBorders>
              <w:top w:val="single" w:sz="4" w:space="0" w:color="auto"/>
              <w:left w:val="nil"/>
              <w:bottom w:val="single" w:sz="4" w:space="0" w:color="auto"/>
              <w:right w:val="nil"/>
            </w:tcBorders>
            <w:shd w:val="clear" w:color="auto" w:fill="auto"/>
            <w:noWrap/>
            <w:vAlign w:val="center"/>
            <w:hideMark/>
          </w:tcPr>
          <w:p w14:paraId="448CA589" w14:textId="4541F383"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545,973 </w:t>
            </w:r>
          </w:p>
        </w:tc>
      </w:tr>
      <w:tr w:rsidR="00D84B03" w:rsidRPr="00D84B03" w14:paraId="7702E651" w14:textId="77777777" w:rsidTr="006A7B47">
        <w:trPr>
          <w:trHeight w:val="276"/>
        </w:trPr>
        <w:tc>
          <w:tcPr>
            <w:tcW w:w="2977" w:type="dxa"/>
            <w:tcBorders>
              <w:top w:val="nil"/>
              <w:left w:val="nil"/>
              <w:bottom w:val="nil"/>
              <w:right w:val="nil"/>
            </w:tcBorders>
            <w:shd w:val="clear" w:color="auto" w:fill="auto"/>
            <w:vAlign w:val="center"/>
            <w:hideMark/>
          </w:tcPr>
          <w:p w14:paraId="2FBD8744"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Operating Expenses</w:t>
            </w:r>
          </w:p>
        </w:tc>
        <w:tc>
          <w:tcPr>
            <w:tcW w:w="1276" w:type="dxa"/>
            <w:tcBorders>
              <w:top w:val="nil"/>
              <w:left w:val="nil"/>
              <w:bottom w:val="nil"/>
              <w:right w:val="nil"/>
            </w:tcBorders>
            <w:shd w:val="clear" w:color="auto" w:fill="auto"/>
            <w:noWrap/>
            <w:vAlign w:val="center"/>
            <w:hideMark/>
          </w:tcPr>
          <w:p w14:paraId="14FB018A" w14:textId="0E27B146"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(258,632)</w:t>
            </w:r>
          </w:p>
        </w:tc>
        <w:tc>
          <w:tcPr>
            <w:tcW w:w="1315" w:type="dxa"/>
            <w:tcBorders>
              <w:top w:val="nil"/>
              <w:left w:val="nil"/>
              <w:bottom w:val="nil"/>
              <w:right w:val="nil"/>
            </w:tcBorders>
            <w:shd w:val="clear" w:color="auto" w:fill="auto"/>
            <w:noWrap/>
            <w:vAlign w:val="center"/>
            <w:hideMark/>
          </w:tcPr>
          <w:p w14:paraId="7C76C9B2" w14:textId="23C88540"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(12,416)</w:t>
            </w:r>
          </w:p>
        </w:tc>
        <w:tc>
          <w:tcPr>
            <w:tcW w:w="1134" w:type="dxa"/>
            <w:tcBorders>
              <w:top w:val="nil"/>
              <w:left w:val="nil"/>
              <w:bottom w:val="nil"/>
              <w:right w:val="nil"/>
            </w:tcBorders>
            <w:shd w:val="clear" w:color="auto" w:fill="auto"/>
            <w:noWrap/>
            <w:vAlign w:val="center"/>
            <w:hideMark/>
          </w:tcPr>
          <w:p w14:paraId="7424A533" w14:textId="5EACB247"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(258,632)</w:t>
            </w:r>
          </w:p>
        </w:tc>
        <w:tc>
          <w:tcPr>
            <w:tcW w:w="1351" w:type="dxa"/>
            <w:tcBorders>
              <w:top w:val="nil"/>
              <w:left w:val="nil"/>
              <w:bottom w:val="nil"/>
              <w:right w:val="nil"/>
            </w:tcBorders>
            <w:shd w:val="clear" w:color="auto" w:fill="auto"/>
            <w:noWrap/>
            <w:vAlign w:val="center"/>
            <w:hideMark/>
          </w:tcPr>
          <w:p w14:paraId="3CE29954" w14:textId="22403951"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(2,069,056)</w:t>
            </w:r>
          </w:p>
        </w:tc>
        <w:tc>
          <w:tcPr>
            <w:tcW w:w="1559" w:type="dxa"/>
            <w:tcBorders>
              <w:top w:val="nil"/>
              <w:left w:val="nil"/>
              <w:bottom w:val="nil"/>
              <w:right w:val="nil"/>
            </w:tcBorders>
            <w:shd w:val="clear" w:color="auto" w:fill="auto"/>
            <w:noWrap/>
            <w:vAlign w:val="center"/>
            <w:hideMark/>
          </w:tcPr>
          <w:p w14:paraId="5C20F279" w14:textId="14E3A501"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(2,598,736)</w:t>
            </w:r>
          </w:p>
        </w:tc>
      </w:tr>
      <w:tr w:rsidR="00D84B03" w:rsidRPr="00D84B03" w14:paraId="58316266" w14:textId="77777777" w:rsidTr="006A7B47">
        <w:trPr>
          <w:trHeight w:val="276"/>
        </w:trPr>
        <w:tc>
          <w:tcPr>
            <w:tcW w:w="2977" w:type="dxa"/>
            <w:tcBorders>
              <w:top w:val="nil"/>
              <w:left w:val="nil"/>
              <w:bottom w:val="nil"/>
              <w:right w:val="nil"/>
            </w:tcBorders>
            <w:shd w:val="clear" w:color="auto" w:fill="auto"/>
            <w:vAlign w:val="center"/>
            <w:hideMark/>
          </w:tcPr>
          <w:p w14:paraId="454AB3E0"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Interest expense</w:t>
            </w:r>
          </w:p>
        </w:tc>
        <w:tc>
          <w:tcPr>
            <w:tcW w:w="1276" w:type="dxa"/>
            <w:tcBorders>
              <w:top w:val="nil"/>
              <w:left w:val="nil"/>
              <w:bottom w:val="nil"/>
              <w:right w:val="nil"/>
            </w:tcBorders>
            <w:shd w:val="clear" w:color="auto" w:fill="auto"/>
            <w:noWrap/>
            <w:vAlign w:val="center"/>
            <w:hideMark/>
          </w:tcPr>
          <w:p w14:paraId="5DE37B5B" w14:textId="7C3DE343"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(10,558)</w:t>
            </w:r>
          </w:p>
        </w:tc>
        <w:tc>
          <w:tcPr>
            <w:tcW w:w="1315" w:type="dxa"/>
            <w:tcBorders>
              <w:top w:val="nil"/>
              <w:left w:val="nil"/>
              <w:bottom w:val="nil"/>
              <w:right w:val="nil"/>
            </w:tcBorders>
            <w:shd w:val="clear" w:color="auto" w:fill="auto"/>
            <w:noWrap/>
            <w:vAlign w:val="center"/>
            <w:hideMark/>
          </w:tcPr>
          <w:p w14:paraId="7B0029DF" w14:textId="6D44819D"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(4,310)</w:t>
            </w:r>
          </w:p>
        </w:tc>
        <w:tc>
          <w:tcPr>
            <w:tcW w:w="1134" w:type="dxa"/>
            <w:tcBorders>
              <w:top w:val="nil"/>
              <w:left w:val="nil"/>
              <w:bottom w:val="nil"/>
              <w:right w:val="nil"/>
            </w:tcBorders>
            <w:shd w:val="clear" w:color="auto" w:fill="auto"/>
            <w:noWrap/>
            <w:vAlign w:val="center"/>
            <w:hideMark/>
          </w:tcPr>
          <w:p w14:paraId="50534BB8" w14:textId="782D6309"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p>
        </w:tc>
        <w:tc>
          <w:tcPr>
            <w:tcW w:w="1351" w:type="dxa"/>
            <w:tcBorders>
              <w:top w:val="nil"/>
              <w:left w:val="nil"/>
              <w:bottom w:val="nil"/>
              <w:right w:val="nil"/>
            </w:tcBorders>
            <w:shd w:val="clear" w:color="auto" w:fill="auto"/>
            <w:noWrap/>
            <w:vAlign w:val="center"/>
            <w:hideMark/>
          </w:tcPr>
          <w:p w14:paraId="268CA77D" w14:textId="003D4BFB"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(62,333)</w:t>
            </w:r>
          </w:p>
        </w:tc>
        <w:tc>
          <w:tcPr>
            <w:tcW w:w="1559" w:type="dxa"/>
            <w:tcBorders>
              <w:top w:val="nil"/>
              <w:left w:val="nil"/>
              <w:bottom w:val="nil"/>
              <w:right w:val="nil"/>
            </w:tcBorders>
            <w:shd w:val="clear" w:color="auto" w:fill="auto"/>
            <w:noWrap/>
            <w:vAlign w:val="center"/>
            <w:hideMark/>
          </w:tcPr>
          <w:p w14:paraId="7D02317C" w14:textId="4A988B77"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(77,201)</w:t>
            </w:r>
          </w:p>
        </w:tc>
      </w:tr>
      <w:tr w:rsidR="00D84B03" w:rsidRPr="00D84B03" w14:paraId="47D5269A" w14:textId="77777777" w:rsidTr="006A7B47">
        <w:trPr>
          <w:trHeight w:val="276"/>
        </w:trPr>
        <w:tc>
          <w:tcPr>
            <w:tcW w:w="2977" w:type="dxa"/>
            <w:tcBorders>
              <w:top w:val="nil"/>
              <w:left w:val="nil"/>
              <w:bottom w:val="nil"/>
              <w:right w:val="nil"/>
            </w:tcBorders>
            <w:shd w:val="clear" w:color="auto" w:fill="auto"/>
            <w:vAlign w:val="center"/>
            <w:hideMark/>
          </w:tcPr>
          <w:p w14:paraId="7998C2BC"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Amortization, Equipment</w:t>
            </w:r>
          </w:p>
        </w:tc>
        <w:tc>
          <w:tcPr>
            <w:tcW w:w="1276" w:type="dxa"/>
            <w:tcBorders>
              <w:top w:val="nil"/>
              <w:left w:val="nil"/>
              <w:bottom w:val="nil"/>
              <w:right w:val="nil"/>
            </w:tcBorders>
            <w:shd w:val="clear" w:color="auto" w:fill="auto"/>
            <w:noWrap/>
            <w:vAlign w:val="center"/>
            <w:hideMark/>
          </w:tcPr>
          <w:p w14:paraId="7473A4C6" w14:textId="592B1F4F"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(1,932)</w:t>
            </w:r>
          </w:p>
        </w:tc>
        <w:tc>
          <w:tcPr>
            <w:tcW w:w="1315" w:type="dxa"/>
            <w:tcBorders>
              <w:top w:val="nil"/>
              <w:left w:val="nil"/>
              <w:bottom w:val="nil"/>
              <w:right w:val="nil"/>
            </w:tcBorders>
            <w:shd w:val="clear" w:color="auto" w:fill="auto"/>
            <w:noWrap/>
            <w:vAlign w:val="center"/>
            <w:hideMark/>
          </w:tcPr>
          <w:p w14:paraId="13853126" w14:textId="665D0213" w:rsidR="00D84B03" w:rsidRPr="00D84B03" w:rsidRDefault="00D84B03" w:rsidP="00F5146F">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(3,614)</w:t>
            </w:r>
          </w:p>
        </w:tc>
        <w:tc>
          <w:tcPr>
            <w:tcW w:w="1134" w:type="dxa"/>
            <w:tcBorders>
              <w:top w:val="nil"/>
              <w:left w:val="nil"/>
              <w:bottom w:val="nil"/>
              <w:right w:val="nil"/>
            </w:tcBorders>
            <w:shd w:val="clear" w:color="auto" w:fill="auto"/>
            <w:noWrap/>
            <w:vAlign w:val="center"/>
            <w:hideMark/>
          </w:tcPr>
          <w:p w14:paraId="77BB43F6" w14:textId="19256DB8"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(117,979)</w:t>
            </w:r>
          </w:p>
        </w:tc>
        <w:tc>
          <w:tcPr>
            <w:tcW w:w="1351" w:type="dxa"/>
            <w:tcBorders>
              <w:top w:val="nil"/>
              <w:left w:val="nil"/>
              <w:bottom w:val="nil"/>
              <w:right w:val="nil"/>
            </w:tcBorders>
            <w:shd w:val="clear" w:color="auto" w:fill="auto"/>
            <w:noWrap/>
            <w:vAlign w:val="center"/>
            <w:hideMark/>
          </w:tcPr>
          <w:p w14:paraId="662B274E" w14:textId="4BEEE503"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(4,691)</w:t>
            </w:r>
          </w:p>
        </w:tc>
        <w:tc>
          <w:tcPr>
            <w:tcW w:w="1559" w:type="dxa"/>
            <w:tcBorders>
              <w:top w:val="nil"/>
              <w:left w:val="nil"/>
              <w:bottom w:val="nil"/>
              <w:right w:val="nil"/>
            </w:tcBorders>
            <w:shd w:val="clear" w:color="auto" w:fill="auto"/>
            <w:noWrap/>
            <w:vAlign w:val="center"/>
            <w:hideMark/>
          </w:tcPr>
          <w:p w14:paraId="208FCDC1" w14:textId="26D494A2"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(128,216)</w:t>
            </w:r>
          </w:p>
        </w:tc>
      </w:tr>
      <w:tr w:rsidR="00D84B03" w:rsidRPr="00D84B03" w14:paraId="2C81EF32" w14:textId="77777777" w:rsidTr="006A7B47">
        <w:trPr>
          <w:trHeight w:val="276"/>
        </w:trPr>
        <w:tc>
          <w:tcPr>
            <w:tcW w:w="2977" w:type="dxa"/>
            <w:tcBorders>
              <w:top w:val="nil"/>
              <w:left w:val="nil"/>
              <w:bottom w:val="nil"/>
              <w:right w:val="nil"/>
            </w:tcBorders>
            <w:shd w:val="clear" w:color="auto" w:fill="auto"/>
            <w:vAlign w:val="center"/>
            <w:hideMark/>
          </w:tcPr>
          <w:p w14:paraId="5736B258"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Amortization, Right of Use of Asset</w:t>
            </w:r>
          </w:p>
        </w:tc>
        <w:tc>
          <w:tcPr>
            <w:tcW w:w="1276" w:type="dxa"/>
            <w:tcBorders>
              <w:top w:val="nil"/>
              <w:left w:val="nil"/>
              <w:bottom w:val="nil"/>
              <w:right w:val="nil"/>
            </w:tcBorders>
            <w:shd w:val="clear" w:color="auto" w:fill="auto"/>
            <w:noWrap/>
            <w:vAlign w:val="center"/>
            <w:hideMark/>
          </w:tcPr>
          <w:p w14:paraId="6864AFFC" w14:textId="135C8325"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p>
        </w:tc>
        <w:tc>
          <w:tcPr>
            <w:tcW w:w="1315" w:type="dxa"/>
            <w:tcBorders>
              <w:top w:val="nil"/>
              <w:left w:val="nil"/>
              <w:bottom w:val="nil"/>
              <w:right w:val="nil"/>
            </w:tcBorders>
            <w:shd w:val="clear" w:color="auto" w:fill="auto"/>
            <w:noWrap/>
            <w:vAlign w:val="center"/>
            <w:hideMark/>
          </w:tcPr>
          <w:p w14:paraId="79C04477" w14:textId="2F98C8CF"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p>
        </w:tc>
        <w:tc>
          <w:tcPr>
            <w:tcW w:w="1134" w:type="dxa"/>
            <w:tcBorders>
              <w:top w:val="nil"/>
              <w:left w:val="nil"/>
              <w:bottom w:val="nil"/>
              <w:right w:val="nil"/>
            </w:tcBorders>
            <w:shd w:val="clear" w:color="auto" w:fill="auto"/>
            <w:noWrap/>
            <w:vAlign w:val="center"/>
            <w:hideMark/>
          </w:tcPr>
          <w:p w14:paraId="600F74FA" w14:textId="75328EAF"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p>
        </w:tc>
        <w:tc>
          <w:tcPr>
            <w:tcW w:w="1351" w:type="dxa"/>
            <w:tcBorders>
              <w:top w:val="nil"/>
              <w:left w:val="nil"/>
              <w:bottom w:val="nil"/>
              <w:right w:val="nil"/>
            </w:tcBorders>
            <w:shd w:val="clear" w:color="auto" w:fill="auto"/>
            <w:noWrap/>
            <w:vAlign w:val="center"/>
            <w:hideMark/>
          </w:tcPr>
          <w:p w14:paraId="4C077C74" w14:textId="538D779C"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(23,289)</w:t>
            </w:r>
          </w:p>
        </w:tc>
        <w:tc>
          <w:tcPr>
            <w:tcW w:w="1559" w:type="dxa"/>
            <w:tcBorders>
              <w:top w:val="nil"/>
              <w:left w:val="nil"/>
              <w:bottom w:val="nil"/>
              <w:right w:val="nil"/>
            </w:tcBorders>
            <w:shd w:val="clear" w:color="auto" w:fill="auto"/>
            <w:noWrap/>
            <w:vAlign w:val="center"/>
            <w:hideMark/>
          </w:tcPr>
          <w:p w14:paraId="563E3B9E" w14:textId="4456DDF2"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(23,289)</w:t>
            </w:r>
          </w:p>
        </w:tc>
      </w:tr>
      <w:tr w:rsidR="00D84B03" w:rsidRPr="00D84B03" w14:paraId="6F54B4A3" w14:textId="77777777" w:rsidTr="006A7B47">
        <w:trPr>
          <w:trHeight w:val="276"/>
        </w:trPr>
        <w:tc>
          <w:tcPr>
            <w:tcW w:w="2977" w:type="dxa"/>
            <w:tcBorders>
              <w:top w:val="nil"/>
              <w:left w:val="nil"/>
              <w:bottom w:val="nil"/>
              <w:right w:val="nil"/>
            </w:tcBorders>
            <w:shd w:val="clear" w:color="auto" w:fill="auto"/>
            <w:vAlign w:val="center"/>
            <w:hideMark/>
          </w:tcPr>
          <w:p w14:paraId="0FC21FFE"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Foreign exchange loss</w:t>
            </w:r>
          </w:p>
        </w:tc>
        <w:tc>
          <w:tcPr>
            <w:tcW w:w="1276" w:type="dxa"/>
            <w:tcBorders>
              <w:top w:val="nil"/>
              <w:left w:val="nil"/>
              <w:bottom w:val="nil"/>
              <w:right w:val="nil"/>
            </w:tcBorders>
            <w:shd w:val="clear" w:color="auto" w:fill="auto"/>
            <w:noWrap/>
            <w:vAlign w:val="center"/>
            <w:hideMark/>
          </w:tcPr>
          <w:p w14:paraId="25520A0C" w14:textId="5F1FE307"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p>
        </w:tc>
        <w:tc>
          <w:tcPr>
            <w:tcW w:w="1315" w:type="dxa"/>
            <w:tcBorders>
              <w:top w:val="nil"/>
              <w:left w:val="nil"/>
              <w:bottom w:val="nil"/>
              <w:right w:val="nil"/>
            </w:tcBorders>
            <w:shd w:val="clear" w:color="auto" w:fill="auto"/>
            <w:noWrap/>
            <w:vAlign w:val="center"/>
            <w:hideMark/>
          </w:tcPr>
          <w:p w14:paraId="57583FBB" w14:textId="65557369"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p>
        </w:tc>
        <w:tc>
          <w:tcPr>
            <w:tcW w:w="1134" w:type="dxa"/>
            <w:tcBorders>
              <w:top w:val="nil"/>
              <w:left w:val="nil"/>
              <w:bottom w:val="nil"/>
              <w:right w:val="nil"/>
            </w:tcBorders>
            <w:shd w:val="clear" w:color="auto" w:fill="auto"/>
            <w:noWrap/>
            <w:vAlign w:val="center"/>
            <w:hideMark/>
          </w:tcPr>
          <w:p w14:paraId="6F91CCCF" w14:textId="1A396441" w:rsidR="00D84B03" w:rsidRPr="00D84B03" w:rsidRDefault="00D84B03" w:rsidP="0057480C">
            <w:pPr>
              <w:ind w:right="125"/>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p>
        </w:tc>
        <w:tc>
          <w:tcPr>
            <w:tcW w:w="1351" w:type="dxa"/>
            <w:tcBorders>
              <w:top w:val="nil"/>
              <w:left w:val="nil"/>
              <w:bottom w:val="nil"/>
              <w:right w:val="nil"/>
            </w:tcBorders>
            <w:shd w:val="clear" w:color="auto" w:fill="auto"/>
            <w:noWrap/>
            <w:vAlign w:val="center"/>
            <w:hideMark/>
          </w:tcPr>
          <w:p w14:paraId="476B2646" w14:textId="26C7D4AD"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(704)</w:t>
            </w:r>
          </w:p>
        </w:tc>
        <w:tc>
          <w:tcPr>
            <w:tcW w:w="1559" w:type="dxa"/>
            <w:tcBorders>
              <w:top w:val="nil"/>
              <w:left w:val="nil"/>
              <w:bottom w:val="nil"/>
              <w:right w:val="nil"/>
            </w:tcBorders>
            <w:shd w:val="clear" w:color="auto" w:fill="auto"/>
            <w:noWrap/>
            <w:vAlign w:val="center"/>
            <w:hideMark/>
          </w:tcPr>
          <w:p w14:paraId="74A815AE" w14:textId="5B36BA20"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(704)</w:t>
            </w:r>
          </w:p>
        </w:tc>
      </w:tr>
      <w:tr w:rsidR="00D84B03" w:rsidRPr="00D84B03" w14:paraId="6E4E7A15" w14:textId="77777777" w:rsidTr="006A7B47">
        <w:trPr>
          <w:trHeight w:val="276"/>
        </w:trPr>
        <w:tc>
          <w:tcPr>
            <w:tcW w:w="2977" w:type="dxa"/>
            <w:tcBorders>
              <w:top w:val="single" w:sz="4" w:space="0" w:color="auto"/>
              <w:left w:val="nil"/>
              <w:bottom w:val="single" w:sz="4" w:space="0" w:color="auto"/>
              <w:right w:val="nil"/>
            </w:tcBorders>
            <w:shd w:val="clear" w:color="auto" w:fill="auto"/>
            <w:noWrap/>
            <w:vAlign w:val="center"/>
            <w:hideMark/>
          </w:tcPr>
          <w:p w14:paraId="1FA2B7F2"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w:t>
            </w:r>
          </w:p>
        </w:tc>
        <w:tc>
          <w:tcPr>
            <w:tcW w:w="1276" w:type="dxa"/>
            <w:tcBorders>
              <w:top w:val="single" w:sz="4" w:space="0" w:color="auto"/>
              <w:left w:val="nil"/>
              <w:bottom w:val="single" w:sz="4" w:space="0" w:color="auto"/>
              <w:right w:val="nil"/>
            </w:tcBorders>
            <w:shd w:val="clear" w:color="auto" w:fill="auto"/>
            <w:noWrap/>
            <w:vAlign w:val="center"/>
            <w:hideMark/>
          </w:tcPr>
          <w:p w14:paraId="40777397" w14:textId="5D8F5030"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(271,122)</w:t>
            </w:r>
          </w:p>
        </w:tc>
        <w:tc>
          <w:tcPr>
            <w:tcW w:w="1315" w:type="dxa"/>
            <w:tcBorders>
              <w:top w:val="single" w:sz="4" w:space="0" w:color="auto"/>
              <w:left w:val="nil"/>
              <w:bottom w:val="single" w:sz="4" w:space="0" w:color="auto"/>
              <w:right w:val="nil"/>
            </w:tcBorders>
            <w:shd w:val="clear" w:color="auto" w:fill="auto"/>
            <w:noWrap/>
            <w:vAlign w:val="center"/>
            <w:hideMark/>
          </w:tcPr>
          <w:p w14:paraId="419A35EE" w14:textId="5E043739"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(20,340)</w:t>
            </w:r>
          </w:p>
        </w:tc>
        <w:tc>
          <w:tcPr>
            <w:tcW w:w="1134" w:type="dxa"/>
            <w:tcBorders>
              <w:top w:val="single" w:sz="4" w:space="0" w:color="auto"/>
              <w:left w:val="nil"/>
              <w:bottom w:val="single" w:sz="4" w:space="0" w:color="auto"/>
              <w:right w:val="nil"/>
            </w:tcBorders>
            <w:shd w:val="clear" w:color="auto" w:fill="auto"/>
            <w:noWrap/>
            <w:vAlign w:val="center"/>
            <w:hideMark/>
          </w:tcPr>
          <w:p w14:paraId="5413CFA4" w14:textId="62C77439"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(376,611)</w:t>
            </w:r>
          </w:p>
        </w:tc>
        <w:tc>
          <w:tcPr>
            <w:tcW w:w="1351" w:type="dxa"/>
            <w:tcBorders>
              <w:top w:val="single" w:sz="4" w:space="0" w:color="auto"/>
              <w:left w:val="nil"/>
              <w:bottom w:val="single" w:sz="4" w:space="0" w:color="auto"/>
              <w:right w:val="nil"/>
            </w:tcBorders>
            <w:shd w:val="clear" w:color="auto" w:fill="auto"/>
            <w:noWrap/>
            <w:vAlign w:val="center"/>
            <w:hideMark/>
          </w:tcPr>
          <w:p w14:paraId="17119ACD" w14:textId="18C2ABD7"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(2,160,073)</w:t>
            </w:r>
          </w:p>
        </w:tc>
        <w:tc>
          <w:tcPr>
            <w:tcW w:w="1559" w:type="dxa"/>
            <w:tcBorders>
              <w:top w:val="single" w:sz="4" w:space="0" w:color="auto"/>
              <w:left w:val="nil"/>
              <w:bottom w:val="single" w:sz="4" w:space="0" w:color="auto"/>
              <w:right w:val="nil"/>
            </w:tcBorders>
            <w:shd w:val="clear" w:color="auto" w:fill="auto"/>
            <w:noWrap/>
            <w:vAlign w:val="center"/>
            <w:hideMark/>
          </w:tcPr>
          <w:p w14:paraId="196C643F" w14:textId="7F47179D" w:rsidR="00D84B03" w:rsidRPr="00D84B03" w:rsidRDefault="00D84B03" w:rsidP="00C443B0">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(2,828,146)</w:t>
            </w:r>
          </w:p>
        </w:tc>
      </w:tr>
      <w:tr w:rsidR="00D84B03" w:rsidRPr="00D84B03" w14:paraId="37D38C2C" w14:textId="77777777" w:rsidTr="006A7B47">
        <w:trPr>
          <w:trHeight w:val="492"/>
        </w:trPr>
        <w:tc>
          <w:tcPr>
            <w:tcW w:w="2977" w:type="dxa"/>
            <w:tcBorders>
              <w:top w:val="nil"/>
              <w:left w:val="nil"/>
              <w:bottom w:val="single" w:sz="8" w:space="0" w:color="auto"/>
              <w:right w:val="nil"/>
            </w:tcBorders>
            <w:shd w:val="clear" w:color="auto" w:fill="auto"/>
            <w:vAlign w:val="center"/>
            <w:hideMark/>
          </w:tcPr>
          <w:p w14:paraId="53AE767B" w14:textId="77777777" w:rsidR="00D84B03" w:rsidRPr="00D84B03" w:rsidRDefault="00D84B03" w:rsidP="00D84B03">
            <w:pPr>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Net income (loss) and comprehensive income (loss)</w:t>
            </w:r>
          </w:p>
        </w:tc>
        <w:tc>
          <w:tcPr>
            <w:tcW w:w="1276" w:type="dxa"/>
            <w:tcBorders>
              <w:top w:val="nil"/>
              <w:left w:val="nil"/>
              <w:bottom w:val="single" w:sz="8" w:space="0" w:color="auto"/>
              <w:right w:val="nil"/>
            </w:tcBorders>
            <w:shd w:val="clear" w:color="auto" w:fill="auto"/>
            <w:noWrap/>
            <w:vAlign w:val="center"/>
            <w:hideMark/>
          </w:tcPr>
          <w:p w14:paraId="67043A74" w14:textId="3AB9C52B"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w:t>
            </w:r>
            <w:r w:rsidR="00263B64">
              <w:rPr>
                <w:rFonts w:ascii="Calibri" w:hAnsi="Calibri" w:cs="Calibri"/>
                <w:color w:val="000000"/>
                <w:sz w:val="18"/>
                <w:szCs w:val="18"/>
                <w:lang w:val="en-CA" w:eastAsia="en-CA"/>
              </w:rPr>
              <w:t xml:space="preserve"> </w:t>
            </w:r>
            <w:r w:rsidRPr="00D84B03">
              <w:rPr>
                <w:rFonts w:ascii="Calibri" w:hAnsi="Calibri" w:cs="Calibri"/>
                <w:color w:val="000000"/>
                <w:sz w:val="18"/>
                <w:szCs w:val="18"/>
                <w:lang w:val="en-CA" w:eastAsia="en-CA"/>
              </w:rPr>
              <w:t xml:space="preserve">123,380 </w:t>
            </w:r>
          </w:p>
        </w:tc>
        <w:tc>
          <w:tcPr>
            <w:tcW w:w="1315" w:type="dxa"/>
            <w:tcBorders>
              <w:top w:val="nil"/>
              <w:left w:val="nil"/>
              <w:bottom w:val="single" w:sz="8" w:space="0" w:color="auto"/>
              <w:right w:val="nil"/>
            </w:tcBorders>
            <w:shd w:val="clear" w:color="auto" w:fill="auto"/>
            <w:noWrap/>
            <w:vAlign w:val="center"/>
            <w:hideMark/>
          </w:tcPr>
          <w:p w14:paraId="284351F4" w14:textId="2476C47F" w:rsidR="00D84B03" w:rsidRPr="00D84B03" w:rsidRDefault="00D84B03" w:rsidP="00D73A1C">
            <w:pPr>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$ 26,913 </w:t>
            </w:r>
          </w:p>
        </w:tc>
        <w:tc>
          <w:tcPr>
            <w:tcW w:w="1134" w:type="dxa"/>
            <w:tcBorders>
              <w:top w:val="nil"/>
              <w:left w:val="nil"/>
              <w:bottom w:val="single" w:sz="8" w:space="0" w:color="auto"/>
              <w:right w:val="nil"/>
            </w:tcBorders>
            <w:shd w:val="clear" w:color="auto" w:fill="auto"/>
            <w:noWrap/>
            <w:vAlign w:val="center"/>
            <w:hideMark/>
          </w:tcPr>
          <w:p w14:paraId="39ABC100" w14:textId="669F499E" w:rsidR="00D84B03" w:rsidRPr="00D84B03" w:rsidRDefault="00D84B03" w:rsidP="008927B7">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 (272,393)</w:t>
            </w:r>
          </w:p>
        </w:tc>
        <w:tc>
          <w:tcPr>
            <w:tcW w:w="1351" w:type="dxa"/>
            <w:tcBorders>
              <w:top w:val="nil"/>
              <w:left w:val="nil"/>
              <w:bottom w:val="single" w:sz="8" w:space="0" w:color="auto"/>
              <w:right w:val="nil"/>
            </w:tcBorders>
            <w:shd w:val="clear" w:color="auto" w:fill="auto"/>
            <w:noWrap/>
            <w:vAlign w:val="center"/>
            <w:hideMark/>
          </w:tcPr>
          <w:p w14:paraId="0D180228" w14:textId="7972D5D6" w:rsidR="00D84B03" w:rsidRPr="00D84B03" w:rsidRDefault="00D84B03" w:rsidP="008927B7">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 (2,160,073)</w:t>
            </w:r>
          </w:p>
        </w:tc>
        <w:tc>
          <w:tcPr>
            <w:tcW w:w="1559" w:type="dxa"/>
            <w:tcBorders>
              <w:top w:val="nil"/>
              <w:left w:val="nil"/>
              <w:bottom w:val="single" w:sz="8" w:space="0" w:color="auto"/>
              <w:right w:val="nil"/>
            </w:tcBorders>
            <w:shd w:val="clear" w:color="auto" w:fill="auto"/>
            <w:noWrap/>
            <w:vAlign w:val="center"/>
            <w:hideMark/>
          </w:tcPr>
          <w:p w14:paraId="6D17743F" w14:textId="6561F14C" w:rsidR="00D84B03" w:rsidRPr="00D84B03" w:rsidRDefault="00D84B03" w:rsidP="008927B7">
            <w:pPr>
              <w:ind w:right="-62"/>
              <w:jc w:val="right"/>
              <w:rPr>
                <w:rFonts w:ascii="Calibri" w:hAnsi="Calibri" w:cs="Calibri"/>
                <w:color w:val="000000"/>
                <w:sz w:val="18"/>
                <w:szCs w:val="18"/>
                <w:lang w:val="en-CA" w:eastAsia="en-CA"/>
              </w:rPr>
            </w:pPr>
            <w:r w:rsidRPr="00D84B03">
              <w:rPr>
                <w:rFonts w:ascii="Calibri" w:hAnsi="Calibri" w:cs="Calibri"/>
                <w:color w:val="000000"/>
                <w:sz w:val="18"/>
                <w:szCs w:val="18"/>
                <w:lang w:val="en-CA" w:eastAsia="en-CA"/>
              </w:rPr>
              <w:t xml:space="preserve"> $ (2,282,173)</w:t>
            </w:r>
          </w:p>
        </w:tc>
      </w:tr>
    </w:tbl>
    <w:p w14:paraId="2CDE4C52" w14:textId="7B64A8A1" w:rsidR="00A1525E" w:rsidRPr="00FC2211" w:rsidRDefault="00A1525E" w:rsidP="002445CE">
      <w:pPr>
        <w:jc w:val="center"/>
        <w:rPr>
          <w:i/>
          <w:iCs/>
          <w:sz w:val="18"/>
          <w:szCs w:val="18"/>
          <w:lang w:val="en-GB"/>
        </w:rPr>
      </w:pPr>
      <w:r w:rsidRPr="00FC2211">
        <w:rPr>
          <w:i/>
          <w:iCs/>
          <w:sz w:val="18"/>
          <w:szCs w:val="18"/>
          <w:lang w:val="en-GB"/>
        </w:rPr>
        <w:t xml:space="preserve">*Operating expenses </w:t>
      </w:r>
      <w:r w:rsidR="00C83304" w:rsidRPr="00FC2211">
        <w:rPr>
          <w:i/>
          <w:iCs/>
          <w:sz w:val="18"/>
          <w:szCs w:val="18"/>
          <w:lang w:val="en-GB"/>
        </w:rPr>
        <w:t>include</w:t>
      </w:r>
      <w:r w:rsidRPr="00FC2211">
        <w:rPr>
          <w:i/>
          <w:iCs/>
          <w:sz w:val="18"/>
          <w:szCs w:val="18"/>
          <w:lang w:val="en-GB"/>
        </w:rPr>
        <w:t xml:space="preserve"> Administration, Selling, Marketing</w:t>
      </w:r>
      <w:r w:rsidR="00D02C78" w:rsidRPr="00FC2211">
        <w:rPr>
          <w:i/>
          <w:iCs/>
          <w:sz w:val="18"/>
          <w:szCs w:val="18"/>
          <w:lang w:val="en-GB"/>
        </w:rPr>
        <w:t>,</w:t>
      </w:r>
      <w:r w:rsidRPr="00FC2211">
        <w:rPr>
          <w:i/>
          <w:iCs/>
          <w:sz w:val="18"/>
          <w:szCs w:val="18"/>
          <w:lang w:val="en-GB"/>
        </w:rPr>
        <w:t xml:space="preserve"> and Research and Development costs.</w:t>
      </w:r>
    </w:p>
    <w:p w14:paraId="5209CC5E" w14:textId="5DBF5639" w:rsidR="001706B5" w:rsidRPr="00FC2211" w:rsidRDefault="001706B5" w:rsidP="00A1525E">
      <w:pPr>
        <w:ind w:left="282" w:firstLine="144"/>
        <w:rPr>
          <w:rFonts w:eastAsiaTheme="minorEastAsia" w:cstheme="minorBidi"/>
          <w:szCs w:val="20"/>
          <w:lang w:val="en-GB"/>
        </w:rPr>
      </w:pPr>
    </w:p>
    <w:p w14:paraId="243D3ECD" w14:textId="135EA230" w:rsidR="007C59F4" w:rsidRPr="00FC2211" w:rsidRDefault="00AE4F6F" w:rsidP="00CB4B58">
      <w:pPr>
        <w:ind w:left="426"/>
        <w:jc w:val="both"/>
        <w:rPr>
          <w:rFonts w:cstheme="minorHAnsi"/>
          <w:szCs w:val="20"/>
          <w:lang w:val="en-GB"/>
        </w:rPr>
      </w:pPr>
      <w:r w:rsidRPr="00FC2211">
        <w:rPr>
          <w:rFonts w:cstheme="minorHAnsi"/>
          <w:szCs w:val="20"/>
          <w:lang w:val="en-GB"/>
        </w:rPr>
        <w:t>Loss Prevention</w:t>
      </w:r>
      <w:r w:rsidR="00615ECB" w:rsidRPr="00FC2211">
        <w:rPr>
          <w:rFonts w:cstheme="minorHAnsi"/>
          <w:szCs w:val="20"/>
          <w:lang w:val="en-GB"/>
        </w:rPr>
        <w:t xml:space="preserve"> has </w:t>
      </w:r>
      <w:r w:rsidR="00A74D69" w:rsidRPr="00FC2211">
        <w:rPr>
          <w:rFonts w:cstheme="minorHAnsi"/>
          <w:szCs w:val="20"/>
          <w:lang w:val="en-GB"/>
        </w:rPr>
        <w:t>one</w:t>
      </w:r>
      <w:r w:rsidR="00C30437" w:rsidRPr="00FC2211">
        <w:rPr>
          <w:rFonts w:cstheme="minorHAnsi"/>
          <w:szCs w:val="20"/>
          <w:lang w:val="en-GB"/>
        </w:rPr>
        <w:t xml:space="preserve"> customer</w:t>
      </w:r>
      <w:r w:rsidR="00C83304" w:rsidRPr="00FC2211">
        <w:rPr>
          <w:rFonts w:cstheme="minorHAnsi"/>
          <w:szCs w:val="20"/>
          <w:lang w:val="en-GB"/>
        </w:rPr>
        <w:t>, accounting</w:t>
      </w:r>
      <w:r w:rsidR="0002175D" w:rsidRPr="00FC2211">
        <w:rPr>
          <w:rFonts w:cstheme="minorHAnsi"/>
          <w:szCs w:val="20"/>
          <w:lang w:val="en-GB"/>
        </w:rPr>
        <w:t xml:space="preserve"> for</w:t>
      </w:r>
      <w:r w:rsidR="00C30437" w:rsidRPr="00FC2211">
        <w:rPr>
          <w:rFonts w:cstheme="minorHAnsi"/>
          <w:szCs w:val="20"/>
          <w:lang w:val="en-GB"/>
        </w:rPr>
        <w:t xml:space="preserve"> </w:t>
      </w:r>
      <w:r w:rsidR="00735673">
        <w:rPr>
          <w:rFonts w:cstheme="minorHAnsi"/>
          <w:szCs w:val="20"/>
          <w:lang w:val="en-GB"/>
        </w:rPr>
        <w:t>16</w:t>
      </w:r>
      <w:r w:rsidR="00C30437" w:rsidRPr="00FC2211">
        <w:rPr>
          <w:rFonts w:cstheme="minorHAnsi"/>
          <w:szCs w:val="20"/>
          <w:lang w:val="en-GB"/>
        </w:rPr>
        <w:t>% of revenue (</w:t>
      </w:r>
      <w:r w:rsidR="00C73173">
        <w:rPr>
          <w:rFonts w:cstheme="minorHAnsi"/>
          <w:szCs w:val="20"/>
          <w:lang w:val="en-GB"/>
        </w:rPr>
        <w:t>March 31, 2023</w:t>
      </w:r>
      <w:r w:rsidR="00C30437" w:rsidRPr="00FC2211">
        <w:rPr>
          <w:rFonts w:cstheme="minorHAnsi"/>
          <w:szCs w:val="20"/>
          <w:lang w:val="en-GB"/>
        </w:rPr>
        <w:t xml:space="preserve"> </w:t>
      </w:r>
      <w:r w:rsidR="0002175D" w:rsidRPr="00FC2211">
        <w:rPr>
          <w:rFonts w:cstheme="minorHAnsi"/>
          <w:szCs w:val="20"/>
          <w:lang w:val="en-GB"/>
        </w:rPr>
        <w:t>–</w:t>
      </w:r>
      <w:r w:rsidR="00C30437" w:rsidRPr="00FC2211">
        <w:rPr>
          <w:rFonts w:cstheme="minorHAnsi"/>
          <w:szCs w:val="20"/>
          <w:lang w:val="en-GB"/>
        </w:rPr>
        <w:t xml:space="preserve"> </w:t>
      </w:r>
      <w:r w:rsidR="00B71838">
        <w:rPr>
          <w:rFonts w:cstheme="minorHAnsi"/>
          <w:szCs w:val="20"/>
          <w:lang w:val="en-GB"/>
        </w:rPr>
        <w:t>6</w:t>
      </w:r>
      <w:r w:rsidR="0002175D" w:rsidRPr="00FC2211">
        <w:rPr>
          <w:rFonts w:cstheme="minorHAnsi"/>
          <w:szCs w:val="20"/>
          <w:lang w:val="en-GB"/>
        </w:rPr>
        <w:t xml:space="preserve"> customers accounting for </w:t>
      </w:r>
      <w:r w:rsidR="00D715F0">
        <w:rPr>
          <w:rFonts w:cstheme="minorHAnsi"/>
          <w:szCs w:val="20"/>
          <w:lang w:val="en-GB"/>
        </w:rPr>
        <w:t>26</w:t>
      </w:r>
      <w:r w:rsidR="00C30437" w:rsidRPr="00FC2211">
        <w:rPr>
          <w:rFonts w:cstheme="minorHAnsi"/>
          <w:szCs w:val="20"/>
          <w:lang w:val="en-GB"/>
        </w:rPr>
        <w:t xml:space="preserve">%). </w:t>
      </w:r>
      <w:r w:rsidRPr="00FC2211">
        <w:rPr>
          <w:rFonts w:cstheme="minorHAnsi"/>
          <w:szCs w:val="20"/>
          <w:lang w:val="en-GB"/>
        </w:rPr>
        <w:t xml:space="preserve">Fabrication Operations has </w:t>
      </w:r>
      <w:r w:rsidR="00735673">
        <w:rPr>
          <w:rFonts w:cstheme="minorHAnsi"/>
          <w:szCs w:val="20"/>
          <w:lang w:val="en-GB"/>
        </w:rPr>
        <w:t>two</w:t>
      </w:r>
      <w:r w:rsidRPr="00FC2211">
        <w:rPr>
          <w:rFonts w:cstheme="minorHAnsi"/>
          <w:szCs w:val="20"/>
          <w:lang w:val="en-GB"/>
        </w:rPr>
        <w:t xml:space="preserve"> customer</w:t>
      </w:r>
      <w:r w:rsidR="0024528A" w:rsidRPr="00FC2211">
        <w:rPr>
          <w:rFonts w:cstheme="minorHAnsi"/>
          <w:szCs w:val="20"/>
          <w:lang w:val="en-GB"/>
        </w:rPr>
        <w:t>s</w:t>
      </w:r>
      <w:r w:rsidR="00C83304" w:rsidRPr="00FC2211">
        <w:rPr>
          <w:rFonts w:cstheme="minorHAnsi"/>
          <w:szCs w:val="20"/>
          <w:lang w:val="en-GB"/>
        </w:rPr>
        <w:t>, accounting</w:t>
      </w:r>
      <w:r w:rsidR="0002175D" w:rsidRPr="00FC2211">
        <w:rPr>
          <w:rFonts w:cstheme="minorHAnsi"/>
          <w:szCs w:val="20"/>
          <w:lang w:val="en-GB"/>
        </w:rPr>
        <w:t xml:space="preserve"> for </w:t>
      </w:r>
      <w:r w:rsidR="00735673">
        <w:rPr>
          <w:rFonts w:cstheme="minorHAnsi"/>
          <w:szCs w:val="20"/>
          <w:lang w:val="en-GB"/>
        </w:rPr>
        <w:t>76</w:t>
      </w:r>
      <w:r w:rsidR="0002175D" w:rsidRPr="00FC2211">
        <w:rPr>
          <w:rFonts w:cstheme="minorHAnsi"/>
          <w:szCs w:val="20"/>
          <w:lang w:val="en-GB"/>
        </w:rPr>
        <w:t>%</w:t>
      </w:r>
      <w:r w:rsidR="00C30437" w:rsidRPr="00FC2211">
        <w:rPr>
          <w:rFonts w:cstheme="minorHAnsi"/>
          <w:szCs w:val="20"/>
          <w:lang w:val="en-GB"/>
        </w:rPr>
        <w:t xml:space="preserve"> </w:t>
      </w:r>
      <w:r w:rsidR="0002175D" w:rsidRPr="00FC2211">
        <w:rPr>
          <w:rFonts w:cstheme="minorHAnsi"/>
          <w:szCs w:val="20"/>
          <w:lang w:val="en-GB"/>
        </w:rPr>
        <w:t>of revenue</w:t>
      </w:r>
      <w:r w:rsidR="00615ECB" w:rsidRPr="00FC2211">
        <w:rPr>
          <w:rFonts w:cstheme="minorHAnsi"/>
          <w:szCs w:val="20"/>
          <w:lang w:val="en-GB"/>
        </w:rPr>
        <w:t xml:space="preserve"> (</w:t>
      </w:r>
      <w:r w:rsidR="004E2749">
        <w:rPr>
          <w:rFonts w:cstheme="minorHAnsi"/>
          <w:szCs w:val="20"/>
          <w:lang w:val="en-GB"/>
        </w:rPr>
        <w:t>March 31</w:t>
      </w:r>
      <w:r w:rsidR="00547C9B" w:rsidRPr="00FC2211">
        <w:rPr>
          <w:rFonts w:cstheme="minorHAnsi"/>
          <w:szCs w:val="20"/>
          <w:lang w:val="en-GB"/>
        </w:rPr>
        <w:t>, 202</w:t>
      </w:r>
      <w:r w:rsidR="00DE3256">
        <w:rPr>
          <w:rFonts w:cstheme="minorHAnsi"/>
          <w:szCs w:val="20"/>
          <w:lang w:val="en-GB"/>
        </w:rPr>
        <w:t>3</w:t>
      </w:r>
      <w:r w:rsidR="00615ECB" w:rsidRPr="00FC2211">
        <w:rPr>
          <w:rFonts w:cstheme="minorHAnsi"/>
          <w:szCs w:val="20"/>
          <w:lang w:val="en-GB"/>
        </w:rPr>
        <w:t xml:space="preserve"> – </w:t>
      </w:r>
      <w:r w:rsidR="00D715F0">
        <w:rPr>
          <w:rFonts w:cstheme="minorHAnsi"/>
          <w:szCs w:val="20"/>
          <w:lang w:val="en-GB"/>
        </w:rPr>
        <w:t>two</w:t>
      </w:r>
      <w:r w:rsidR="0002175D" w:rsidRPr="00FC2211">
        <w:rPr>
          <w:rFonts w:cstheme="minorHAnsi"/>
          <w:szCs w:val="20"/>
          <w:lang w:val="en-GB"/>
        </w:rPr>
        <w:t xml:space="preserve"> customer accounting for </w:t>
      </w:r>
      <w:r w:rsidR="00547C9B" w:rsidRPr="00FC2211">
        <w:rPr>
          <w:rFonts w:cstheme="minorHAnsi"/>
          <w:szCs w:val="20"/>
          <w:lang w:val="en-GB"/>
        </w:rPr>
        <w:t>5</w:t>
      </w:r>
      <w:r w:rsidR="00D715F0">
        <w:rPr>
          <w:rFonts w:cstheme="minorHAnsi"/>
          <w:szCs w:val="20"/>
          <w:lang w:val="en-GB"/>
        </w:rPr>
        <w:t>9</w:t>
      </w:r>
      <w:r w:rsidR="00615ECB" w:rsidRPr="00FC2211">
        <w:rPr>
          <w:rFonts w:cstheme="minorHAnsi"/>
          <w:szCs w:val="20"/>
          <w:lang w:val="en-GB"/>
        </w:rPr>
        <w:t>%)</w:t>
      </w:r>
      <w:r w:rsidR="00176536" w:rsidRPr="00FC2211">
        <w:rPr>
          <w:rFonts w:cstheme="minorHAnsi"/>
          <w:szCs w:val="20"/>
          <w:lang w:val="en-GB"/>
        </w:rPr>
        <w:t>.</w:t>
      </w:r>
      <w:r w:rsidR="00580565" w:rsidRPr="00FC2211">
        <w:rPr>
          <w:rFonts w:cstheme="minorHAnsi"/>
          <w:szCs w:val="20"/>
          <w:lang w:val="en-GB"/>
        </w:rPr>
        <w:t xml:space="preserve"> Retail Media has t</w:t>
      </w:r>
      <w:r w:rsidR="004E2749">
        <w:rPr>
          <w:rFonts w:cstheme="minorHAnsi"/>
          <w:szCs w:val="20"/>
          <w:lang w:val="en-GB"/>
        </w:rPr>
        <w:t>hree</w:t>
      </w:r>
      <w:r w:rsidR="00580565" w:rsidRPr="00FC2211">
        <w:rPr>
          <w:rFonts w:cstheme="minorHAnsi"/>
          <w:szCs w:val="20"/>
          <w:lang w:val="en-GB"/>
        </w:rPr>
        <w:t xml:space="preserve"> customers accounting</w:t>
      </w:r>
      <w:r w:rsidR="00975E60" w:rsidRPr="00FC2211">
        <w:rPr>
          <w:rFonts w:cstheme="minorHAnsi"/>
          <w:szCs w:val="20"/>
          <w:lang w:val="en-GB"/>
        </w:rPr>
        <w:t xml:space="preserve"> </w:t>
      </w:r>
      <w:r w:rsidR="003A5824" w:rsidRPr="00FC2211">
        <w:rPr>
          <w:rFonts w:cstheme="minorHAnsi"/>
          <w:szCs w:val="20"/>
          <w:lang w:val="en-GB"/>
        </w:rPr>
        <w:t xml:space="preserve">for </w:t>
      </w:r>
      <w:r w:rsidR="00374B88">
        <w:rPr>
          <w:rFonts w:cstheme="minorHAnsi"/>
          <w:szCs w:val="20"/>
          <w:lang w:val="en-GB"/>
        </w:rPr>
        <w:t>93</w:t>
      </w:r>
      <w:r w:rsidR="003A5824" w:rsidRPr="00FC2211">
        <w:rPr>
          <w:rFonts w:cstheme="minorHAnsi"/>
          <w:szCs w:val="20"/>
          <w:lang w:val="en-GB"/>
        </w:rPr>
        <w:t xml:space="preserve">% </w:t>
      </w:r>
      <w:r w:rsidR="007425AF" w:rsidRPr="00FC2211">
        <w:rPr>
          <w:rFonts w:cstheme="minorHAnsi"/>
          <w:szCs w:val="20"/>
          <w:lang w:val="en-GB"/>
        </w:rPr>
        <w:t xml:space="preserve">of </w:t>
      </w:r>
      <w:r w:rsidR="00CF196C" w:rsidRPr="00FC2211">
        <w:rPr>
          <w:rFonts w:cstheme="minorHAnsi"/>
          <w:szCs w:val="20"/>
          <w:lang w:val="en-GB"/>
        </w:rPr>
        <w:t>revenue (</w:t>
      </w:r>
      <w:r w:rsidR="00F5610B">
        <w:rPr>
          <w:rFonts w:cstheme="minorHAnsi"/>
          <w:szCs w:val="20"/>
          <w:lang w:val="en-GB"/>
        </w:rPr>
        <w:t>March 31, 2023</w:t>
      </w:r>
      <w:r w:rsidR="00CF196C" w:rsidRPr="00FC2211">
        <w:rPr>
          <w:rFonts w:cstheme="minorHAnsi"/>
          <w:szCs w:val="20"/>
          <w:lang w:val="en-GB"/>
        </w:rPr>
        <w:t xml:space="preserve"> </w:t>
      </w:r>
      <w:r w:rsidR="008A7E73" w:rsidRPr="00FC2211">
        <w:rPr>
          <w:rFonts w:cstheme="minorHAnsi"/>
          <w:szCs w:val="20"/>
          <w:lang w:val="en-GB"/>
        </w:rPr>
        <w:t>–</w:t>
      </w:r>
      <w:r w:rsidR="00CF196C" w:rsidRPr="00FC2211">
        <w:rPr>
          <w:rFonts w:cstheme="minorHAnsi"/>
          <w:szCs w:val="20"/>
          <w:lang w:val="en-GB"/>
        </w:rPr>
        <w:t xml:space="preserve"> </w:t>
      </w:r>
      <w:r w:rsidR="00EF095E">
        <w:rPr>
          <w:rFonts w:cstheme="minorHAnsi"/>
          <w:szCs w:val="20"/>
          <w:lang w:val="en-GB"/>
        </w:rPr>
        <w:t>two</w:t>
      </w:r>
      <w:r w:rsidR="008A7E73" w:rsidRPr="00FC2211">
        <w:rPr>
          <w:rFonts w:cstheme="minorHAnsi"/>
          <w:szCs w:val="20"/>
          <w:lang w:val="en-GB"/>
        </w:rPr>
        <w:t xml:space="preserve"> customers</w:t>
      </w:r>
      <w:r w:rsidR="00580565" w:rsidRPr="00FC2211">
        <w:rPr>
          <w:rFonts w:cstheme="minorHAnsi"/>
          <w:szCs w:val="20"/>
          <w:lang w:val="en-GB"/>
        </w:rPr>
        <w:t xml:space="preserve"> </w:t>
      </w:r>
      <w:r w:rsidR="006E1CCF" w:rsidRPr="00FC2211">
        <w:rPr>
          <w:rFonts w:cstheme="minorHAnsi"/>
          <w:szCs w:val="20"/>
          <w:lang w:val="en-GB"/>
        </w:rPr>
        <w:t xml:space="preserve">accounting for </w:t>
      </w:r>
      <w:r w:rsidR="00CB4B58">
        <w:rPr>
          <w:rFonts w:cstheme="minorHAnsi"/>
          <w:szCs w:val="20"/>
          <w:lang w:val="en-GB"/>
        </w:rPr>
        <w:t>81</w:t>
      </w:r>
      <w:r w:rsidR="006E1CCF" w:rsidRPr="00FC2211">
        <w:rPr>
          <w:rFonts w:cstheme="minorHAnsi"/>
          <w:szCs w:val="20"/>
          <w:lang w:val="en-GB"/>
        </w:rPr>
        <w:t>%</w:t>
      </w:r>
      <w:r w:rsidR="00252B7D" w:rsidRPr="00FC2211">
        <w:rPr>
          <w:rFonts w:cstheme="minorHAnsi"/>
          <w:szCs w:val="20"/>
          <w:lang w:val="en-GB"/>
        </w:rPr>
        <w:t>)</w:t>
      </w:r>
    </w:p>
    <w:p w14:paraId="5C9F110B" w14:textId="10D98BBA" w:rsidR="008361F8" w:rsidRPr="00FC2211" w:rsidRDefault="008361F8" w:rsidP="00D02C78">
      <w:pPr>
        <w:ind w:left="426"/>
        <w:jc w:val="both"/>
        <w:rPr>
          <w:rFonts w:cstheme="minorHAnsi"/>
          <w:szCs w:val="20"/>
          <w:lang w:val="en-GB"/>
        </w:rPr>
      </w:pPr>
    </w:p>
    <w:p w14:paraId="5D5DB347" w14:textId="380017FD" w:rsidR="004035DA" w:rsidRPr="00FC2211" w:rsidRDefault="004035DA" w:rsidP="00D02C78">
      <w:pPr>
        <w:ind w:left="426" w:firstLine="6"/>
        <w:jc w:val="both"/>
        <w:rPr>
          <w:rFonts w:cstheme="minorBidi"/>
          <w:lang w:val="en-GB"/>
        </w:rPr>
      </w:pPr>
      <w:r w:rsidRPr="00FC2211">
        <w:rPr>
          <w:rFonts w:cstheme="minorBidi"/>
          <w:lang w:val="en-GB"/>
        </w:rPr>
        <w:t xml:space="preserve">The Company’s chief operation decision makers are the CEO, </w:t>
      </w:r>
      <w:r w:rsidR="00C83304" w:rsidRPr="00FC2211">
        <w:rPr>
          <w:rFonts w:cstheme="minorBidi"/>
          <w:lang w:val="en-GB"/>
        </w:rPr>
        <w:t xml:space="preserve">President, Corporate Secretary, and </w:t>
      </w:r>
      <w:r w:rsidRPr="00FC2211">
        <w:rPr>
          <w:rFonts w:cstheme="minorBidi"/>
          <w:lang w:val="en-GB"/>
        </w:rPr>
        <w:t xml:space="preserve">CFO. They review the operations and performance of the Company. All of the Company’s assets are in Canada.  </w:t>
      </w:r>
    </w:p>
    <w:p w14:paraId="500BD611" w14:textId="77777777" w:rsidR="00FD42D7" w:rsidRDefault="00FD42D7" w:rsidP="002B36BD">
      <w:pPr>
        <w:ind w:left="426" w:firstLine="1"/>
        <w:rPr>
          <w:rFonts w:cstheme="minorHAnsi"/>
          <w:szCs w:val="20"/>
          <w:lang w:val="en-GB"/>
        </w:rPr>
      </w:pPr>
    </w:p>
    <w:p w14:paraId="7A4CD17E" w14:textId="50510A7A" w:rsidR="009042CD" w:rsidRDefault="000C232A" w:rsidP="002B36BD">
      <w:pPr>
        <w:ind w:left="426" w:firstLine="1"/>
        <w:rPr>
          <w:rFonts w:cstheme="minorHAnsi"/>
          <w:szCs w:val="20"/>
          <w:lang w:val="en-GB"/>
        </w:rPr>
      </w:pPr>
      <w:r w:rsidRPr="00FC2211">
        <w:rPr>
          <w:rFonts w:cstheme="minorHAnsi"/>
          <w:szCs w:val="20"/>
          <w:lang w:val="en-GB"/>
        </w:rPr>
        <w:t>S</w:t>
      </w:r>
      <w:r w:rsidR="009042CD" w:rsidRPr="00FC2211">
        <w:rPr>
          <w:rFonts w:cstheme="minorHAnsi"/>
          <w:szCs w:val="20"/>
          <w:lang w:val="en-GB"/>
        </w:rPr>
        <w:t xml:space="preserve">ales by geographical locations are as follows: </w:t>
      </w:r>
    </w:p>
    <w:tbl>
      <w:tblPr>
        <w:tblW w:w="5670" w:type="dxa"/>
        <w:jc w:val="center"/>
        <w:tblLook w:val="04A0" w:firstRow="1" w:lastRow="0" w:firstColumn="1" w:lastColumn="0" w:noHBand="0" w:noVBand="1"/>
      </w:tblPr>
      <w:tblGrid>
        <w:gridCol w:w="2268"/>
        <w:gridCol w:w="1607"/>
        <w:gridCol w:w="1795"/>
      </w:tblGrid>
      <w:tr w:rsidR="0093752D" w:rsidRPr="0093752D" w14:paraId="6E18DAF9" w14:textId="77777777" w:rsidTr="0093752D">
        <w:trPr>
          <w:trHeight w:val="276"/>
          <w:jc w:val="center"/>
        </w:trPr>
        <w:tc>
          <w:tcPr>
            <w:tcW w:w="5670" w:type="dxa"/>
            <w:gridSpan w:val="3"/>
            <w:tcBorders>
              <w:top w:val="nil"/>
              <w:left w:val="nil"/>
              <w:bottom w:val="single" w:sz="12" w:space="0" w:color="auto"/>
              <w:right w:val="nil"/>
            </w:tcBorders>
            <w:shd w:val="clear" w:color="auto" w:fill="auto"/>
            <w:noWrap/>
            <w:vAlign w:val="bottom"/>
            <w:hideMark/>
          </w:tcPr>
          <w:p w14:paraId="46EC30CC" w14:textId="77777777" w:rsidR="0093752D" w:rsidRPr="0093752D" w:rsidRDefault="0093752D" w:rsidP="0093752D">
            <w:pPr>
              <w:jc w:val="right"/>
              <w:rPr>
                <w:rFonts w:ascii="Calibri" w:hAnsi="Calibri" w:cs="Calibri"/>
                <w:b/>
                <w:bCs/>
                <w:color w:val="000000"/>
                <w:szCs w:val="20"/>
                <w:lang w:val="en-CA" w:eastAsia="en-CA"/>
              </w:rPr>
            </w:pPr>
            <w:r w:rsidRPr="0093752D">
              <w:rPr>
                <w:rFonts w:ascii="Calibri" w:hAnsi="Calibri" w:cs="Calibri"/>
                <w:b/>
                <w:bCs/>
                <w:color w:val="000000"/>
                <w:szCs w:val="20"/>
                <w:lang w:val="en-CA" w:eastAsia="en-CA"/>
              </w:rPr>
              <w:t>For the nine months ended March 31</w:t>
            </w:r>
          </w:p>
        </w:tc>
      </w:tr>
      <w:tr w:rsidR="0093752D" w:rsidRPr="0093752D" w14:paraId="5B1A1F2D" w14:textId="77777777" w:rsidTr="0093752D">
        <w:trPr>
          <w:trHeight w:val="288"/>
          <w:jc w:val="center"/>
        </w:trPr>
        <w:tc>
          <w:tcPr>
            <w:tcW w:w="2268" w:type="dxa"/>
            <w:tcBorders>
              <w:top w:val="single" w:sz="12" w:space="0" w:color="auto"/>
              <w:left w:val="nil"/>
              <w:bottom w:val="single" w:sz="8" w:space="0" w:color="auto"/>
              <w:right w:val="nil"/>
            </w:tcBorders>
            <w:shd w:val="clear" w:color="auto" w:fill="auto"/>
            <w:noWrap/>
            <w:vAlign w:val="bottom"/>
            <w:hideMark/>
          </w:tcPr>
          <w:p w14:paraId="4A956CA1" w14:textId="77777777" w:rsidR="0093752D" w:rsidRPr="0093752D" w:rsidRDefault="0093752D" w:rsidP="0093752D">
            <w:pPr>
              <w:rPr>
                <w:rFonts w:ascii="Calibri" w:hAnsi="Calibri" w:cs="Calibri"/>
                <w:color w:val="000000"/>
                <w:szCs w:val="20"/>
                <w:lang w:val="en-CA" w:eastAsia="en-CA"/>
              </w:rPr>
            </w:pPr>
            <w:r w:rsidRPr="0093752D">
              <w:rPr>
                <w:rFonts w:ascii="Calibri" w:hAnsi="Calibri" w:cs="Calibri"/>
                <w:color w:val="000000"/>
                <w:szCs w:val="20"/>
                <w:lang w:val="en-CA" w:eastAsia="en-CA"/>
              </w:rPr>
              <w:t> </w:t>
            </w:r>
          </w:p>
        </w:tc>
        <w:tc>
          <w:tcPr>
            <w:tcW w:w="1607" w:type="dxa"/>
            <w:tcBorders>
              <w:top w:val="single" w:sz="12" w:space="0" w:color="auto"/>
              <w:left w:val="nil"/>
              <w:bottom w:val="single" w:sz="8" w:space="0" w:color="auto"/>
              <w:right w:val="nil"/>
            </w:tcBorders>
            <w:shd w:val="clear" w:color="auto" w:fill="auto"/>
            <w:vAlign w:val="center"/>
            <w:hideMark/>
          </w:tcPr>
          <w:p w14:paraId="61754529" w14:textId="77777777" w:rsidR="0093752D" w:rsidRPr="0093752D" w:rsidRDefault="0093752D" w:rsidP="0093752D">
            <w:pPr>
              <w:jc w:val="right"/>
              <w:rPr>
                <w:rFonts w:ascii="Calibri" w:hAnsi="Calibri" w:cs="Calibri"/>
                <w:b/>
                <w:bCs/>
                <w:color w:val="000000"/>
                <w:szCs w:val="20"/>
                <w:lang w:val="en-CA" w:eastAsia="en-CA"/>
              </w:rPr>
            </w:pPr>
            <w:r w:rsidRPr="0093752D">
              <w:rPr>
                <w:rFonts w:ascii="Calibri" w:hAnsi="Calibri" w:cs="Calibri"/>
                <w:b/>
                <w:bCs/>
                <w:color w:val="000000"/>
                <w:szCs w:val="20"/>
                <w:lang w:val="en-CA" w:eastAsia="en-CA"/>
              </w:rPr>
              <w:t>2024</w:t>
            </w:r>
          </w:p>
        </w:tc>
        <w:tc>
          <w:tcPr>
            <w:tcW w:w="1795" w:type="dxa"/>
            <w:tcBorders>
              <w:top w:val="single" w:sz="12" w:space="0" w:color="auto"/>
              <w:left w:val="nil"/>
              <w:bottom w:val="single" w:sz="8" w:space="0" w:color="auto"/>
              <w:right w:val="nil"/>
            </w:tcBorders>
            <w:shd w:val="clear" w:color="auto" w:fill="auto"/>
            <w:vAlign w:val="center"/>
            <w:hideMark/>
          </w:tcPr>
          <w:p w14:paraId="6AEB2C94" w14:textId="77777777" w:rsidR="0093752D" w:rsidRPr="0093752D" w:rsidRDefault="0093752D" w:rsidP="0093752D">
            <w:pPr>
              <w:jc w:val="right"/>
              <w:rPr>
                <w:rFonts w:ascii="Calibri" w:hAnsi="Calibri" w:cs="Calibri"/>
                <w:color w:val="000000"/>
                <w:szCs w:val="20"/>
                <w:lang w:val="en-CA" w:eastAsia="en-CA"/>
              </w:rPr>
            </w:pPr>
            <w:r w:rsidRPr="0093752D">
              <w:rPr>
                <w:rFonts w:ascii="Calibri" w:hAnsi="Calibri" w:cs="Calibri"/>
                <w:color w:val="000000"/>
                <w:szCs w:val="20"/>
                <w:lang w:val="en-CA" w:eastAsia="en-CA"/>
              </w:rPr>
              <w:t>2023</w:t>
            </w:r>
          </w:p>
        </w:tc>
      </w:tr>
      <w:tr w:rsidR="0093752D" w:rsidRPr="0093752D" w14:paraId="4B66853C" w14:textId="77777777" w:rsidTr="0093752D">
        <w:trPr>
          <w:trHeight w:val="276"/>
          <w:jc w:val="center"/>
        </w:trPr>
        <w:tc>
          <w:tcPr>
            <w:tcW w:w="2268" w:type="dxa"/>
            <w:tcBorders>
              <w:top w:val="nil"/>
              <w:left w:val="nil"/>
              <w:bottom w:val="nil"/>
              <w:right w:val="nil"/>
            </w:tcBorders>
            <w:shd w:val="clear" w:color="auto" w:fill="auto"/>
            <w:noWrap/>
            <w:vAlign w:val="bottom"/>
            <w:hideMark/>
          </w:tcPr>
          <w:p w14:paraId="142AF377" w14:textId="77777777" w:rsidR="0093752D" w:rsidRPr="0093752D" w:rsidRDefault="0093752D" w:rsidP="0093752D">
            <w:pPr>
              <w:rPr>
                <w:rFonts w:ascii="Calibri" w:hAnsi="Calibri" w:cs="Calibri"/>
                <w:color w:val="000000"/>
                <w:szCs w:val="20"/>
                <w:lang w:val="en-CA" w:eastAsia="en-CA"/>
              </w:rPr>
            </w:pPr>
            <w:r w:rsidRPr="0093752D">
              <w:rPr>
                <w:rFonts w:ascii="Calibri" w:hAnsi="Calibri" w:cs="Calibri"/>
                <w:color w:val="000000"/>
                <w:szCs w:val="20"/>
                <w:lang w:val="en-CA" w:eastAsia="en-CA"/>
              </w:rPr>
              <w:t>Canada</w:t>
            </w:r>
          </w:p>
        </w:tc>
        <w:tc>
          <w:tcPr>
            <w:tcW w:w="1607" w:type="dxa"/>
            <w:tcBorders>
              <w:top w:val="nil"/>
              <w:left w:val="nil"/>
              <w:bottom w:val="nil"/>
              <w:right w:val="nil"/>
            </w:tcBorders>
            <w:shd w:val="clear" w:color="auto" w:fill="auto"/>
            <w:noWrap/>
            <w:vAlign w:val="bottom"/>
            <w:hideMark/>
          </w:tcPr>
          <w:p w14:paraId="4ECAE835" w14:textId="3AA786CA" w:rsidR="0093752D" w:rsidRPr="0093752D" w:rsidRDefault="00E663AC" w:rsidP="0093752D">
            <w:pPr>
              <w:jc w:val="right"/>
              <w:rPr>
                <w:rFonts w:ascii="Calibri" w:hAnsi="Calibri" w:cs="Calibri"/>
                <w:color w:val="000000"/>
                <w:szCs w:val="20"/>
                <w:lang w:val="en-CA" w:eastAsia="en-CA"/>
              </w:rPr>
            </w:pPr>
            <w:r>
              <w:rPr>
                <w:rFonts w:ascii="Calibri" w:hAnsi="Calibri" w:cs="Calibri"/>
                <w:color w:val="000000"/>
                <w:szCs w:val="20"/>
                <w:lang w:val="en-CA" w:eastAsia="en-CA"/>
              </w:rPr>
              <w:t>$</w:t>
            </w:r>
            <w:r w:rsidR="0093752D" w:rsidRPr="0093752D">
              <w:rPr>
                <w:rFonts w:ascii="Calibri" w:hAnsi="Calibri" w:cs="Calibri"/>
                <w:color w:val="000000"/>
                <w:szCs w:val="20"/>
                <w:lang w:val="en-CA" w:eastAsia="en-CA"/>
              </w:rPr>
              <w:t xml:space="preserve"> 521,295 </w:t>
            </w:r>
          </w:p>
        </w:tc>
        <w:tc>
          <w:tcPr>
            <w:tcW w:w="1795" w:type="dxa"/>
            <w:tcBorders>
              <w:top w:val="nil"/>
              <w:left w:val="nil"/>
              <w:bottom w:val="nil"/>
              <w:right w:val="nil"/>
            </w:tcBorders>
            <w:shd w:val="clear" w:color="auto" w:fill="auto"/>
            <w:noWrap/>
            <w:vAlign w:val="bottom"/>
            <w:hideMark/>
          </w:tcPr>
          <w:p w14:paraId="593B1A23" w14:textId="5B65FA54" w:rsidR="0093752D" w:rsidRPr="0093752D" w:rsidRDefault="00E663AC" w:rsidP="0093752D">
            <w:pPr>
              <w:jc w:val="right"/>
              <w:rPr>
                <w:rFonts w:ascii="Calibri" w:hAnsi="Calibri" w:cs="Calibri"/>
                <w:color w:val="000000"/>
                <w:szCs w:val="20"/>
                <w:lang w:val="en-CA" w:eastAsia="en-CA"/>
              </w:rPr>
            </w:pPr>
            <w:r>
              <w:rPr>
                <w:rFonts w:ascii="Calibri" w:hAnsi="Calibri" w:cs="Calibri"/>
                <w:color w:val="000000"/>
                <w:szCs w:val="20"/>
                <w:lang w:val="en-CA" w:eastAsia="en-CA"/>
              </w:rPr>
              <w:t>$</w:t>
            </w:r>
            <w:r w:rsidR="0093752D" w:rsidRPr="0093752D">
              <w:rPr>
                <w:rFonts w:ascii="Calibri" w:hAnsi="Calibri" w:cs="Calibri"/>
                <w:color w:val="000000"/>
                <w:szCs w:val="20"/>
                <w:lang w:val="en-CA" w:eastAsia="en-CA"/>
              </w:rPr>
              <w:t xml:space="preserve"> 690,869 </w:t>
            </w:r>
          </w:p>
        </w:tc>
      </w:tr>
      <w:tr w:rsidR="0093752D" w:rsidRPr="0093752D" w14:paraId="02EED36F" w14:textId="77777777" w:rsidTr="0093752D">
        <w:trPr>
          <w:trHeight w:val="276"/>
          <w:jc w:val="center"/>
        </w:trPr>
        <w:tc>
          <w:tcPr>
            <w:tcW w:w="2268" w:type="dxa"/>
            <w:tcBorders>
              <w:top w:val="nil"/>
              <w:left w:val="nil"/>
              <w:bottom w:val="nil"/>
              <w:right w:val="nil"/>
            </w:tcBorders>
            <w:shd w:val="clear" w:color="auto" w:fill="auto"/>
            <w:noWrap/>
            <w:vAlign w:val="bottom"/>
            <w:hideMark/>
          </w:tcPr>
          <w:p w14:paraId="37122471" w14:textId="77777777" w:rsidR="0093752D" w:rsidRPr="0093752D" w:rsidRDefault="0093752D" w:rsidP="0093752D">
            <w:pPr>
              <w:rPr>
                <w:rFonts w:ascii="Calibri" w:hAnsi="Calibri" w:cs="Calibri"/>
                <w:color w:val="000000"/>
                <w:szCs w:val="20"/>
                <w:lang w:val="en-CA" w:eastAsia="en-CA"/>
              </w:rPr>
            </w:pPr>
            <w:r w:rsidRPr="0093752D">
              <w:rPr>
                <w:rFonts w:ascii="Calibri" w:hAnsi="Calibri" w:cs="Calibri"/>
                <w:color w:val="000000"/>
                <w:szCs w:val="20"/>
                <w:lang w:val="en-CA" w:eastAsia="en-CA"/>
              </w:rPr>
              <w:t>USA</w:t>
            </w:r>
          </w:p>
        </w:tc>
        <w:tc>
          <w:tcPr>
            <w:tcW w:w="1607" w:type="dxa"/>
            <w:tcBorders>
              <w:top w:val="nil"/>
              <w:left w:val="nil"/>
              <w:bottom w:val="nil"/>
              <w:right w:val="nil"/>
            </w:tcBorders>
            <w:shd w:val="clear" w:color="auto" w:fill="auto"/>
            <w:noWrap/>
            <w:vAlign w:val="bottom"/>
            <w:hideMark/>
          </w:tcPr>
          <w:p w14:paraId="4E0CCE21" w14:textId="57658E63" w:rsidR="0093752D" w:rsidRPr="0093752D" w:rsidRDefault="0093752D" w:rsidP="0093752D">
            <w:pPr>
              <w:jc w:val="right"/>
              <w:rPr>
                <w:rFonts w:ascii="Calibri" w:hAnsi="Calibri" w:cs="Calibri"/>
                <w:color w:val="000000"/>
                <w:szCs w:val="20"/>
                <w:lang w:val="en-CA" w:eastAsia="en-CA"/>
              </w:rPr>
            </w:pPr>
            <w:r w:rsidRPr="0093752D">
              <w:rPr>
                <w:rFonts w:ascii="Calibri" w:hAnsi="Calibri" w:cs="Calibri"/>
                <w:color w:val="000000"/>
                <w:szCs w:val="20"/>
                <w:lang w:val="en-CA" w:eastAsia="en-CA"/>
              </w:rPr>
              <w:t xml:space="preserve">   429,677 </w:t>
            </w:r>
          </w:p>
        </w:tc>
        <w:tc>
          <w:tcPr>
            <w:tcW w:w="1795" w:type="dxa"/>
            <w:tcBorders>
              <w:top w:val="nil"/>
              <w:left w:val="nil"/>
              <w:bottom w:val="nil"/>
              <w:right w:val="nil"/>
            </w:tcBorders>
            <w:shd w:val="clear" w:color="auto" w:fill="auto"/>
            <w:noWrap/>
            <w:vAlign w:val="bottom"/>
            <w:hideMark/>
          </w:tcPr>
          <w:p w14:paraId="5C4CA1FA" w14:textId="72414CFE" w:rsidR="0093752D" w:rsidRPr="0093752D" w:rsidRDefault="0093752D" w:rsidP="0093752D">
            <w:pPr>
              <w:jc w:val="right"/>
              <w:rPr>
                <w:rFonts w:ascii="Calibri" w:hAnsi="Calibri" w:cs="Calibri"/>
                <w:color w:val="000000"/>
                <w:szCs w:val="20"/>
                <w:lang w:val="en-CA" w:eastAsia="en-CA"/>
              </w:rPr>
            </w:pPr>
            <w:r w:rsidRPr="0093752D">
              <w:rPr>
                <w:rFonts w:ascii="Calibri" w:hAnsi="Calibri" w:cs="Calibri"/>
                <w:color w:val="000000"/>
                <w:szCs w:val="20"/>
                <w:lang w:val="en-CA" w:eastAsia="en-CA"/>
              </w:rPr>
              <w:t xml:space="preserve">   476,552 </w:t>
            </w:r>
          </w:p>
        </w:tc>
      </w:tr>
      <w:tr w:rsidR="0093752D" w:rsidRPr="0093752D" w14:paraId="7D7C7460" w14:textId="77777777" w:rsidTr="0093752D">
        <w:trPr>
          <w:trHeight w:val="276"/>
          <w:jc w:val="center"/>
        </w:trPr>
        <w:tc>
          <w:tcPr>
            <w:tcW w:w="2268" w:type="dxa"/>
            <w:tcBorders>
              <w:top w:val="nil"/>
              <w:left w:val="nil"/>
              <w:bottom w:val="nil"/>
              <w:right w:val="nil"/>
            </w:tcBorders>
            <w:shd w:val="clear" w:color="auto" w:fill="auto"/>
            <w:noWrap/>
            <w:vAlign w:val="bottom"/>
            <w:hideMark/>
          </w:tcPr>
          <w:p w14:paraId="1F31F41C" w14:textId="77777777" w:rsidR="0093752D" w:rsidRPr="0093752D" w:rsidRDefault="0093752D" w:rsidP="0093752D">
            <w:pPr>
              <w:rPr>
                <w:rFonts w:ascii="Calibri" w:hAnsi="Calibri" w:cs="Calibri"/>
                <w:color w:val="000000"/>
                <w:szCs w:val="20"/>
                <w:lang w:val="en-CA" w:eastAsia="en-CA"/>
              </w:rPr>
            </w:pPr>
            <w:r w:rsidRPr="0093752D">
              <w:rPr>
                <w:rFonts w:ascii="Calibri" w:hAnsi="Calibri" w:cs="Calibri"/>
                <w:color w:val="000000"/>
                <w:szCs w:val="20"/>
                <w:lang w:val="en-CA" w:eastAsia="en-CA"/>
              </w:rPr>
              <w:t>Colombia</w:t>
            </w:r>
          </w:p>
        </w:tc>
        <w:tc>
          <w:tcPr>
            <w:tcW w:w="1607" w:type="dxa"/>
            <w:tcBorders>
              <w:top w:val="nil"/>
              <w:left w:val="nil"/>
              <w:bottom w:val="nil"/>
              <w:right w:val="nil"/>
            </w:tcBorders>
            <w:shd w:val="clear" w:color="auto" w:fill="auto"/>
            <w:noWrap/>
            <w:vAlign w:val="bottom"/>
            <w:hideMark/>
          </w:tcPr>
          <w:p w14:paraId="5A6EA526" w14:textId="6E1453F6" w:rsidR="0093752D" w:rsidRPr="0093752D" w:rsidRDefault="0093752D" w:rsidP="0093752D">
            <w:pPr>
              <w:jc w:val="right"/>
              <w:rPr>
                <w:rFonts w:ascii="Calibri" w:hAnsi="Calibri" w:cs="Calibri"/>
                <w:color w:val="000000"/>
                <w:szCs w:val="20"/>
                <w:lang w:val="en-CA" w:eastAsia="en-CA"/>
              </w:rPr>
            </w:pPr>
            <w:r w:rsidRPr="0093752D">
              <w:rPr>
                <w:rFonts w:ascii="Calibri" w:hAnsi="Calibri" w:cs="Calibri"/>
                <w:color w:val="000000"/>
                <w:szCs w:val="20"/>
                <w:lang w:val="en-CA" w:eastAsia="en-CA"/>
              </w:rPr>
              <w:t xml:space="preserve">  152,623 </w:t>
            </w:r>
          </w:p>
        </w:tc>
        <w:tc>
          <w:tcPr>
            <w:tcW w:w="1795" w:type="dxa"/>
            <w:tcBorders>
              <w:top w:val="nil"/>
              <w:left w:val="nil"/>
              <w:bottom w:val="nil"/>
              <w:right w:val="nil"/>
            </w:tcBorders>
            <w:shd w:val="clear" w:color="auto" w:fill="auto"/>
            <w:noWrap/>
            <w:vAlign w:val="bottom"/>
            <w:hideMark/>
          </w:tcPr>
          <w:p w14:paraId="61C27E84" w14:textId="4E339C5E" w:rsidR="0093752D" w:rsidRPr="0093752D" w:rsidRDefault="0093752D" w:rsidP="00E663AC">
            <w:pPr>
              <w:ind w:right="125"/>
              <w:jc w:val="right"/>
              <w:rPr>
                <w:rFonts w:ascii="Calibri" w:hAnsi="Calibri" w:cs="Calibri"/>
                <w:color w:val="000000"/>
                <w:szCs w:val="20"/>
                <w:lang w:val="en-CA" w:eastAsia="en-CA"/>
              </w:rPr>
            </w:pPr>
            <w:r w:rsidRPr="0093752D">
              <w:rPr>
                <w:rFonts w:ascii="Calibri" w:hAnsi="Calibri" w:cs="Calibri"/>
                <w:color w:val="000000"/>
                <w:szCs w:val="20"/>
                <w:lang w:val="en-CA" w:eastAsia="en-CA"/>
              </w:rPr>
              <w:t xml:space="preserve">     -   </w:t>
            </w:r>
          </w:p>
        </w:tc>
      </w:tr>
      <w:tr w:rsidR="0093752D" w:rsidRPr="0093752D" w14:paraId="3DA1E25A" w14:textId="77777777" w:rsidTr="00E663AC">
        <w:trPr>
          <w:trHeight w:val="276"/>
          <w:jc w:val="center"/>
        </w:trPr>
        <w:tc>
          <w:tcPr>
            <w:tcW w:w="2268" w:type="dxa"/>
            <w:tcBorders>
              <w:top w:val="nil"/>
              <w:left w:val="nil"/>
              <w:bottom w:val="single" w:sz="4" w:space="0" w:color="auto"/>
              <w:right w:val="nil"/>
            </w:tcBorders>
            <w:shd w:val="clear" w:color="auto" w:fill="auto"/>
            <w:noWrap/>
            <w:vAlign w:val="bottom"/>
            <w:hideMark/>
          </w:tcPr>
          <w:p w14:paraId="2A8992B1" w14:textId="77777777" w:rsidR="0093752D" w:rsidRPr="0093752D" w:rsidRDefault="0093752D" w:rsidP="0093752D">
            <w:pPr>
              <w:rPr>
                <w:rFonts w:ascii="Calibri" w:hAnsi="Calibri" w:cs="Calibri"/>
                <w:color w:val="000000"/>
                <w:szCs w:val="20"/>
                <w:lang w:val="en-CA" w:eastAsia="en-CA"/>
              </w:rPr>
            </w:pPr>
            <w:r w:rsidRPr="0093752D">
              <w:rPr>
                <w:rFonts w:ascii="Calibri" w:hAnsi="Calibri" w:cs="Calibri"/>
                <w:color w:val="000000"/>
                <w:szCs w:val="20"/>
                <w:lang w:val="en-CA" w:eastAsia="en-CA"/>
              </w:rPr>
              <w:t>Mexico</w:t>
            </w:r>
          </w:p>
        </w:tc>
        <w:tc>
          <w:tcPr>
            <w:tcW w:w="1607" w:type="dxa"/>
            <w:tcBorders>
              <w:top w:val="nil"/>
              <w:left w:val="nil"/>
              <w:bottom w:val="single" w:sz="4" w:space="0" w:color="auto"/>
              <w:right w:val="nil"/>
            </w:tcBorders>
            <w:shd w:val="clear" w:color="auto" w:fill="auto"/>
            <w:noWrap/>
            <w:vAlign w:val="bottom"/>
            <w:hideMark/>
          </w:tcPr>
          <w:p w14:paraId="7ACD680A" w14:textId="1CE60911" w:rsidR="0093752D" w:rsidRPr="0093752D" w:rsidRDefault="0093752D" w:rsidP="0093752D">
            <w:pPr>
              <w:jc w:val="right"/>
              <w:rPr>
                <w:rFonts w:ascii="Calibri" w:hAnsi="Calibri" w:cs="Calibri"/>
                <w:color w:val="000000"/>
                <w:szCs w:val="20"/>
                <w:lang w:val="en-CA" w:eastAsia="en-CA"/>
              </w:rPr>
            </w:pPr>
            <w:r w:rsidRPr="0093752D">
              <w:rPr>
                <w:rFonts w:ascii="Calibri" w:hAnsi="Calibri" w:cs="Calibri"/>
                <w:color w:val="000000"/>
                <w:szCs w:val="20"/>
                <w:lang w:val="en-CA" w:eastAsia="en-CA"/>
              </w:rPr>
              <w:t xml:space="preserve">   25,296 </w:t>
            </w:r>
          </w:p>
        </w:tc>
        <w:tc>
          <w:tcPr>
            <w:tcW w:w="1795" w:type="dxa"/>
            <w:tcBorders>
              <w:top w:val="nil"/>
              <w:left w:val="nil"/>
              <w:bottom w:val="single" w:sz="4" w:space="0" w:color="auto"/>
              <w:right w:val="nil"/>
            </w:tcBorders>
            <w:shd w:val="clear" w:color="auto" w:fill="auto"/>
            <w:noWrap/>
            <w:vAlign w:val="bottom"/>
            <w:hideMark/>
          </w:tcPr>
          <w:p w14:paraId="351D3C5F" w14:textId="2D0291CC" w:rsidR="0093752D" w:rsidRPr="0093752D" w:rsidRDefault="0093752D" w:rsidP="0093752D">
            <w:pPr>
              <w:jc w:val="right"/>
              <w:rPr>
                <w:rFonts w:ascii="Calibri" w:hAnsi="Calibri" w:cs="Calibri"/>
                <w:color w:val="000000"/>
                <w:szCs w:val="20"/>
                <w:lang w:val="en-CA" w:eastAsia="en-CA"/>
              </w:rPr>
            </w:pPr>
            <w:r w:rsidRPr="0093752D">
              <w:rPr>
                <w:rFonts w:ascii="Calibri" w:hAnsi="Calibri" w:cs="Calibri"/>
                <w:color w:val="000000"/>
                <w:szCs w:val="20"/>
                <w:lang w:val="en-CA" w:eastAsia="en-CA"/>
              </w:rPr>
              <w:t xml:space="preserve">   33,820 </w:t>
            </w:r>
          </w:p>
        </w:tc>
      </w:tr>
      <w:tr w:rsidR="0093752D" w:rsidRPr="0093752D" w14:paraId="7BD0502C" w14:textId="77777777" w:rsidTr="00E663AC">
        <w:trPr>
          <w:trHeight w:val="288"/>
          <w:jc w:val="center"/>
        </w:trPr>
        <w:tc>
          <w:tcPr>
            <w:tcW w:w="2268" w:type="dxa"/>
            <w:tcBorders>
              <w:top w:val="single" w:sz="4" w:space="0" w:color="auto"/>
              <w:left w:val="nil"/>
              <w:bottom w:val="single" w:sz="12" w:space="0" w:color="auto"/>
              <w:right w:val="nil"/>
            </w:tcBorders>
            <w:shd w:val="clear" w:color="auto" w:fill="auto"/>
            <w:noWrap/>
            <w:vAlign w:val="bottom"/>
            <w:hideMark/>
          </w:tcPr>
          <w:p w14:paraId="0675685F" w14:textId="77777777" w:rsidR="0093752D" w:rsidRPr="0093752D" w:rsidRDefault="0093752D" w:rsidP="0093752D">
            <w:pPr>
              <w:rPr>
                <w:rFonts w:ascii="Calibri" w:hAnsi="Calibri" w:cs="Calibri"/>
                <w:color w:val="000000"/>
                <w:szCs w:val="20"/>
                <w:lang w:val="en-CA" w:eastAsia="en-CA"/>
              </w:rPr>
            </w:pPr>
            <w:r w:rsidRPr="0093752D">
              <w:rPr>
                <w:rFonts w:ascii="Calibri" w:hAnsi="Calibri" w:cs="Calibri"/>
                <w:color w:val="000000"/>
                <w:szCs w:val="20"/>
                <w:lang w:val="en-CA" w:eastAsia="en-CA"/>
              </w:rPr>
              <w:t> </w:t>
            </w:r>
          </w:p>
        </w:tc>
        <w:tc>
          <w:tcPr>
            <w:tcW w:w="1607" w:type="dxa"/>
            <w:tcBorders>
              <w:top w:val="single" w:sz="4" w:space="0" w:color="auto"/>
              <w:left w:val="nil"/>
              <w:bottom w:val="single" w:sz="12" w:space="0" w:color="auto"/>
              <w:right w:val="nil"/>
            </w:tcBorders>
            <w:shd w:val="clear" w:color="auto" w:fill="auto"/>
            <w:noWrap/>
            <w:vAlign w:val="bottom"/>
            <w:hideMark/>
          </w:tcPr>
          <w:p w14:paraId="6131B789" w14:textId="733F9ED0" w:rsidR="0093752D" w:rsidRPr="0093752D" w:rsidRDefault="00E663AC" w:rsidP="0093752D">
            <w:pPr>
              <w:jc w:val="right"/>
              <w:rPr>
                <w:rFonts w:ascii="Calibri" w:hAnsi="Calibri" w:cs="Calibri"/>
                <w:color w:val="000000"/>
                <w:szCs w:val="20"/>
                <w:lang w:val="en-CA" w:eastAsia="en-CA"/>
              </w:rPr>
            </w:pPr>
            <w:r>
              <w:rPr>
                <w:rFonts w:ascii="Calibri" w:hAnsi="Calibri" w:cs="Calibri"/>
                <w:color w:val="000000"/>
                <w:szCs w:val="20"/>
                <w:lang w:val="en-CA" w:eastAsia="en-CA"/>
              </w:rPr>
              <w:t>$</w:t>
            </w:r>
            <w:r w:rsidR="0093752D" w:rsidRPr="0093752D">
              <w:rPr>
                <w:rFonts w:ascii="Calibri" w:hAnsi="Calibri" w:cs="Calibri"/>
                <w:color w:val="000000"/>
                <w:szCs w:val="20"/>
                <w:lang w:val="en-CA" w:eastAsia="en-CA"/>
              </w:rPr>
              <w:t xml:space="preserve"> 1,128,891 </w:t>
            </w:r>
          </w:p>
        </w:tc>
        <w:tc>
          <w:tcPr>
            <w:tcW w:w="1795" w:type="dxa"/>
            <w:tcBorders>
              <w:top w:val="single" w:sz="4" w:space="0" w:color="auto"/>
              <w:left w:val="nil"/>
              <w:bottom w:val="single" w:sz="12" w:space="0" w:color="auto"/>
              <w:right w:val="nil"/>
            </w:tcBorders>
            <w:shd w:val="clear" w:color="auto" w:fill="auto"/>
            <w:noWrap/>
            <w:vAlign w:val="bottom"/>
            <w:hideMark/>
          </w:tcPr>
          <w:p w14:paraId="4B5AF75C" w14:textId="6ABC9882" w:rsidR="0093752D" w:rsidRPr="0093752D" w:rsidRDefault="0093752D" w:rsidP="0093752D">
            <w:pPr>
              <w:jc w:val="right"/>
              <w:rPr>
                <w:rFonts w:ascii="Calibri" w:hAnsi="Calibri" w:cs="Calibri"/>
                <w:color w:val="000000"/>
                <w:szCs w:val="20"/>
                <w:lang w:val="en-CA" w:eastAsia="en-CA"/>
              </w:rPr>
            </w:pPr>
            <w:r w:rsidRPr="0093752D">
              <w:rPr>
                <w:rFonts w:ascii="Calibri" w:hAnsi="Calibri" w:cs="Calibri"/>
                <w:color w:val="000000"/>
                <w:szCs w:val="20"/>
                <w:lang w:val="en-CA" w:eastAsia="en-CA"/>
              </w:rPr>
              <w:t xml:space="preserve"> </w:t>
            </w:r>
            <w:r w:rsidR="00E663AC">
              <w:rPr>
                <w:rFonts w:ascii="Calibri" w:hAnsi="Calibri" w:cs="Calibri"/>
                <w:color w:val="000000"/>
                <w:szCs w:val="20"/>
                <w:lang w:val="en-CA" w:eastAsia="en-CA"/>
              </w:rPr>
              <w:t>$</w:t>
            </w:r>
            <w:r w:rsidRPr="0093752D">
              <w:rPr>
                <w:rFonts w:ascii="Calibri" w:hAnsi="Calibri" w:cs="Calibri"/>
                <w:color w:val="000000"/>
                <w:szCs w:val="20"/>
                <w:lang w:val="en-CA" w:eastAsia="en-CA"/>
              </w:rPr>
              <w:t xml:space="preserve"> 1,201,241 </w:t>
            </w:r>
          </w:p>
        </w:tc>
      </w:tr>
    </w:tbl>
    <w:p w14:paraId="2684B13B" w14:textId="77777777" w:rsidR="0093752D" w:rsidRPr="00FC2211" w:rsidRDefault="0093752D" w:rsidP="002B36BD">
      <w:pPr>
        <w:ind w:left="426" w:firstLine="1"/>
        <w:rPr>
          <w:rFonts w:cstheme="minorHAnsi"/>
          <w:szCs w:val="20"/>
          <w:lang w:val="en-GB"/>
        </w:rPr>
      </w:pPr>
    </w:p>
    <w:p w14:paraId="5F65351B" w14:textId="0EEEB137" w:rsidR="00714F68" w:rsidRPr="00FC2211" w:rsidRDefault="00CC1E02" w:rsidP="00714F68">
      <w:pPr>
        <w:pStyle w:val="Heading1"/>
        <w:rPr>
          <w:lang w:val="en-GB"/>
        </w:rPr>
      </w:pPr>
      <w:r>
        <w:rPr>
          <w:lang w:val="en-GB"/>
        </w:rPr>
        <w:lastRenderedPageBreak/>
        <w:t>24</w:t>
      </w:r>
      <w:r w:rsidR="00714F68">
        <w:rPr>
          <w:lang w:val="en-GB"/>
        </w:rPr>
        <w:t>.</w:t>
      </w:r>
      <w:r w:rsidR="00714F68" w:rsidRPr="00FC2211">
        <w:rPr>
          <w:lang w:val="en-GB"/>
        </w:rPr>
        <w:t xml:space="preserve">   S</w:t>
      </w:r>
      <w:r w:rsidR="00714F68">
        <w:rPr>
          <w:lang w:val="en-GB"/>
        </w:rPr>
        <w:t>UBSEQUENT EVENTS</w:t>
      </w:r>
    </w:p>
    <w:p w14:paraId="4F14416E" w14:textId="4ADABBE1" w:rsidR="00714F68" w:rsidRDefault="00714F68" w:rsidP="007B7013">
      <w:pPr>
        <w:rPr>
          <w:rFonts w:cstheme="minorHAnsi"/>
          <w:szCs w:val="20"/>
          <w:lang w:val="en-GB"/>
        </w:rPr>
      </w:pPr>
    </w:p>
    <w:sectPr w:rsidR="00714F68" w:rsidSect="00A71F06">
      <w:pgSz w:w="11906" w:h="16838" w:code="9"/>
      <w:pgMar w:top="1440" w:right="1440" w:bottom="1440" w:left="1440" w:header="272"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794C" w14:textId="77777777" w:rsidR="00A71F06" w:rsidRDefault="00A71F06">
      <w:r>
        <w:separator/>
      </w:r>
    </w:p>
  </w:endnote>
  <w:endnote w:type="continuationSeparator" w:id="0">
    <w:p w14:paraId="0BDAC12B" w14:textId="77777777" w:rsidR="00A71F06" w:rsidRDefault="00A71F06">
      <w:r>
        <w:continuationSeparator/>
      </w:r>
    </w:p>
  </w:endnote>
  <w:endnote w:type="continuationNotice" w:id="1">
    <w:p w14:paraId="18037C46" w14:textId="77777777" w:rsidR="00A71F06" w:rsidRDefault="00A71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1B1D" w14:textId="77777777" w:rsidR="00E6340F" w:rsidRDefault="00E6340F">
    <w:pPr>
      <w:pStyle w:val="Footer"/>
      <w:jc w:val="right"/>
    </w:pPr>
    <w:r>
      <w:fldChar w:fldCharType="begin"/>
    </w:r>
    <w:r>
      <w:instrText xml:space="preserve"> PAGE   \* MERGEFORMAT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6340F" w14:paraId="6187C0D4" w14:textId="77777777" w:rsidTr="00B30B49">
      <w:tc>
        <w:tcPr>
          <w:tcW w:w="3120" w:type="dxa"/>
        </w:tcPr>
        <w:p w14:paraId="7C4FDF41" w14:textId="77777777" w:rsidR="00E6340F" w:rsidRDefault="00E6340F" w:rsidP="00B30B49">
          <w:pPr>
            <w:pStyle w:val="Header"/>
            <w:ind w:left="-115"/>
          </w:pPr>
        </w:p>
      </w:tc>
      <w:tc>
        <w:tcPr>
          <w:tcW w:w="3120" w:type="dxa"/>
        </w:tcPr>
        <w:p w14:paraId="1F34A8D7" w14:textId="77777777" w:rsidR="00E6340F" w:rsidRDefault="00E6340F" w:rsidP="00B30B49">
          <w:pPr>
            <w:pStyle w:val="Header"/>
            <w:jc w:val="center"/>
          </w:pPr>
        </w:p>
      </w:tc>
      <w:tc>
        <w:tcPr>
          <w:tcW w:w="3120" w:type="dxa"/>
        </w:tcPr>
        <w:p w14:paraId="423E0D0F" w14:textId="77777777" w:rsidR="00E6340F" w:rsidRDefault="00E6340F" w:rsidP="00B30B49">
          <w:pPr>
            <w:pStyle w:val="Header"/>
            <w:ind w:right="-115"/>
            <w:jc w:val="right"/>
          </w:pPr>
        </w:p>
      </w:tc>
    </w:tr>
  </w:tbl>
  <w:p w14:paraId="2FFD70B0" w14:textId="77777777" w:rsidR="00E6340F" w:rsidRDefault="00E63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867F" w14:textId="77777777" w:rsidR="00E6340F" w:rsidRDefault="00E6340F">
    <w:pPr>
      <w:pStyle w:val="Footer"/>
      <w:jc w:val="right"/>
    </w:pPr>
    <w:r>
      <w:fldChar w:fldCharType="begin"/>
    </w:r>
    <w:r>
      <w:instrText xml:space="preserve"> PAGE   \* MERGEFORMAT </w:instrText>
    </w:r>
    <w:r>
      <w:fldChar w:fldCharType="separate"/>
    </w:r>
    <w:r>
      <w:rPr>
        <w:noProof/>
      </w:rPr>
      <w:t>3</w:t>
    </w:r>
    <w:r>
      <w:rPr>
        <w:noProof/>
      </w:rPr>
      <w:fldChar w:fldCharType="end"/>
    </w:r>
  </w:p>
  <w:p w14:paraId="39EAA6E8" w14:textId="77777777" w:rsidR="00E6340F" w:rsidRDefault="00E6340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CB5" w14:textId="77777777" w:rsidR="00E6340F" w:rsidRDefault="00E6340F">
    <w:pPr>
      <w:pStyle w:val="Footer"/>
      <w:jc w:val="right"/>
    </w:pPr>
    <w:r>
      <w:fldChar w:fldCharType="begin"/>
    </w:r>
    <w:r>
      <w:instrText xml:space="preserve"> PAGE   \* MERGEFORMAT </w:instrText>
    </w:r>
    <w:r>
      <w:fldChar w:fldCharType="separate"/>
    </w:r>
    <w:r>
      <w:rPr>
        <w:noProof/>
      </w:rPr>
      <w:t>30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093C" w14:textId="77777777" w:rsidR="00E6340F" w:rsidRDefault="00E6340F">
    <w:pPr>
      <w:pStyle w:val="Footer"/>
      <w:jc w:val="right"/>
    </w:pPr>
    <w:r>
      <w:fldChar w:fldCharType="begin"/>
    </w:r>
    <w:r>
      <w:instrText xml:space="preserve"> PAGE   \* MERGEFORMAT </w:instrText>
    </w:r>
    <w:r>
      <w:fldChar w:fldCharType="separate"/>
    </w:r>
    <w:r>
      <w:rPr>
        <w:noProof/>
      </w:rPr>
      <w:t>3</w:t>
    </w:r>
    <w:r>
      <w:rPr>
        <w:noProof/>
      </w:rPr>
      <w:fldChar w:fldCharType="end"/>
    </w:r>
  </w:p>
  <w:p w14:paraId="47F82DB8" w14:textId="77777777" w:rsidR="00E6340F" w:rsidRDefault="00E6340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A5D7" w14:textId="77777777" w:rsidR="00E6340F" w:rsidRDefault="00E6340F" w:rsidP="00352848">
    <w:pPr>
      <w:pStyle w:val="Footer"/>
      <w:pBdr>
        <w:bottom w:val="single" w:sz="12" w:space="1" w:color="auto"/>
      </w:pBdr>
      <w:tabs>
        <w:tab w:val="left" w:pos="3225"/>
        <w:tab w:val="right" w:pos="9893"/>
      </w:tabs>
      <w:rPr>
        <w:rFonts w:cstheme="minorHAnsi"/>
      </w:rPr>
    </w:pPr>
  </w:p>
  <w:p w14:paraId="2BA7FA54" w14:textId="09EA6C3D" w:rsidR="00E6340F" w:rsidRPr="00A1348E" w:rsidRDefault="00E6340F" w:rsidP="00743579">
    <w:pPr>
      <w:pStyle w:val="Footer"/>
      <w:tabs>
        <w:tab w:val="left" w:pos="3225"/>
        <w:tab w:val="right" w:pos="9893"/>
      </w:tabs>
      <w:jc w:val="right"/>
      <w:rPr>
        <w:rFonts w:cstheme="minorHAnsi"/>
      </w:rPr>
    </w:pPr>
    <w:r>
      <w:rPr>
        <w:noProof/>
      </w:rPr>
      <w:drawing>
        <wp:anchor distT="0" distB="0" distL="114300" distR="114300" simplePos="0" relativeHeight="251658241" behindDoc="0" locked="0" layoutInCell="1" allowOverlap="1" wp14:anchorId="6680F3DB" wp14:editId="7C181310">
          <wp:simplePos x="0" y="0"/>
          <wp:positionH relativeFrom="margin">
            <wp:align>left</wp:align>
          </wp:positionH>
          <wp:positionV relativeFrom="paragraph">
            <wp:posOffset>6985</wp:posOffset>
          </wp:positionV>
          <wp:extent cx="866775" cy="3813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813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rPr>
      <w:tab/>
    </w:r>
    <w:r>
      <w:rPr>
        <w:rFonts w:cstheme="minorHAnsi"/>
      </w:rPr>
      <w:tab/>
    </w:r>
    <w:r>
      <w:rPr>
        <w:rFonts w:cstheme="minorHAnsi"/>
      </w:rPr>
      <w:tab/>
    </w:r>
    <w:r>
      <w:rPr>
        <w:rFonts w:cstheme="minorHAnsi"/>
      </w:rPr>
      <w:tab/>
    </w:r>
    <w:r w:rsidRPr="6D4617D3">
      <w:rPr>
        <w:rFonts w:cstheme="minorBidi"/>
      </w:rPr>
      <w:fldChar w:fldCharType="begin"/>
    </w:r>
    <w:r w:rsidRPr="6D4617D3">
      <w:rPr>
        <w:rFonts w:cstheme="minorBidi"/>
      </w:rPr>
      <w:instrText xml:space="preserve"> PAGE   \* MERGEFORMAT </w:instrText>
    </w:r>
    <w:r w:rsidRPr="6D4617D3">
      <w:rPr>
        <w:rFonts w:cstheme="minorBidi"/>
      </w:rPr>
      <w:fldChar w:fldCharType="separate"/>
    </w:r>
    <w:r w:rsidR="007C14CA">
      <w:rPr>
        <w:rFonts w:cstheme="minorBidi"/>
        <w:noProof/>
      </w:rPr>
      <w:t>6</w:t>
    </w:r>
    <w:r w:rsidRPr="6D4617D3">
      <w:rPr>
        <w:rFonts w:cstheme="minorBid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3F48" w14:textId="77777777" w:rsidR="00E6340F" w:rsidRDefault="00E6340F">
    <w:pPr>
      <w:pStyle w:val="Footer"/>
      <w:pBdr>
        <w:bottom w:val="single" w:sz="12" w:space="1" w:color="auto"/>
      </w:pBdr>
      <w:jc w:val="right"/>
    </w:pPr>
  </w:p>
  <w:p w14:paraId="02399862" w14:textId="372B739C" w:rsidR="00E6340F" w:rsidRPr="00743579" w:rsidRDefault="00000000">
    <w:pPr>
      <w:pStyle w:val="Footer"/>
      <w:jc w:val="right"/>
      <w:rPr>
        <w:rFonts w:cstheme="minorHAnsi"/>
      </w:rPr>
    </w:pPr>
    <w:sdt>
      <w:sdtPr>
        <w:id w:val="-1544202479"/>
        <w:docPartObj>
          <w:docPartGallery w:val="Page Numbers (Bottom of Page)"/>
          <w:docPartUnique/>
        </w:docPartObj>
      </w:sdtPr>
      <w:sdtEndPr>
        <w:rPr>
          <w:rFonts w:cstheme="minorHAnsi"/>
        </w:rPr>
      </w:sdtEndPr>
      <w:sdtContent>
        <w:r w:rsidR="00E6340F" w:rsidRPr="00743579">
          <w:rPr>
            <w:noProof/>
          </w:rPr>
          <w:drawing>
            <wp:anchor distT="0" distB="0" distL="114300" distR="114300" simplePos="0" relativeHeight="251659264" behindDoc="0" locked="0" layoutInCell="1" allowOverlap="1" wp14:anchorId="42A04C57" wp14:editId="1A9D8571">
              <wp:simplePos x="0" y="0"/>
              <wp:positionH relativeFrom="margin">
                <wp:posOffset>0</wp:posOffset>
              </wp:positionH>
              <wp:positionV relativeFrom="paragraph">
                <wp:posOffset>0</wp:posOffset>
              </wp:positionV>
              <wp:extent cx="866775" cy="381381"/>
              <wp:effectExtent l="0" t="0" r="0" b="0"/>
              <wp:wrapNone/>
              <wp:docPr id="1296861454" name="Picture 129686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81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40F" w:rsidRPr="00743579">
          <w:rPr>
            <w:rFonts w:cstheme="minorHAnsi"/>
          </w:rPr>
          <w:fldChar w:fldCharType="begin"/>
        </w:r>
        <w:r w:rsidR="00E6340F" w:rsidRPr="00743579">
          <w:rPr>
            <w:rFonts w:cstheme="minorHAnsi"/>
          </w:rPr>
          <w:instrText xml:space="preserve"> PAGE   \* MERGEFORMAT </w:instrText>
        </w:r>
        <w:r w:rsidR="00E6340F" w:rsidRPr="00743579">
          <w:rPr>
            <w:rFonts w:cstheme="minorHAnsi"/>
          </w:rPr>
          <w:fldChar w:fldCharType="separate"/>
        </w:r>
        <w:r w:rsidR="007C14CA">
          <w:rPr>
            <w:rFonts w:cstheme="minorHAnsi"/>
            <w:noProof/>
          </w:rPr>
          <w:t>30</w:t>
        </w:r>
        <w:r w:rsidR="00E6340F" w:rsidRPr="00743579">
          <w:rPr>
            <w:rFonts w:cstheme="minorHAnsi"/>
          </w:rPr>
          <w:fldChar w:fldCharType="end"/>
        </w:r>
      </w:sdtContent>
    </w:sdt>
  </w:p>
  <w:p w14:paraId="76979860" w14:textId="77777777" w:rsidR="00E6340F" w:rsidRDefault="00E63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F1545" w14:textId="77777777" w:rsidR="00A71F06" w:rsidRDefault="00A71F06">
      <w:r>
        <w:separator/>
      </w:r>
    </w:p>
  </w:footnote>
  <w:footnote w:type="continuationSeparator" w:id="0">
    <w:p w14:paraId="71011012" w14:textId="77777777" w:rsidR="00A71F06" w:rsidRDefault="00A71F06">
      <w:r>
        <w:continuationSeparator/>
      </w:r>
    </w:p>
  </w:footnote>
  <w:footnote w:type="continuationNotice" w:id="1">
    <w:p w14:paraId="360B6EEA" w14:textId="77777777" w:rsidR="00A71F06" w:rsidRDefault="00A71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8A77" w14:textId="77777777" w:rsidR="00E6340F" w:rsidRPr="00DF6E1A" w:rsidRDefault="00E6340F" w:rsidP="00D855F3">
    <w:pPr>
      <w:pStyle w:val="Header"/>
      <w:tabs>
        <w:tab w:val="clear" w:pos="432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27CE" w14:textId="77777777" w:rsidR="00E6340F" w:rsidRPr="00D64A12" w:rsidRDefault="00E6340F" w:rsidP="009B387B">
    <w:pPr>
      <w:rPr>
        <w:rFonts w:cs="Arial"/>
        <w:b/>
        <w:sz w:val="32"/>
        <w:szCs w:val="32"/>
      </w:rPr>
    </w:pPr>
    <w:r>
      <w:rPr>
        <w:rFonts w:cs="Arial"/>
        <w:b/>
        <w:sz w:val="32"/>
        <w:szCs w:val="32"/>
      </w:rPr>
      <w:t xml:space="preserve">  </w:t>
    </w:r>
  </w:p>
  <w:p w14:paraId="3BAEBE23" w14:textId="77777777" w:rsidR="00E6340F" w:rsidRPr="0042259E" w:rsidRDefault="00E6340F" w:rsidP="0042259E">
    <w:pPr>
      <w:rPr>
        <w:rFonts w:cs="Arial"/>
        <w:sz w:val="22"/>
        <w:szCs w:val="22"/>
      </w:rPr>
    </w:pPr>
    <w:r w:rsidRPr="0042259E">
      <w:rPr>
        <w:rFonts w:cs="Arial"/>
        <w:sz w:val="22"/>
        <w:szCs w:val="22"/>
      </w:rPr>
      <w:t xml:space="preserve"> </w:t>
    </w:r>
  </w:p>
  <w:p w14:paraId="39C11650" w14:textId="77777777" w:rsidR="00E6340F" w:rsidRPr="00D64A12" w:rsidRDefault="00E6340F" w:rsidP="0042259E">
    <w:pPr>
      <w:rPr>
        <w:rFonts w:cs="Arial"/>
        <w:sz w:val="22"/>
        <w:szCs w:val="22"/>
      </w:rPr>
    </w:pPr>
    <w:r w:rsidRPr="0042259E">
      <w:rPr>
        <w:rFonts w:cs="Arial"/>
        <w:sz w:val="22"/>
        <w:szCs w:val="22"/>
      </w:rPr>
      <w:t xml:space="preserve"> – </w:t>
    </w:r>
  </w:p>
  <w:p w14:paraId="3F81CD7C" w14:textId="77777777" w:rsidR="00E6340F" w:rsidRPr="00D64A12" w:rsidRDefault="00E6340F" w:rsidP="009B387B">
    <w:pPr>
      <w:rPr>
        <w:rFonts w:cs="Arial"/>
        <w:sz w:val="22"/>
        <w:szCs w:val="22"/>
      </w:rPr>
    </w:pPr>
    <w:r w:rsidRPr="00D64A12">
      <w:rPr>
        <w:rFonts w:cs="Arial"/>
        <w:sz w:val="22"/>
        <w:szCs w:val="22"/>
      </w:rPr>
      <w:t xml:space="preserve"> </w:t>
    </w:r>
  </w:p>
  <w:p w14:paraId="71B4E064" w14:textId="77777777" w:rsidR="00E6340F" w:rsidRPr="00D64A12" w:rsidRDefault="00E6340F" w:rsidP="009B387B">
    <w:pPr>
      <w:pStyle w:val="Header"/>
      <w:pBdr>
        <w:bottom w:val="double" w:sz="12" w:space="1" w:color="auto"/>
      </w:pBdr>
      <w:tabs>
        <w:tab w:val="clear" w:pos="4320"/>
        <w:tab w:val="clear" w:pos="8640"/>
        <w:tab w:val="left" w:pos="1110"/>
      </w:tabs>
      <w:rPr>
        <w:rFonts w:cs="Arial"/>
        <w:szCs w:val="20"/>
      </w:rPr>
    </w:pPr>
  </w:p>
  <w:p w14:paraId="43114E12" w14:textId="77777777" w:rsidR="00E6340F" w:rsidRDefault="00E63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BE96" w14:textId="77777777" w:rsidR="00E6340F" w:rsidRPr="00D64A12" w:rsidRDefault="00E6340F" w:rsidP="009B387B">
    <w:pPr>
      <w:rPr>
        <w:rFonts w:cs="Arial"/>
        <w:b/>
        <w:sz w:val="32"/>
        <w:szCs w:val="32"/>
      </w:rPr>
    </w:pPr>
    <w:r>
      <w:rPr>
        <w:rFonts w:cs="Arial"/>
        <w:b/>
        <w:sz w:val="32"/>
        <w:szCs w:val="32"/>
      </w:rPr>
      <w:t xml:space="preserve">Quadron Capital Corporation </w:t>
    </w:r>
  </w:p>
  <w:p w14:paraId="0BAD3AB7" w14:textId="77777777" w:rsidR="00E6340F" w:rsidRPr="0042259E" w:rsidRDefault="00E6340F" w:rsidP="0042259E">
    <w:pPr>
      <w:rPr>
        <w:rFonts w:cs="Arial"/>
        <w:sz w:val="22"/>
        <w:szCs w:val="22"/>
      </w:rPr>
    </w:pPr>
    <w:r w:rsidRPr="0042259E">
      <w:rPr>
        <w:rFonts w:cs="Arial"/>
        <w:sz w:val="22"/>
        <w:szCs w:val="22"/>
      </w:rPr>
      <w:t xml:space="preserve">Condensed </w:t>
    </w:r>
    <w:r>
      <w:rPr>
        <w:rFonts w:cs="Arial"/>
        <w:sz w:val="22"/>
        <w:szCs w:val="22"/>
      </w:rPr>
      <w:t>Consolidated interim</w:t>
    </w:r>
    <w:r w:rsidRPr="0042259E">
      <w:rPr>
        <w:rFonts w:cs="Arial"/>
        <w:sz w:val="22"/>
        <w:szCs w:val="22"/>
      </w:rPr>
      <w:t xml:space="preserve"> Statements of Financial Position </w:t>
    </w:r>
  </w:p>
  <w:p w14:paraId="0FB23721" w14:textId="77777777" w:rsidR="00E6340F" w:rsidRPr="00D64A12" w:rsidRDefault="00E6340F" w:rsidP="0042259E">
    <w:pPr>
      <w:rPr>
        <w:rFonts w:cs="Arial"/>
        <w:sz w:val="22"/>
        <w:szCs w:val="22"/>
      </w:rPr>
    </w:pPr>
    <w:r w:rsidRPr="0042259E">
      <w:rPr>
        <w:rFonts w:cs="Arial"/>
        <w:sz w:val="22"/>
        <w:szCs w:val="22"/>
      </w:rPr>
      <w:t>(Unaudited – Prepared by Management)</w:t>
    </w:r>
  </w:p>
  <w:p w14:paraId="42F9ACC1" w14:textId="77777777" w:rsidR="00E6340F" w:rsidRPr="00D64A12" w:rsidRDefault="00E6340F" w:rsidP="009B387B">
    <w:pPr>
      <w:rPr>
        <w:rFonts w:cs="Arial"/>
        <w:sz w:val="22"/>
        <w:szCs w:val="22"/>
      </w:rPr>
    </w:pPr>
    <w:r>
      <w:rPr>
        <w:rFonts w:cs="Arial"/>
        <w:sz w:val="22"/>
        <w:szCs w:val="22"/>
      </w:rPr>
      <w:t>As at</w:t>
    </w:r>
    <w:r w:rsidRPr="00D64A12">
      <w:rPr>
        <w:rFonts w:cs="Arial"/>
        <w:sz w:val="22"/>
        <w:szCs w:val="22"/>
      </w:rPr>
      <w:t xml:space="preserve">, </w:t>
    </w:r>
  </w:p>
  <w:p w14:paraId="7F6531B0" w14:textId="77777777" w:rsidR="00E6340F" w:rsidRPr="00D64A12" w:rsidRDefault="00E6340F" w:rsidP="009B387B">
    <w:pPr>
      <w:pStyle w:val="Header"/>
      <w:pBdr>
        <w:bottom w:val="double" w:sz="12" w:space="1" w:color="auto"/>
      </w:pBdr>
      <w:tabs>
        <w:tab w:val="clear" w:pos="4320"/>
        <w:tab w:val="clear" w:pos="8640"/>
        <w:tab w:val="left" w:pos="1110"/>
      </w:tabs>
      <w:rPr>
        <w:rFonts w:cs="Arial"/>
        <w:szCs w:val="20"/>
      </w:rPr>
    </w:pPr>
    <w:r w:rsidRPr="00D64A12">
      <w:rPr>
        <w:rFonts w:cstheme="minorHAnsi"/>
        <w:i/>
        <w:szCs w:val="20"/>
      </w:rPr>
      <w:t>(Expressed in Canadian dollars)</w:t>
    </w:r>
  </w:p>
  <w:p w14:paraId="68303B60" w14:textId="77777777" w:rsidR="00E6340F" w:rsidRDefault="00E63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FAE8" w14:textId="77777777" w:rsidR="00E6340F" w:rsidRPr="00D64A12" w:rsidRDefault="00E6340F" w:rsidP="000734DF">
    <w:pPr>
      <w:ind w:right="-705"/>
      <w:rPr>
        <w:rFonts w:cs="Arial"/>
        <w:b/>
        <w:sz w:val="32"/>
        <w:szCs w:val="32"/>
      </w:rPr>
    </w:pPr>
    <w:r>
      <w:rPr>
        <w:rFonts w:cs="Arial"/>
        <w:b/>
        <w:sz w:val="32"/>
        <w:szCs w:val="32"/>
      </w:rPr>
      <w:t xml:space="preserve">INEO Tech Corp. </w:t>
    </w:r>
  </w:p>
  <w:p w14:paraId="4DD5651B" w14:textId="721D2AC9" w:rsidR="00E6340F" w:rsidRDefault="00786F69">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Financial Position</w:t>
    </w:r>
  </w:p>
  <w:p w14:paraId="0E9499F3" w14:textId="5861EEEB" w:rsidR="00E6340F" w:rsidRDefault="00B469FE" w:rsidP="00F02E0D">
    <w:pPr>
      <w:rPr>
        <w:rFonts w:cs="Arial"/>
        <w:sz w:val="22"/>
        <w:szCs w:val="22"/>
      </w:rPr>
    </w:pPr>
    <w:r>
      <w:rPr>
        <w:rFonts w:cs="Arial"/>
        <w:sz w:val="22"/>
        <w:szCs w:val="22"/>
      </w:rPr>
      <w:t xml:space="preserve">Unaudited - </w:t>
    </w:r>
    <w:r w:rsidR="00E6340F">
      <w:rPr>
        <w:rFonts w:cs="Arial"/>
        <w:sz w:val="22"/>
        <w:szCs w:val="22"/>
      </w:rPr>
      <w:t>Expressed in Canadian dollars)</w:t>
    </w:r>
  </w:p>
  <w:p w14:paraId="7323556C" w14:textId="53ACCF4C" w:rsidR="00E6340F" w:rsidRDefault="00E6340F" w:rsidP="00F02E0D">
    <w:pPr>
      <w:rPr>
        <w:rFonts w:cs="Arial"/>
        <w:sz w:val="22"/>
        <w:szCs w:val="22"/>
      </w:rPr>
    </w:pPr>
    <w:r>
      <w:rPr>
        <w:rFonts w:cs="Arial"/>
        <w:sz w:val="22"/>
        <w:szCs w:val="22"/>
      </w:rPr>
      <w:t xml:space="preserve">As at </w:t>
    </w:r>
    <w:r>
      <w:rPr>
        <w:rFonts w:cs="Arial"/>
        <w:sz w:val="22"/>
        <w:szCs w:val="22"/>
      </w:rPr>
      <w:tab/>
    </w:r>
  </w:p>
  <w:p w14:paraId="75E2AA49" w14:textId="77777777" w:rsidR="00E6340F" w:rsidRPr="00486952" w:rsidRDefault="00E6340F" w:rsidP="00F02E0D">
    <w:pPr>
      <w:pBdr>
        <w:top w:val="single" w:sz="12" w:space="1" w:color="auto"/>
      </w:pBdr>
      <w:rPr>
        <w:rFonts w:ascii="Arial" w:hAnsi="Arial" w:cs="Arial"/>
        <w:sz w:val="2"/>
        <w:szCs w:val="2"/>
      </w:rPr>
    </w:pPr>
  </w:p>
  <w:p w14:paraId="05E53440" w14:textId="77777777" w:rsidR="00604750" w:rsidRPr="00486952" w:rsidRDefault="00604750">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F576" w14:textId="77777777" w:rsidR="00E6340F" w:rsidRPr="00443BA9" w:rsidRDefault="00E6340F" w:rsidP="00443BA9">
    <w:pPr>
      <w:tabs>
        <w:tab w:val="left" w:pos="180"/>
        <w:tab w:val="left" w:pos="270"/>
      </w:tabs>
      <w:rPr>
        <w:rFonts w:ascii="Calibri" w:hAnsi="Calibri"/>
        <w:b/>
        <w:sz w:val="36"/>
        <w:szCs w:val="20"/>
      </w:rPr>
    </w:pPr>
    <w:r>
      <w:rPr>
        <w:rFonts w:cs="Arial"/>
        <w:b/>
        <w:sz w:val="32"/>
        <w:szCs w:val="32"/>
      </w:rPr>
      <w:t xml:space="preserve">INEO Tech Corp. </w:t>
    </w:r>
  </w:p>
  <w:p w14:paraId="3CF05302" w14:textId="185C9FB8" w:rsidR="00E6340F" w:rsidRDefault="005848CA">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Loss and Comprehensive Loss</w:t>
    </w:r>
  </w:p>
  <w:p w14:paraId="6AAD54D5" w14:textId="3B9DD4C1" w:rsidR="00E6340F" w:rsidRDefault="00E6340F" w:rsidP="00F02E0D">
    <w:pPr>
      <w:rPr>
        <w:rFonts w:cs="Arial"/>
        <w:sz w:val="22"/>
        <w:szCs w:val="22"/>
      </w:rPr>
    </w:pPr>
    <w:r>
      <w:rPr>
        <w:rFonts w:cs="Arial"/>
        <w:sz w:val="22"/>
        <w:szCs w:val="22"/>
      </w:rPr>
      <w:t>(</w:t>
    </w:r>
    <w:r w:rsidR="00112976">
      <w:rPr>
        <w:rFonts w:cs="Arial"/>
        <w:sz w:val="22"/>
        <w:szCs w:val="22"/>
      </w:rPr>
      <w:t xml:space="preserve">Unaudited - </w:t>
    </w:r>
    <w:r>
      <w:rPr>
        <w:rFonts w:cs="Arial"/>
        <w:sz w:val="22"/>
        <w:szCs w:val="22"/>
      </w:rPr>
      <w:t>Expressed in Canadian dollars)</w:t>
    </w:r>
  </w:p>
  <w:p w14:paraId="169C58CE" w14:textId="77777777" w:rsidR="00E6340F" w:rsidRPr="00F02E0D" w:rsidRDefault="00E6340F" w:rsidP="00F02E0D">
    <w:pPr>
      <w:pBdr>
        <w:top w:val="single" w:sz="12" w:space="1" w:color="auto"/>
      </w:pBdr>
      <w:rPr>
        <w:rFonts w:ascii="Arial" w:hAnsi="Arial" w:cs="Arial"/>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6B1A" w14:textId="77777777" w:rsidR="00E6340F" w:rsidRDefault="00E6340F">
    <w:pPr>
      <w:rPr>
        <w:rFonts w:ascii="Calibri" w:hAnsi="Calibri"/>
        <w:b/>
        <w:sz w:val="32"/>
        <w:szCs w:val="20"/>
      </w:rPr>
    </w:pPr>
    <w:r>
      <w:rPr>
        <w:rFonts w:cs="Arial"/>
        <w:b/>
        <w:sz w:val="32"/>
        <w:szCs w:val="32"/>
      </w:rPr>
      <w:t xml:space="preserve">INEO Tech Corp. </w:t>
    </w:r>
  </w:p>
  <w:p w14:paraId="079793E0" w14:textId="37A2022D" w:rsidR="00E6340F" w:rsidRDefault="0035128F">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Shareholders’ </w:t>
    </w:r>
    <w:r w:rsidR="00025293">
      <w:rPr>
        <w:rFonts w:cs="Arial"/>
        <w:sz w:val="22"/>
        <w:szCs w:val="22"/>
      </w:rPr>
      <w:t>Equity</w:t>
    </w:r>
    <w:r w:rsidR="00E6340F">
      <w:rPr>
        <w:rFonts w:cs="Arial"/>
        <w:sz w:val="22"/>
        <w:szCs w:val="22"/>
      </w:rPr>
      <w:t xml:space="preserve"> </w:t>
    </w:r>
  </w:p>
  <w:p w14:paraId="5D109A2B" w14:textId="3973F0B1" w:rsidR="00E6340F" w:rsidRDefault="00E6340F" w:rsidP="00F02E0D">
    <w:pPr>
      <w:rPr>
        <w:rFonts w:cs="Arial"/>
        <w:sz w:val="22"/>
        <w:szCs w:val="22"/>
      </w:rPr>
    </w:pPr>
    <w:r>
      <w:rPr>
        <w:rFonts w:cs="Arial"/>
        <w:sz w:val="22"/>
        <w:szCs w:val="22"/>
      </w:rPr>
      <w:t>(</w:t>
    </w:r>
    <w:r w:rsidR="0035128F">
      <w:rPr>
        <w:rFonts w:cs="Arial"/>
        <w:sz w:val="22"/>
        <w:szCs w:val="22"/>
      </w:rPr>
      <w:t xml:space="preserve">Unaudited - </w:t>
    </w:r>
    <w:r>
      <w:rPr>
        <w:rFonts w:cs="Arial"/>
        <w:sz w:val="22"/>
        <w:szCs w:val="22"/>
      </w:rPr>
      <w:t>Expressed in Canadian dollars)</w:t>
    </w:r>
  </w:p>
  <w:p w14:paraId="60F73A63" w14:textId="77777777" w:rsidR="00E6340F" w:rsidRPr="00F02E0D" w:rsidRDefault="00E6340F" w:rsidP="00F02E0D">
    <w:pPr>
      <w:pBdr>
        <w:top w:val="single" w:sz="12" w:space="1" w:color="auto"/>
      </w:pBdr>
      <w:rPr>
        <w:rFonts w:ascii="Arial" w:hAnsi="Arial" w:cs="Arial"/>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F702" w14:textId="77777777" w:rsidR="00E6340F" w:rsidRDefault="00E6340F">
    <w:pPr>
      <w:rPr>
        <w:rFonts w:ascii="Calibri" w:hAnsi="Calibri"/>
        <w:b/>
        <w:sz w:val="32"/>
        <w:szCs w:val="20"/>
      </w:rPr>
    </w:pPr>
    <w:r>
      <w:rPr>
        <w:rFonts w:cs="Arial"/>
        <w:b/>
        <w:sz w:val="32"/>
        <w:szCs w:val="32"/>
      </w:rPr>
      <w:t xml:space="preserve">INEO Tech Corp. </w:t>
    </w:r>
  </w:p>
  <w:p w14:paraId="0C0EC698" w14:textId="4E3F2E67" w:rsidR="00E6340F" w:rsidRDefault="00E81399">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Cash Flow</w:t>
    </w:r>
  </w:p>
  <w:p w14:paraId="2DE577E8" w14:textId="69E1AC9A" w:rsidR="00E6340F" w:rsidRDefault="00E6340F" w:rsidP="00F02E0D">
    <w:pPr>
      <w:rPr>
        <w:rFonts w:cs="Arial"/>
        <w:sz w:val="22"/>
        <w:szCs w:val="22"/>
      </w:rPr>
    </w:pPr>
    <w:r>
      <w:rPr>
        <w:rFonts w:cs="Arial"/>
        <w:sz w:val="22"/>
        <w:szCs w:val="22"/>
      </w:rPr>
      <w:t>(</w:t>
    </w:r>
    <w:r w:rsidR="00E81399">
      <w:rPr>
        <w:rFonts w:cs="Arial"/>
        <w:sz w:val="22"/>
        <w:szCs w:val="22"/>
      </w:rPr>
      <w:t xml:space="preserve">Unaudited - </w:t>
    </w:r>
    <w:r>
      <w:rPr>
        <w:rFonts w:cs="Arial"/>
        <w:sz w:val="22"/>
        <w:szCs w:val="22"/>
      </w:rPr>
      <w:t>Expressed in Canadian dollars)</w:t>
    </w:r>
  </w:p>
  <w:p w14:paraId="5735D9BD" w14:textId="77777777" w:rsidR="00E6340F" w:rsidRPr="00F02E0D" w:rsidRDefault="00E6340F" w:rsidP="00F02E0D">
    <w:pPr>
      <w:pBdr>
        <w:top w:val="single" w:sz="12" w:space="1" w:color="auto"/>
      </w:pBdr>
      <w:rPr>
        <w:rFonts w:ascii="Arial" w:hAnsi="Arial" w:cs="Arial"/>
        <w:sz w:val="12"/>
        <w:szCs w:val="1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1AD8" w14:textId="77777777" w:rsidR="00E6340F" w:rsidRDefault="00E6340F">
    <w:pPr>
      <w:rPr>
        <w:rFonts w:ascii="Calibri" w:hAnsi="Calibri"/>
        <w:b/>
        <w:sz w:val="32"/>
        <w:szCs w:val="20"/>
      </w:rPr>
    </w:pPr>
    <w:r>
      <w:rPr>
        <w:rFonts w:cs="Arial"/>
        <w:b/>
        <w:sz w:val="32"/>
        <w:szCs w:val="32"/>
      </w:rPr>
      <w:t xml:space="preserve">INEO Tech Corp. </w:t>
    </w:r>
  </w:p>
  <w:p w14:paraId="240BAC68" w14:textId="34912C69" w:rsidR="00E6340F" w:rsidRDefault="00E6340F">
    <w:pPr>
      <w:rPr>
        <w:rFonts w:cs="Arial"/>
        <w:sz w:val="22"/>
        <w:szCs w:val="22"/>
      </w:rPr>
    </w:pPr>
    <w:r w:rsidRPr="00A30DC1">
      <w:rPr>
        <w:rFonts w:cs="Arial"/>
        <w:sz w:val="22"/>
        <w:szCs w:val="22"/>
      </w:rPr>
      <w:t xml:space="preserve">Notes to the </w:t>
    </w:r>
    <w:r w:rsidR="00E81399">
      <w:rPr>
        <w:rFonts w:cs="Arial"/>
        <w:sz w:val="22"/>
        <w:szCs w:val="22"/>
      </w:rPr>
      <w:t xml:space="preserve">Interim Condensed </w:t>
    </w:r>
    <w:r>
      <w:rPr>
        <w:rFonts w:cs="Arial"/>
        <w:sz w:val="22"/>
        <w:szCs w:val="22"/>
      </w:rPr>
      <w:t>Consolidated Financial Statements</w:t>
    </w:r>
    <w:r w:rsidRPr="00A30DC1">
      <w:rPr>
        <w:rFonts w:cs="Arial"/>
        <w:sz w:val="22"/>
        <w:szCs w:val="22"/>
      </w:rPr>
      <w:t xml:space="preserve"> </w:t>
    </w:r>
  </w:p>
  <w:p w14:paraId="6EE1E6BF" w14:textId="0847D4F4" w:rsidR="00E6340F" w:rsidRDefault="00E6340F">
    <w:pPr>
      <w:rPr>
        <w:rFonts w:cs="Arial"/>
        <w:sz w:val="22"/>
        <w:szCs w:val="22"/>
      </w:rPr>
    </w:pPr>
    <w:r>
      <w:rPr>
        <w:rFonts w:cs="Arial"/>
        <w:sz w:val="22"/>
        <w:szCs w:val="22"/>
      </w:rPr>
      <w:t xml:space="preserve">As at and for the </w:t>
    </w:r>
    <w:r w:rsidR="0004667D">
      <w:rPr>
        <w:rFonts w:cs="Arial"/>
        <w:sz w:val="22"/>
        <w:szCs w:val="22"/>
      </w:rPr>
      <w:t>nine</w:t>
    </w:r>
    <w:r w:rsidR="00E81399">
      <w:rPr>
        <w:rFonts w:cs="Arial"/>
        <w:sz w:val="22"/>
        <w:szCs w:val="22"/>
      </w:rPr>
      <w:t xml:space="preserve"> months</w:t>
    </w:r>
    <w:r>
      <w:rPr>
        <w:rFonts w:cs="Arial"/>
        <w:sz w:val="22"/>
        <w:szCs w:val="22"/>
      </w:rPr>
      <w:t xml:space="preserve"> ended </w:t>
    </w:r>
    <w:r w:rsidR="0004667D">
      <w:rPr>
        <w:rFonts w:cs="Arial"/>
        <w:sz w:val="22"/>
        <w:szCs w:val="22"/>
      </w:rPr>
      <w:t>March</w:t>
    </w:r>
    <w:r w:rsidR="002612A5">
      <w:rPr>
        <w:rFonts w:cs="Arial"/>
        <w:sz w:val="22"/>
        <w:szCs w:val="22"/>
      </w:rPr>
      <w:t xml:space="preserve"> 31</w:t>
    </w:r>
    <w:r>
      <w:rPr>
        <w:rFonts w:cs="Arial"/>
        <w:sz w:val="22"/>
        <w:szCs w:val="22"/>
      </w:rPr>
      <w:t>, 202</w:t>
    </w:r>
    <w:r w:rsidR="0004667D">
      <w:rPr>
        <w:rFonts w:cs="Arial"/>
        <w:sz w:val="22"/>
        <w:szCs w:val="22"/>
      </w:rPr>
      <w:t>4</w:t>
    </w:r>
    <w:r w:rsidR="00E81399">
      <w:rPr>
        <w:rFonts w:cs="Arial"/>
        <w:sz w:val="22"/>
        <w:szCs w:val="22"/>
      </w:rPr>
      <w:t>,</w:t>
    </w:r>
    <w:r>
      <w:rPr>
        <w:rFonts w:cs="Arial"/>
        <w:sz w:val="22"/>
        <w:szCs w:val="22"/>
      </w:rPr>
      <w:t xml:space="preserve"> and 202</w:t>
    </w:r>
    <w:r w:rsidR="0004667D">
      <w:rPr>
        <w:rFonts w:cs="Arial"/>
        <w:sz w:val="22"/>
        <w:szCs w:val="22"/>
      </w:rPr>
      <w:t>3</w:t>
    </w:r>
  </w:p>
  <w:p w14:paraId="6B5E2CD6" w14:textId="4F7DE845" w:rsidR="00E6340F" w:rsidRDefault="00E6340F">
    <w:pPr>
      <w:rPr>
        <w:rFonts w:cs="Arial"/>
        <w:sz w:val="22"/>
        <w:szCs w:val="22"/>
      </w:rPr>
    </w:pPr>
    <w:r>
      <w:rPr>
        <w:rFonts w:cs="Arial"/>
        <w:sz w:val="22"/>
        <w:szCs w:val="22"/>
      </w:rPr>
      <w:t>(</w:t>
    </w:r>
    <w:r w:rsidR="00E81399">
      <w:rPr>
        <w:rFonts w:cs="Arial"/>
        <w:sz w:val="22"/>
        <w:szCs w:val="22"/>
      </w:rPr>
      <w:t xml:space="preserve">Unaudited - </w:t>
    </w:r>
    <w:r w:rsidR="00F6351D">
      <w:rPr>
        <w:rFonts w:cs="Arial"/>
        <w:sz w:val="22"/>
        <w:szCs w:val="22"/>
      </w:rPr>
      <w:t>E</w:t>
    </w:r>
    <w:r>
      <w:rPr>
        <w:rFonts w:cs="Arial"/>
        <w:sz w:val="22"/>
        <w:szCs w:val="22"/>
      </w:rPr>
      <w:t>xpressed in Canadian dollars)</w:t>
    </w:r>
  </w:p>
  <w:p w14:paraId="16EB0CE6" w14:textId="77777777" w:rsidR="00E6340F" w:rsidRPr="00F02E0D" w:rsidRDefault="00E6340F" w:rsidP="00F02E0D">
    <w:pPr>
      <w:pBdr>
        <w:top w:val="single" w:sz="12" w:space="1" w:color="auto"/>
      </w:pBd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1A4C20"/>
    <w:lvl w:ilvl="0">
      <w:start w:val="1"/>
      <w:numFmt w:val="decimal"/>
      <w:pStyle w:val="ListNumber5"/>
      <w:lvlText w:val="%1."/>
      <w:lvlJc w:val="left"/>
      <w:pPr>
        <w:tabs>
          <w:tab w:val="num" w:pos="1723"/>
        </w:tabs>
        <w:ind w:left="1723" w:hanging="360"/>
      </w:pPr>
    </w:lvl>
  </w:abstractNum>
  <w:abstractNum w:abstractNumId="1" w15:restartNumberingAfterBreak="0">
    <w:nsid w:val="FFFFFF7D"/>
    <w:multiLevelType w:val="hybridMultilevel"/>
    <w:tmpl w:val="E5AEE3AA"/>
    <w:lvl w:ilvl="0" w:tplc="7BF4C76E">
      <w:start w:val="1"/>
      <w:numFmt w:val="decimal"/>
      <w:pStyle w:val="ListNumber4"/>
      <w:lvlText w:val="%1."/>
      <w:lvlJc w:val="left"/>
      <w:pPr>
        <w:tabs>
          <w:tab w:val="num" w:pos="1440"/>
        </w:tabs>
        <w:ind w:left="1440" w:hanging="360"/>
      </w:pPr>
    </w:lvl>
    <w:lvl w:ilvl="1" w:tplc="445280D2">
      <w:numFmt w:val="decimal"/>
      <w:lvlText w:val=""/>
      <w:lvlJc w:val="left"/>
    </w:lvl>
    <w:lvl w:ilvl="2" w:tplc="6464E804">
      <w:numFmt w:val="decimal"/>
      <w:lvlText w:val=""/>
      <w:lvlJc w:val="left"/>
    </w:lvl>
    <w:lvl w:ilvl="3" w:tplc="9AF63EF2">
      <w:numFmt w:val="decimal"/>
      <w:lvlText w:val=""/>
      <w:lvlJc w:val="left"/>
    </w:lvl>
    <w:lvl w:ilvl="4" w:tplc="5C6608DA">
      <w:numFmt w:val="decimal"/>
      <w:lvlText w:val=""/>
      <w:lvlJc w:val="left"/>
    </w:lvl>
    <w:lvl w:ilvl="5" w:tplc="FD16ECB4">
      <w:numFmt w:val="decimal"/>
      <w:lvlText w:val=""/>
      <w:lvlJc w:val="left"/>
    </w:lvl>
    <w:lvl w:ilvl="6" w:tplc="5AAAC96A">
      <w:numFmt w:val="decimal"/>
      <w:lvlText w:val=""/>
      <w:lvlJc w:val="left"/>
    </w:lvl>
    <w:lvl w:ilvl="7" w:tplc="86BAF7DA">
      <w:numFmt w:val="decimal"/>
      <w:lvlText w:val=""/>
      <w:lvlJc w:val="left"/>
    </w:lvl>
    <w:lvl w:ilvl="8" w:tplc="FFCAA10C">
      <w:numFmt w:val="decimal"/>
      <w:lvlText w:val=""/>
      <w:lvlJc w:val="left"/>
    </w:lvl>
  </w:abstractNum>
  <w:abstractNum w:abstractNumId="2" w15:restartNumberingAfterBreak="0">
    <w:nsid w:val="FFFFFF7E"/>
    <w:multiLevelType w:val="hybridMultilevel"/>
    <w:tmpl w:val="B03C5FD6"/>
    <w:lvl w:ilvl="0" w:tplc="7D20A056">
      <w:start w:val="1"/>
      <w:numFmt w:val="decimal"/>
      <w:pStyle w:val="ListNumber3"/>
      <w:lvlText w:val="%1."/>
      <w:lvlJc w:val="left"/>
      <w:pPr>
        <w:tabs>
          <w:tab w:val="num" w:pos="1080"/>
        </w:tabs>
        <w:ind w:left="1080" w:hanging="360"/>
      </w:pPr>
    </w:lvl>
    <w:lvl w:ilvl="1" w:tplc="AADC2BD0">
      <w:numFmt w:val="decimal"/>
      <w:lvlText w:val=""/>
      <w:lvlJc w:val="left"/>
    </w:lvl>
    <w:lvl w:ilvl="2" w:tplc="34E6C32E">
      <w:numFmt w:val="decimal"/>
      <w:lvlText w:val=""/>
      <w:lvlJc w:val="left"/>
    </w:lvl>
    <w:lvl w:ilvl="3" w:tplc="5AD6534A">
      <w:numFmt w:val="decimal"/>
      <w:lvlText w:val=""/>
      <w:lvlJc w:val="left"/>
    </w:lvl>
    <w:lvl w:ilvl="4" w:tplc="A76EBFA6">
      <w:numFmt w:val="decimal"/>
      <w:lvlText w:val=""/>
      <w:lvlJc w:val="left"/>
    </w:lvl>
    <w:lvl w:ilvl="5" w:tplc="CD188C80">
      <w:numFmt w:val="decimal"/>
      <w:lvlText w:val=""/>
      <w:lvlJc w:val="left"/>
    </w:lvl>
    <w:lvl w:ilvl="6" w:tplc="A6B4E460">
      <w:numFmt w:val="decimal"/>
      <w:lvlText w:val=""/>
      <w:lvlJc w:val="left"/>
    </w:lvl>
    <w:lvl w:ilvl="7" w:tplc="C47A0012">
      <w:numFmt w:val="decimal"/>
      <w:lvlText w:val=""/>
      <w:lvlJc w:val="left"/>
    </w:lvl>
    <w:lvl w:ilvl="8" w:tplc="030A0E10">
      <w:numFmt w:val="decimal"/>
      <w:lvlText w:val=""/>
      <w:lvlJc w:val="left"/>
    </w:lvl>
  </w:abstractNum>
  <w:abstractNum w:abstractNumId="3" w15:restartNumberingAfterBreak="0">
    <w:nsid w:val="FFFFFF7F"/>
    <w:multiLevelType w:val="hybridMultilevel"/>
    <w:tmpl w:val="72B2B694"/>
    <w:lvl w:ilvl="0" w:tplc="448CFD3C">
      <w:start w:val="1"/>
      <w:numFmt w:val="decimal"/>
      <w:pStyle w:val="ListNumber2"/>
      <w:lvlText w:val="%1."/>
      <w:lvlJc w:val="left"/>
      <w:pPr>
        <w:tabs>
          <w:tab w:val="num" w:pos="720"/>
        </w:tabs>
        <w:ind w:left="720" w:hanging="360"/>
      </w:pPr>
    </w:lvl>
    <w:lvl w:ilvl="1" w:tplc="A13644FE">
      <w:numFmt w:val="decimal"/>
      <w:lvlText w:val=""/>
      <w:lvlJc w:val="left"/>
    </w:lvl>
    <w:lvl w:ilvl="2" w:tplc="530A41A8">
      <w:numFmt w:val="decimal"/>
      <w:lvlText w:val=""/>
      <w:lvlJc w:val="left"/>
    </w:lvl>
    <w:lvl w:ilvl="3" w:tplc="44EC7A4E">
      <w:numFmt w:val="decimal"/>
      <w:lvlText w:val=""/>
      <w:lvlJc w:val="left"/>
    </w:lvl>
    <w:lvl w:ilvl="4" w:tplc="6F3016B6">
      <w:numFmt w:val="decimal"/>
      <w:lvlText w:val=""/>
      <w:lvlJc w:val="left"/>
    </w:lvl>
    <w:lvl w:ilvl="5" w:tplc="84E6CE22">
      <w:numFmt w:val="decimal"/>
      <w:lvlText w:val=""/>
      <w:lvlJc w:val="left"/>
    </w:lvl>
    <w:lvl w:ilvl="6" w:tplc="884EC372">
      <w:numFmt w:val="decimal"/>
      <w:lvlText w:val=""/>
      <w:lvlJc w:val="left"/>
    </w:lvl>
    <w:lvl w:ilvl="7" w:tplc="684A533A">
      <w:numFmt w:val="decimal"/>
      <w:lvlText w:val=""/>
      <w:lvlJc w:val="left"/>
    </w:lvl>
    <w:lvl w:ilvl="8" w:tplc="58DA0D52">
      <w:numFmt w:val="decimal"/>
      <w:lvlText w:val=""/>
      <w:lvlJc w:val="left"/>
    </w:lvl>
  </w:abstractNum>
  <w:abstractNum w:abstractNumId="4" w15:restartNumberingAfterBreak="0">
    <w:nsid w:val="FFFFFF80"/>
    <w:multiLevelType w:val="hybridMultilevel"/>
    <w:tmpl w:val="68C02BC0"/>
    <w:lvl w:ilvl="0" w:tplc="E5A473BA">
      <w:start w:val="1"/>
      <w:numFmt w:val="bullet"/>
      <w:pStyle w:val="ListBullet5"/>
      <w:lvlText w:val=""/>
      <w:lvlJc w:val="left"/>
      <w:pPr>
        <w:tabs>
          <w:tab w:val="num" w:pos="1800"/>
        </w:tabs>
        <w:ind w:left="1800" w:hanging="360"/>
      </w:pPr>
      <w:rPr>
        <w:rFonts w:ascii="Symbol" w:hAnsi="Symbol" w:hint="default"/>
      </w:rPr>
    </w:lvl>
    <w:lvl w:ilvl="1" w:tplc="2756601E">
      <w:numFmt w:val="decimal"/>
      <w:lvlText w:val=""/>
      <w:lvlJc w:val="left"/>
    </w:lvl>
    <w:lvl w:ilvl="2" w:tplc="ED465996">
      <w:numFmt w:val="decimal"/>
      <w:lvlText w:val=""/>
      <w:lvlJc w:val="left"/>
    </w:lvl>
    <w:lvl w:ilvl="3" w:tplc="38E4DE66">
      <w:numFmt w:val="decimal"/>
      <w:lvlText w:val=""/>
      <w:lvlJc w:val="left"/>
    </w:lvl>
    <w:lvl w:ilvl="4" w:tplc="69068188">
      <w:numFmt w:val="decimal"/>
      <w:lvlText w:val=""/>
      <w:lvlJc w:val="left"/>
    </w:lvl>
    <w:lvl w:ilvl="5" w:tplc="D04A3A04">
      <w:numFmt w:val="decimal"/>
      <w:lvlText w:val=""/>
      <w:lvlJc w:val="left"/>
    </w:lvl>
    <w:lvl w:ilvl="6" w:tplc="0066B9F8">
      <w:numFmt w:val="decimal"/>
      <w:lvlText w:val=""/>
      <w:lvlJc w:val="left"/>
    </w:lvl>
    <w:lvl w:ilvl="7" w:tplc="167CD58C">
      <w:numFmt w:val="decimal"/>
      <w:lvlText w:val=""/>
      <w:lvlJc w:val="left"/>
    </w:lvl>
    <w:lvl w:ilvl="8" w:tplc="F3468240">
      <w:numFmt w:val="decimal"/>
      <w:lvlText w:val=""/>
      <w:lvlJc w:val="left"/>
    </w:lvl>
  </w:abstractNum>
  <w:abstractNum w:abstractNumId="5" w15:restartNumberingAfterBreak="0">
    <w:nsid w:val="FFFFFF82"/>
    <w:multiLevelType w:val="hybridMultilevel"/>
    <w:tmpl w:val="06820728"/>
    <w:lvl w:ilvl="0" w:tplc="FA94B808">
      <w:start w:val="1"/>
      <w:numFmt w:val="bullet"/>
      <w:pStyle w:val="ListBullet3"/>
      <w:lvlText w:val=""/>
      <w:lvlJc w:val="left"/>
      <w:pPr>
        <w:tabs>
          <w:tab w:val="num" w:pos="1080"/>
        </w:tabs>
        <w:ind w:left="1080" w:hanging="360"/>
      </w:pPr>
      <w:rPr>
        <w:rFonts w:ascii="Symbol" w:hAnsi="Symbol" w:hint="default"/>
      </w:rPr>
    </w:lvl>
    <w:lvl w:ilvl="1" w:tplc="A8B0056A">
      <w:numFmt w:val="decimal"/>
      <w:lvlText w:val=""/>
      <w:lvlJc w:val="left"/>
    </w:lvl>
    <w:lvl w:ilvl="2" w:tplc="17E894C6">
      <w:numFmt w:val="decimal"/>
      <w:lvlText w:val=""/>
      <w:lvlJc w:val="left"/>
    </w:lvl>
    <w:lvl w:ilvl="3" w:tplc="DADA6C8C">
      <w:numFmt w:val="decimal"/>
      <w:lvlText w:val=""/>
      <w:lvlJc w:val="left"/>
    </w:lvl>
    <w:lvl w:ilvl="4" w:tplc="B34021F2">
      <w:numFmt w:val="decimal"/>
      <w:lvlText w:val=""/>
      <w:lvlJc w:val="left"/>
    </w:lvl>
    <w:lvl w:ilvl="5" w:tplc="90E662EC">
      <w:numFmt w:val="decimal"/>
      <w:lvlText w:val=""/>
      <w:lvlJc w:val="left"/>
    </w:lvl>
    <w:lvl w:ilvl="6" w:tplc="832A628A">
      <w:numFmt w:val="decimal"/>
      <w:lvlText w:val=""/>
      <w:lvlJc w:val="left"/>
    </w:lvl>
    <w:lvl w:ilvl="7" w:tplc="E794B204">
      <w:numFmt w:val="decimal"/>
      <w:lvlText w:val=""/>
      <w:lvlJc w:val="left"/>
    </w:lvl>
    <w:lvl w:ilvl="8" w:tplc="F1586152">
      <w:numFmt w:val="decimal"/>
      <w:lvlText w:val=""/>
      <w:lvlJc w:val="left"/>
    </w:lvl>
  </w:abstractNum>
  <w:abstractNum w:abstractNumId="6" w15:restartNumberingAfterBreak="0">
    <w:nsid w:val="FFFFFF83"/>
    <w:multiLevelType w:val="hybridMultilevel"/>
    <w:tmpl w:val="DEAE44CC"/>
    <w:lvl w:ilvl="0" w:tplc="2202F9F2">
      <w:start w:val="1"/>
      <w:numFmt w:val="bullet"/>
      <w:pStyle w:val="ListBullet2"/>
      <w:lvlText w:val=""/>
      <w:lvlJc w:val="left"/>
      <w:pPr>
        <w:tabs>
          <w:tab w:val="num" w:pos="720"/>
        </w:tabs>
        <w:ind w:left="720" w:hanging="360"/>
      </w:pPr>
      <w:rPr>
        <w:rFonts w:ascii="Symbol" w:hAnsi="Symbol" w:hint="default"/>
      </w:rPr>
    </w:lvl>
    <w:lvl w:ilvl="1" w:tplc="7F7AF428">
      <w:numFmt w:val="decimal"/>
      <w:lvlText w:val=""/>
      <w:lvlJc w:val="left"/>
    </w:lvl>
    <w:lvl w:ilvl="2" w:tplc="4B8A5BD0">
      <w:numFmt w:val="decimal"/>
      <w:lvlText w:val=""/>
      <w:lvlJc w:val="left"/>
    </w:lvl>
    <w:lvl w:ilvl="3" w:tplc="BF68B004">
      <w:numFmt w:val="decimal"/>
      <w:lvlText w:val=""/>
      <w:lvlJc w:val="left"/>
    </w:lvl>
    <w:lvl w:ilvl="4" w:tplc="34A27452">
      <w:numFmt w:val="decimal"/>
      <w:lvlText w:val=""/>
      <w:lvlJc w:val="left"/>
    </w:lvl>
    <w:lvl w:ilvl="5" w:tplc="0692770C">
      <w:numFmt w:val="decimal"/>
      <w:lvlText w:val=""/>
      <w:lvlJc w:val="left"/>
    </w:lvl>
    <w:lvl w:ilvl="6" w:tplc="8F6A4DAC">
      <w:numFmt w:val="decimal"/>
      <w:lvlText w:val=""/>
      <w:lvlJc w:val="left"/>
    </w:lvl>
    <w:lvl w:ilvl="7" w:tplc="3AAEB4D8">
      <w:numFmt w:val="decimal"/>
      <w:lvlText w:val=""/>
      <w:lvlJc w:val="left"/>
    </w:lvl>
    <w:lvl w:ilvl="8" w:tplc="5080A2E4">
      <w:numFmt w:val="decimal"/>
      <w:lvlText w:val=""/>
      <w:lvlJc w:val="left"/>
    </w:lvl>
  </w:abstractNum>
  <w:abstractNum w:abstractNumId="7" w15:restartNumberingAfterBreak="0">
    <w:nsid w:val="FFFFFF88"/>
    <w:multiLevelType w:val="hybridMultilevel"/>
    <w:tmpl w:val="9D1E0664"/>
    <w:lvl w:ilvl="0" w:tplc="4DEE371A">
      <w:start w:val="1"/>
      <w:numFmt w:val="decimal"/>
      <w:pStyle w:val="ListNumber"/>
      <w:lvlText w:val="%1."/>
      <w:lvlJc w:val="left"/>
      <w:pPr>
        <w:tabs>
          <w:tab w:val="num" w:pos="360"/>
        </w:tabs>
        <w:ind w:left="360" w:hanging="360"/>
      </w:pPr>
    </w:lvl>
    <w:lvl w:ilvl="1" w:tplc="66CC0386">
      <w:numFmt w:val="decimal"/>
      <w:lvlText w:val=""/>
      <w:lvlJc w:val="left"/>
    </w:lvl>
    <w:lvl w:ilvl="2" w:tplc="81F88936">
      <w:numFmt w:val="decimal"/>
      <w:lvlText w:val=""/>
      <w:lvlJc w:val="left"/>
    </w:lvl>
    <w:lvl w:ilvl="3" w:tplc="50402AC4">
      <w:numFmt w:val="decimal"/>
      <w:lvlText w:val=""/>
      <w:lvlJc w:val="left"/>
    </w:lvl>
    <w:lvl w:ilvl="4" w:tplc="EEDE72CA">
      <w:numFmt w:val="decimal"/>
      <w:lvlText w:val=""/>
      <w:lvlJc w:val="left"/>
    </w:lvl>
    <w:lvl w:ilvl="5" w:tplc="425C2628">
      <w:numFmt w:val="decimal"/>
      <w:lvlText w:val=""/>
      <w:lvlJc w:val="left"/>
    </w:lvl>
    <w:lvl w:ilvl="6" w:tplc="3A5C67AC">
      <w:numFmt w:val="decimal"/>
      <w:lvlText w:val=""/>
      <w:lvlJc w:val="left"/>
    </w:lvl>
    <w:lvl w:ilvl="7" w:tplc="9978186C">
      <w:numFmt w:val="decimal"/>
      <w:lvlText w:val=""/>
      <w:lvlJc w:val="left"/>
    </w:lvl>
    <w:lvl w:ilvl="8" w:tplc="47169306">
      <w:numFmt w:val="decimal"/>
      <w:lvlText w:val=""/>
      <w:lvlJc w:val="left"/>
    </w:lvl>
  </w:abstractNum>
  <w:abstractNum w:abstractNumId="8" w15:restartNumberingAfterBreak="0">
    <w:nsid w:val="FFFFFF89"/>
    <w:multiLevelType w:val="hybridMultilevel"/>
    <w:tmpl w:val="5C98BF46"/>
    <w:lvl w:ilvl="0" w:tplc="02FA6928">
      <w:start w:val="1"/>
      <w:numFmt w:val="bullet"/>
      <w:pStyle w:val="ListBullet"/>
      <w:lvlText w:val=""/>
      <w:lvlJc w:val="left"/>
      <w:pPr>
        <w:tabs>
          <w:tab w:val="num" w:pos="360"/>
        </w:tabs>
        <w:ind w:left="360" w:hanging="360"/>
      </w:pPr>
      <w:rPr>
        <w:rFonts w:ascii="Symbol" w:hAnsi="Symbol" w:hint="default"/>
      </w:rPr>
    </w:lvl>
    <w:lvl w:ilvl="1" w:tplc="7D827DC2">
      <w:numFmt w:val="decimal"/>
      <w:lvlText w:val=""/>
      <w:lvlJc w:val="left"/>
    </w:lvl>
    <w:lvl w:ilvl="2" w:tplc="F6A83480">
      <w:numFmt w:val="decimal"/>
      <w:lvlText w:val=""/>
      <w:lvlJc w:val="left"/>
    </w:lvl>
    <w:lvl w:ilvl="3" w:tplc="66AC50B0">
      <w:numFmt w:val="decimal"/>
      <w:lvlText w:val=""/>
      <w:lvlJc w:val="left"/>
    </w:lvl>
    <w:lvl w:ilvl="4" w:tplc="ED5EDA68">
      <w:numFmt w:val="decimal"/>
      <w:lvlText w:val=""/>
      <w:lvlJc w:val="left"/>
    </w:lvl>
    <w:lvl w:ilvl="5" w:tplc="7BB2FBD0">
      <w:numFmt w:val="decimal"/>
      <w:lvlText w:val=""/>
      <w:lvlJc w:val="left"/>
    </w:lvl>
    <w:lvl w:ilvl="6" w:tplc="F44E0DB0">
      <w:numFmt w:val="decimal"/>
      <w:lvlText w:val=""/>
      <w:lvlJc w:val="left"/>
    </w:lvl>
    <w:lvl w:ilvl="7" w:tplc="9746C95A">
      <w:numFmt w:val="decimal"/>
      <w:lvlText w:val=""/>
      <w:lvlJc w:val="left"/>
    </w:lvl>
    <w:lvl w:ilvl="8" w:tplc="3D0A3C76">
      <w:numFmt w:val="decimal"/>
      <w:lvlText w:val=""/>
      <w:lvlJc w:val="left"/>
    </w:lvl>
  </w:abstractNum>
  <w:abstractNum w:abstractNumId="9" w15:restartNumberingAfterBreak="0">
    <w:nsid w:val="054D7F8A"/>
    <w:multiLevelType w:val="hybridMultilevel"/>
    <w:tmpl w:val="00D06998"/>
    <w:lvl w:ilvl="0" w:tplc="82B605D8">
      <w:start w:val="19"/>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10" w15:restartNumberingAfterBreak="0">
    <w:nsid w:val="0719681B"/>
    <w:multiLevelType w:val="hybridMultilevel"/>
    <w:tmpl w:val="FB50E292"/>
    <w:lvl w:ilvl="0" w:tplc="96E8D25C">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8A66B90"/>
    <w:multiLevelType w:val="hybridMultilevel"/>
    <w:tmpl w:val="C65416E2"/>
    <w:lvl w:ilvl="0" w:tplc="FFFFFFFF">
      <w:start w:val="19"/>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2" w15:restartNumberingAfterBreak="0">
    <w:nsid w:val="0C1E03C8"/>
    <w:multiLevelType w:val="hybridMultilevel"/>
    <w:tmpl w:val="8F0C5AB4"/>
    <w:lvl w:ilvl="0" w:tplc="843C890A">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D507863"/>
    <w:multiLevelType w:val="hybridMultilevel"/>
    <w:tmpl w:val="9FD6459A"/>
    <w:lvl w:ilvl="0" w:tplc="576408E6">
      <w:start w:val="21"/>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3973472"/>
    <w:multiLevelType w:val="hybridMultilevel"/>
    <w:tmpl w:val="76DAFA0C"/>
    <w:lvl w:ilvl="0" w:tplc="8D5EC254">
      <w:start w:val="22"/>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6445133"/>
    <w:multiLevelType w:val="hybridMultilevel"/>
    <w:tmpl w:val="A8C4F958"/>
    <w:lvl w:ilvl="0" w:tplc="C5CCAC1E">
      <w:start w:val="21"/>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7100099"/>
    <w:multiLevelType w:val="hybridMultilevel"/>
    <w:tmpl w:val="B7526ADC"/>
    <w:lvl w:ilvl="0" w:tplc="FFFFFFFF">
      <w:start w:val="2"/>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7" w15:restartNumberingAfterBreak="0">
    <w:nsid w:val="1FD73485"/>
    <w:multiLevelType w:val="multilevel"/>
    <w:tmpl w:val="083C6972"/>
    <w:styleLink w:val="CurrentList1"/>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86410A"/>
    <w:multiLevelType w:val="hybridMultilevel"/>
    <w:tmpl w:val="D090AEEE"/>
    <w:lvl w:ilvl="0" w:tplc="FDF2C6DE">
      <w:start w:val="1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76593E"/>
    <w:multiLevelType w:val="hybridMultilevel"/>
    <w:tmpl w:val="F678105A"/>
    <w:lvl w:ilvl="0" w:tplc="2F1CAFA2">
      <w:start w:val="3"/>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7A513F1"/>
    <w:multiLevelType w:val="hybridMultilevel"/>
    <w:tmpl w:val="58CAC084"/>
    <w:lvl w:ilvl="0" w:tplc="E5C66890">
      <w:start w:val="2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A535A7F"/>
    <w:multiLevelType w:val="multilevel"/>
    <w:tmpl w:val="C8F4DC50"/>
    <w:styleLink w:val="CurrentList2"/>
    <w:lvl w:ilvl="0">
      <w:start w:val="14"/>
      <w:numFmt w:val="decimal"/>
      <w:lvlText w:val="%1."/>
      <w:lvlJc w:val="left"/>
      <w:pPr>
        <w:ind w:left="360"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2" w15:restartNumberingAfterBreak="0">
    <w:nsid w:val="2AD72FEF"/>
    <w:multiLevelType w:val="hybridMultilevel"/>
    <w:tmpl w:val="F6EC57B4"/>
    <w:lvl w:ilvl="0" w:tplc="1CCC2012">
      <w:start w:val="14"/>
      <w:numFmt w:val="decimal"/>
      <w:lvlText w:val="%1."/>
      <w:lvlJc w:val="left"/>
      <w:pPr>
        <w:ind w:left="360" w:hanging="360"/>
      </w:pPr>
      <w:rPr>
        <w:rFonts w:hint="default"/>
      </w:rPr>
    </w:lvl>
    <w:lvl w:ilvl="1" w:tplc="10090019">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3" w15:restartNumberingAfterBreak="0">
    <w:nsid w:val="320516D7"/>
    <w:multiLevelType w:val="hybridMultilevel"/>
    <w:tmpl w:val="6792CEE4"/>
    <w:lvl w:ilvl="0" w:tplc="82B605D8">
      <w:start w:val="19"/>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24" w15:restartNumberingAfterBreak="0">
    <w:nsid w:val="34346E17"/>
    <w:multiLevelType w:val="hybridMultilevel"/>
    <w:tmpl w:val="0ABEA0AE"/>
    <w:lvl w:ilvl="0" w:tplc="82B605D8">
      <w:start w:val="19"/>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25" w15:restartNumberingAfterBreak="0">
    <w:nsid w:val="39617890"/>
    <w:multiLevelType w:val="hybridMultilevel"/>
    <w:tmpl w:val="86FE458C"/>
    <w:lvl w:ilvl="0" w:tplc="F502E246">
      <w:start w:val="1"/>
      <w:numFmt w:val="decimal"/>
      <w:pStyle w:val="Par1"/>
      <w:lvlText w:val="%1"/>
      <w:lvlJc w:val="left"/>
      <w:pPr>
        <w:tabs>
          <w:tab w:val="num" w:pos="432"/>
        </w:tabs>
        <w:ind w:left="432" w:hanging="432"/>
      </w:pPr>
      <w:rPr>
        <w:rFonts w:cs="Times New Roman" w:hint="default"/>
      </w:rPr>
    </w:lvl>
    <w:lvl w:ilvl="1" w:tplc="2CA2AC12">
      <w:start w:val="1"/>
      <w:numFmt w:val="lowerLetter"/>
      <w:pStyle w:val="Par2"/>
      <w:lvlText w:val="%2)"/>
      <w:lvlJc w:val="left"/>
      <w:pPr>
        <w:tabs>
          <w:tab w:val="num" w:pos="864"/>
        </w:tabs>
        <w:ind w:left="864" w:hanging="432"/>
      </w:pPr>
      <w:rPr>
        <w:rFonts w:cs="Times New Roman" w:hint="default"/>
      </w:rPr>
    </w:lvl>
    <w:lvl w:ilvl="2" w:tplc="BE9028D6">
      <w:start w:val="1"/>
      <w:numFmt w:val="lowerRoman"/>
      <w:pStyle w:val="Par3"/>
      <w:lvlText w:val="%3)"/>
      <w:lvlJc w:val="left"/>
      <w:pPr>
        <w:tabs>
          <w:tab w:val="num" w:pos="1296"/>
        </w:tabs>
        <w:ind w:left="1296" w:hanging="432"/>
      </w:pPr>
      <w:rPr>
        <w:rFonts w:cs="Times New Roman" w:hint="default"/>
      </w:rPr>
    </w:lvl>
    <w:lvl w:ilvl="3" w:tplc="0CA6B9BE">
      <w:start w:val="1"/>
      <w:numFmt w:val="decimal"/>
      <w:lvlText w:val="(%4)"/>
      <w:lvlJc w:val="left"/>
      <w:pPr>
        <w:tabs>
          <w:tab w:val="num" w:pos="1872"/>
        </w:tabs>
        <w:ind w:left="1872" w:hanging="360"/>
      </w:pPr>
      <w:rPr>
        <w:rFonts w:cs="Times New Roman" w:hint="default"/>
      </w:rPr>
    </w:lvl>
    <w:lvl w:ilvl="4" w:tplc="676C113C">
      <w:start w:val="1"/>
      <w:numFmt w:val="lowerLetter"/>
      <w:lvlText w:val="(%5)"/>
      <w:lvlJc w:val="left"/>
      <w:pPr>
        <w:tabs>
          <w:tab w:val="num" w:pos="2232"/>
        </w:tabs>
        <w:ind w:left="2232" w:hanging="360"/>
      </w:pPr>
      <w:rPr>
        <w:rFonts w:cs="Times New Roman" w:hint="default"/>
      </w:rPr>
    </w:lvl>
    <w:lvl w:ilvl="5" w:tplc="A9D26A06">
      <w:start w:val="1"/>
      <w:numFmt w:val="lowerRoman"/>
      <w:lvlText w:val="(%6)"/>
      <w:lvlJc w:val="left"/>
      <w:pPr>
        <w:tabs>
          <w:tab w:val="num" w:pos="2592"/>
        </w:tabs>
        <w:ind w:left="2592" w:hanging="360"/>
      </w:pPr>
      <w:rPr>
        <w:rFonts w:cs="Times New Roman" w:hint="default"/>
      </w:rPr>
    </w:lvl>
    <w:lvl w:ilvl="6" w:tplc="DF624F36">
      <w:start w:val="1"/>
      <w:numFmt w:val="decimal"/>
      <w:lvlText w:val="%7."/>
      <w:lvlJc w:val="left"/>
      <w:pPr>
        <w:tabs>
          <w:tab w:val="num" w:pos="2952"/>
        </w:tabs>
        <w:ind w:left="2952" w:hanging="360"/>
      </w:pPr>
      <w:rPr>
        <w:rFonts w:cs="Times New Roman" w:hint="default"/>
      </w:rPr>
    </w:lvl>
    <w:lvl w:ilvl="7" w:tplc="4A96C5C0">
      <w:start w:val="1"/>
      <w:numFmt w:val="lowerLetter"/>
      <w:lvlText w:val="%8."/>
      <w:lvlJc w:val="left"/>
      <w:pPr>
        <w:tabs>
          <w:tab w:val="num" w:pos="3312"/>
        </w:tabs>
        <w:ind w:left="3312" w:hanging="360"/>
      </w:pPr>
      <w:rPr>
        <w:rFonts w:cs="Times New Roman" w:hint="default"/>
      </w:rPr>
    </w:lvl>
    <w:lvl w:ilvl="8" w:tplc="E716D7C4">
      <w:start w:val="1"/>
      <w:numFmt w:val="lowerRoman"/>
      <w:lvlText w:val="%9."/>
      <w:lvlJc w:val="left"/>
      <w:pPr>
        <w:tabs>
          <w:tab w:val="num" w:pos="3672"/>
        </w:tabs>
        <w:ind w:left="3672" w:hanging="360"/>
      </w:pPr>
      <w:rPr>
        <w:rFonts w:cs="Times New Roman" w:hint="default"/>
      </w:rPr>
    </w:lvl>
  </w:abstractNum>
  <w:abstractNum w:abstractNumId="26" w15:restartNumberingAfterBreak="0">
    <w:nsid w:val="3D3563CA"/>
    <w:multiLevelType w:val="hybridMultilevel"/>
    <w:tmpl w:val="1ED2D784"/>
    <w:lvl w:ilvl="0" w:tplc="7AEE7450">
      <w:start w:val="1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230251"/>
    <w:multiLevelType w:val="hybridMultilevel"/>
    <w:tmpl w:val="2330593E"/>
    <w:lvl w:ilvl="0" w:tplc="D4403CDC">
      <w:start w:val="3"/>
      <w:numFmt w:val="decimal"/>
      <w:pStyle w:val="FSheading"/>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31E17"/>
    <w:multiLevelType w:val="hybridMultilevel"/>
    <w:tmpl w:val="31FACF9C"/>
    <w:lvl w:ilvl="0" w:tplc="ACACE132">
      <w:start w:val="2"/>
      <w:numFmt w:val="lowerLetter"/>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9" w15:restartNumberingAfterBreak="0">
    <w:nsid w:val="4C2E44CA"/>
    <w:multiLevelType w:val="hybridMultilevel"/>
    <w:tmpl w:val="58680A0C"/>
    <w:lvl w:ilvl="0" w:tplc="F10C0A52">
      <w:start w:val="22"/>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D93419E"/>
    <w:multiLevelType w:val="hybridMultilevel"/>
    <w:tmpl w:val="DB18BDA8"/>
    <w:lvl w:ilvl="0" w:tplc="10090017">
      <w:start w:val="1"/>
      <w:numFmt w:val="lowerLetter"/>
      <w:lvlText w:val="%1)"/>
      <w:lvlJc w:val="left"/>
      <w:pPr>
        <w:ind w:left="720" w:hanging="360"/>
      </w:pPr>
      <w:rPr>
        <w:rFonts w:hint="default"/>
      </w:rPr>
    </w:lvl>
    <w:lvl w:ilvl="1" w:tplc="D34EF948">
      <w:start w:val="1"/>
      <w:numFmt w:val="lowerRoman"/>
      <w:lvlText w:val="(%2)"/>
      <w:lvlJc w:val="left"/>
      <w:pPr>
        <w:ind w:left="1440" w:hanging="360"/>
      </w:pPr>
      <w:rPr>
        <w:rFonts w:hint="default"/>
      </w:rPr>
    </w:lvl>
    <w:lvl w:ilvl="2" w:tplc="4D20528E">
      <w:start w:val="1"/>
      <w:numFmt w:val="upperLetter"/>
      <w:lvlText w:val="%3)"/>
      <w:lvlJc w:val="left"/>
      <w:pPr>
        <w:ind w:left="2340" w:hanging="360"/>
      </w:pPr>
      <w:rPr>
        <w:rFonts w:hint="default"/>
      </w:rPr>
    </w:lvl>
    <w:lvl w:ilvl="3" w:tplc="297E3AEE">
      <w:start w:val="15"/>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0614F11"/>
    <w:multiLevelType w:val="hybridMultilevel"/>
    <w:tmpl w:val="0BB0AFA2"/>
    <w:lvl w:ilvl="0" w:tplc="DC2657B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26E0392"/>
    <w:multiLevelType w:val="hybridMultilevel"/>
    <w:tmpl w:val="7B6E8AFA"/>
    <w:lvl w:ilvl="0" w:tplc="1009000F">
      <w:start w:val="1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BC2F7F"/>
    <w:multiLevelType w:val="hybridMultilevel"/>
    <w:tmpl w:val="8DFA1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864814"/>
    <w:multiLevelType w:val="hybridMultilevel"/>
    <w:tmpl w:val="EC401366"/>
    <w:lvl w:ilvl="0" w:tplc="8804697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30926FE"/>
    <w:multiLevelType w:val="hybridMultilevel"/>
    <w:tmpl w:val="26DC24BE"/>
    <w:lvl w:ilvl="0" w:tplc="794021F2">
      <w:start w:val="17"/>
      <w:numFmt w:val="decimal"/>
      <w:lvlText w:val="%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6A05027"/>
    <w:multiLevelType w:val="hybridMultilevel"/>
    <w:tmpl w:val="5832CA9E"/>
    <w:lvl w:ilvl="0" w:tplc="87E4D0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177AF"/>
    <w:multiLevelType w:val="hybridMultilevel"/>
    <w:tmpl w:val="A362986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4A7103"/>
    <w:multiLevelType w:val="hybridMultilevel"/>
    <w:tmpl w:val="C5E69FDC"/>
    <w:lvl w:ilvl="0" w:tplc="82B605D8">
      <w:start w:val="19"/>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B8A607F"/>
    <w:multiLevelType w:val="hybridMultilevel"/>
    <w:tmpl w:val="37341222"/>
    <w:lvl w:ilvl="0" w:tplc="CA50EC0A">
      <w:start w:val="1"/>
      <w:numFmt w:val="lowerRoman"/>
      <w:lvlText w:val="%1)"/>
      <w:lvlJc w:val="left"/>
      <w:pPr>
        <w:ind w:left="1077" w:hanging="720"/>
      </w:p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start w:val="1"/>
      <w:numFmt w:val="decimal"/>
      <w:lvlText w:val="%4."/>
      <w:lvlJc w:val="left"/>
      <w:pPr>
        <w:ind w:left="2877" w:hanging="360"/>
      </w:pPr>
    </w:lvl>
    <w:lvl w:ilvl="4" w:tplc="10090019">
      <w:start w:val="1"/>
      <w:numFmt w:val="lowerLetter"/>
      <w:lvlText w:val="%5."/>
      <w:lvlJc w:val="left"/>
      <w:pPr>
        <w:ind w:left="3597" w:hanging="360"/>
      </w:pPr>
    </w:lvl>
    <w:lvl w:ilvl="5" w:tplc="1009001B">
      <w:start w:val="1"/>
      <w:numFmt w:val="lowerRoman"/>
      <w:lvlText w:val="%6."/>
      <w:lvlJc w:val="right"/>
      <w:pPr>
        <w:ind w:left="4317" w:hanging="180"/>
      </w:pPr>
    </w:lvl>
    <w:lvl w:ilvl="6" w:tplc="1009000F">
      <w:start w:val="1"/>
      <w:numFmt w:val="decimal"/>
      <w:lvlText w:val="%7."/>
      <w:lvlJc w:val="left"/>
      <w:pPr>
        <w:ind w:left="5037" w:hanging="360"/>
      </w:pPr>
    </w:lvl>
    <w:lvl w:ilvl="7" w:tplc="10090019">
      <w:start w:val="1"/>
      <w:numFmt w:val="lowerLetter"/>
      <w:lvlText w:val="%8."/>
      <w:lvlJc w:val="left"/>
      <w:pPr>
        <w:ind w:left="5757" w:hanging="360"/>
      </w:pPr>
    </w:lvl>
    <w:lvl w:ilvl="8" w:tplc="1009001B">
      <w:start w:val="1"/>
      <w:numFmt w:val="lowerRoman"/>
      <w:lvlText w:val="%9."/>
      <w:lvlJc w:val="right"/>
      <w:pPr>
        <w:ind w:left="6477" w:hanging="180"/>
      </w:pPr>
    </w:lvl>
  </w:abstractNum>
  <w:abstractNum w:abstractNumId="40" w15:restartNumberingAfterBreak="0">
    <w:nsid w:val="6E0A3FEC"/>
    <w:multiLevelType w:val="hybridMultilevel"/>
    <w:tmpl w:val="1E865DB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6F3543"/>
    <w:multiLevelType w:val="hybridMultilevel"/>
    <w:tmpl w:val="16725CB0"/>
    <w:lvl w:ilvl="0" w:tplc="14984D6A">
      <w:start w:val="1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4C3ECA"/>
    <w:multiLevelType w:val="hybridMultilevel"/>
    <w:tmpl w:val="B4D2542A"/>
    <w:lvl w:ilvl="0" w:tplc="FCC811FC">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E4438CB"/>
    <w:multiLevelType w:val="hybridMultilevel"/>
    <w:tmpl w:val="07943032"/>
    <w:lvl w:ilvl="0" w:tplc="36F0F490">
      <w:start w:val="1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DE4EE4"/>
    <w:multiLevelType w:val="hybridMultilevel"/>
    <w:tmpl w:val="6C08E3A6"/>
    <w:lvl w:ilvl="0" w:tplc="5ED220C0">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F9418F3"/>
    <w:multiLevelType w:val="hybridMultilevel"/>
    <w:tmpl w:val="8E9217C6"/>
    <w:lvl w:ilvl="0" w:tplc="D34EF948">
      <w:start w:val="1"/>
      <w:numFmt w:val="lowerRoman"/>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1942996">
    <w:abstractNumId w:val="25"/>
  </w:num>
  <w:num w:numId="2" w16cid:durableId="1458991339">
    <w:abstractNumId w:val="30"/>
  </w:num>
  <w:num w:numId="3" w16cid:durableId="241835536">
    <w:abstractNumId w:val="8"/>
  </w:num>
  <w:num w:numId="4" w16cid:durableId="380057279">
    <w:abstractNumId w:val="27"/>
  </w:num>
  <w:num w:numId="5" w16cid:durableId="1867061578">
    <w:abstractNumId w:val="36"/>
  </w:num>
  <w:num w:numId="6" w16cid:durableId="597569495">
    <w:abstractNumId w:val="6"/>
  </w:num>
  <w:num w:numId="7" w16cid:durableId="1866939838">
    <w:abstractNumId w:val="5"/>
  </w:num>
  <w:num w:numId="8" w16cid:durableId="352270092">
    <w:abstractNumId w:val="4"/>
  </w:num>
  <w:num w:numId="9" w16cid:durableId="1471292225">
    <w:abstractNumId w:val="7"/>
  </w:num>
  <w:num w:numId="10" w16cid:durableId="73941868">
    <w:abstractNumId w:val="3"/>
  </w:num>
  <w:num w:numId="11" w16cid:durableId="540047973">
    <w:abstractNumId w:val="2"/>
  </w:num>
  <w:num w:numId="12" w16cid:durableId="1697581955">
    <w:abstractNumId w:val="1"/>
  </w:num>
  <w:num w:numId="13" w16cid:durableId="742877235">
    <w:abstractNumId w:val="0"/>
  </w:num>
  <w:num w:numId="14" w16cid:durableId="904529744">
    <w:abstractNumId w:val="39"/>
  </w:num>
  <w:num w:numId="15" w16cid:durableId="779878400">
    <w:abstractNumId w:val="28"/>
  </w:num>
  <w:num w:numId="16" w16cid:durableId="1267419874">
    <w:abstractNumId w:val="40"/>
  </w:num>
  <w:num w:numId="17" w16cid:durableId="1119683791">
    <w:abstractNumId w:val="19"/>
  </w:num>
  <w:num w:numId="18" w16cid:durableId="964430566">
    <w:abstractNumId w:val="17"/>
  </w:num>
  <w:num w:numId="19" w16cid:durableId="643580686">
    <w:abstractNumId w:val="37"/>
  </w:num>
  <w:num w:numId="20" w16cid:durableId="250314126">
    <w:abstractNumId w:val="22"/>
  </w:num>
  <w:num w:numId="21" w16cid:durableId="1559979604">
    <w:abstractNumId w:val="21"/>
  </w:num>
  <w:num w:numId="22" w16cid:durableId="1339650801">
    <w:abstractNumId w:val="9"/>
  </w:num>
  <w:num w:numId="23" w16cid:durableId="109328014">
    <w:abstractNumId w:val="23"/>
  </w:num>
  <w:num w:numId="24" w16cid:durableId="640114307">
    <w:abstractNumId w:val="24"/>
  </w:num>
  <w:num w:numId="25" w16cid:durableId="1156727716">
    <w:abstractNumId w:val="32"/>
  </w:num>
  <w:num w:numId="26" w16cid:durableId="89279810">
    <w:abstractNumId w:val="16"/>
  </w:num>
  <w:num w:numId="27" w16cid:durableId="1659993665">
    <w:abstractNumId w:val="31"/>
  </w:num>
  <w:num w:numId="28" w16cid:durableId="985401711">
    <w:abstractNumId w:val="11"/>
  </w:num>
  <w:num w:numId="29" w16cid:durableId="815028666">
    <w:abstractNumId w:val="38"/>
  </w:num>
  <w:num w:numId="30" w16cid:durableId="1629434839">
    <w:abstractNumId w:val="33"/>
  </w:num>
  <w:num w:numId="31" w16cid:durableId="1918591579">
    <w:abstractNumId w:val="26"/>
  </w:num>
  <w:num w:numId="32" w16cid:durableId="1695232536">
    <w:abstractNumId w:val="42"/>
  </w:num>
  <w:num w:numId="33" w16cid:durableId="1676034017">
    <w:abstractNumId w:val="44"/>
  </w:num>
  <w:num w:numId="34" w16cid:durableId="80680904">
    <w:abstractNumId w:val="12"/>
  </w:num>
  <w:num w:numId="35" w16cid:durableId="1702630649">
    <w:abstractNumId w:val="35"/>
  </w:num>
  <w:num w:numId="36" w16cid:durableId="1653679015">
    <w:abstractNumId w:val="43"/>
  </w:num>
  <w:num w:numId="37" w16cid:durableId="1236235028">
    <w:abstractNumId w:val="10"/>
  </w:num>
  <w:num w:numId="38" w16cid:durableId="2043089297">
    <w:abstractNumId w:val="20"/>
  </w:num>
  <w:num w:numId="39" w16cid:durableId="1944259167">
    <w:abstractNumId w:val="18"/>
  </w:num>
  <w:num w:numId="40" w16cid:durableId="1529442204">
    <w:abstractNumId w:val="13"/>
  </w:num>
  <w:num w:numId="41" w16cid:durableId="1495144113">
    <w:abstractNumId w:val="29"/>
  </w:num>
  <w:num w:numId="42" w16cid:durableId="770466275">
    <w:abstractNumId w:val="14"/>
  </w:num>
  <w:num w:numId="43" w16cid:durableId="1356035709">
    <w:abstractNumId w:val="34"/>
  </w:num>
  <w:num w:numId="44" w16cid:durableId="349767836">
    <w:abstractNumId w:val="45"/>
  </w:num>
  <w:num w:numId="45" w16cid:durableId="967659372">
    <w:abstractNumId w:val="15"/>
  </w:num>
  <w:num w:numId="46" w16cid:durableId="593057413">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142"/>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2sDA0srA0NzIxNjFW0lEKTi0uzszPAykwNKsFAPffKjItAAAA"/>
  </w:docVars>
  <w:rsids>
    <w:rsidRoot w:val="00D23817"/>
    <w:rsid w:val="00000274"/>
    <w:rsid w:val="000002CB"/>
    <w:rsid w:val="0000060C"/>
    <w:rsid w:val="00000848"/>
    <w:rsid w:val="00000C20"/>
    <w:rsid w:val="00001375"/>
    <w:rsid w:val="000013F8"/>
    <w:rsid w:val="000013F9"/>
    <w:rsid w:val="000015E7"/>
    <w:rsid w:val="00001689"/>
    <w:rsid w:val="00001B85"/>
    <w:rsid w:val="00001C1C"/>
    <w:rsid w:val="00001CB0"/>
    <w:rsid w:val="00001DA8"/>
    <w:rsid w:val="00002063"/>
    <w:rsid w:val="0000286E"/>
    <w:rsid w:val="00002EBE"/>
    <w:rsid w:val="0000311D"/>
    <w:rsid w:val="000031F6"/>
    <w:rsid w:val="0000337E"/>
    <w:rsid w:val="0000341E"/>
    <w:rsid w:val="00003766"/>
    <w:rsid w:val="00003924"/>
    <w:rsid w:val="00003E26"/>
    <w:rsid w:val="00003E3B"/>
    <w:rsid w:val="0000405A"/>
    <w:rsid w:val="0000465B"/>
    <w:rsid w:val="00004801"/>
    <w:rsid w:val="000049EE"/>
    <w:rsid w:val="00004FBB"/>
    <w:rsid w:val="000054BE"/>
    <w:rsid w:val="00005679"/>
    <w:rsid w:val="00005AC8"/>
    <w:rsid w:val="00005B1E"/>
    <w:rsid w:val="00005BF2"/>
    <w:rsid w:val="00005F85"/>
    <w:rsid w:val="00006017"/>
    <w:rsid w:val="0000618C"/>
    <w:rsid w:val="000065A5"/>
    <w:rsid w:val="000065E8"/>
    <w:rsid w:val="000065EC"/>
    <w:rsid w:val="000066C0"/>
    <w:rsid w:val="00006CA2"/>
    <w:rsid w:val="00006E5D"/>
    <w:rsid w:val="0000728C"/>
    <w:rsid w:val="000073ED"/>
    <w:rsid w:val="000075EB"/>
    <w:rsid w:val="0000774D"/>
    <w:rsid w:val="00007776"/>
    <w:rsid w:val="000078A0"/>
    <w:rsid w:val="00007C5E"/>
    <w:rsid w:val="00007DD8"/>
    <w:rsid w:val="0001013B"/>
    <w:rsid w:val="0001058D"/>
    <w:rsid w:val="00010A88"/>
    <w:rsid w:val="00010B84"/>
    <w:rsid w:val="00010FAA"/>
    <w:rsid w:val="000114A8"/>
    <w:rsid w:val="00011701"/>
    <w:rsid w:val="00011943"/>
    <w:rsid w:val="00011CE4"/>
    <w:rsid w:val="000128EA"/>
    <w:rsid w:val="00012A8C"/>
    <w:rsid w:val="00013138"/>
    <w:rsid w:val="00013686"/>
    <w:rsid w:val="00013945"/>
    <w:rsid w:val="00013965"/>
    <w:rsid w:val="00013AAC"/>
    <w:rsid w:val="00013DFC"/>
    <w:rsid w:val="00013E1B"/>
    <w:rsid w:val="00013EF8"/>
    <w:rsid w:val="0001415D"/>
    <w:rsid w:val="000142F7"/>
    <w:rsid w:val="00014351"/>
    <w:rsid w:val="00014B8D"/>
    <w:rsid w:val="00014DAD"/>
    <w:rsid w:val="00014FE5"/>
    <w:rsid w:val="0001522E"/>
    <w:rsid w:val="00015442"/>
    <w:rsid w:val="000156BE"/>
    <w:rsid w:val="00015787"/>
    <w:rsid w:val="0001594E"/>
    <w:rsid w:val="00015959"/>
    <w:rsid w:val="00015A9F"/>
    <w:rsid w:val="00015AA8"/>
    <w:rsid w:val="00015AA9"/>
    <w:rsid w:val="00015D8E"/>
    <w:rsid w:val="00015D98"/>
    <w:rsid w:val="00016599"/>
    <w:rsid w:val="000165C1"/>
    <w:rsid w:val="000166E4"/>
    <w:rsid w:val="000167F6"/>
    <w:rsid w:val="00016CE9"/>
    <w:rsid w:val="00016D36"/>
    <w:rsid w:val="00016D8F"/>
    <w:rsid w:val="00016EFF"/>
    <w:rsid w:val="000171DB"/>
    <w:rsid w:val="00017252"/>
    <w:rsid w:val="000176E6"/>
    <w:rsid w:val="00017777"/>
    <w:rsid w:val="00017971"/>
    <w:rsid w:val="000202E3"/>
    <w:rsid w:val="00020568"/>
    <w:rsid w:val="00020CC0"/>
    <w:rsid w:val="00020F76"/>
    <w:rsid w:val="0002117D"/>
    <w:rsid w:val="00021284"/>
    <w:rsid w:val="0002175D"/>
    <w:rsid w:val="000218BE"/>
    <w:rsid w:val="000218E1"/>
    <w:rsid w:val="00021B70"/>
    <w:rsid w:val="00021C36"/>
    <w:rsid w:val="00021F37"/>
    <w:rsid w:val="00022098"/>
    <w:rsid w:val="000220A7"/>
    <w:rsid w:val="000222F8"/>
    <w:rsid w:val="000224C1"/>
    <w:rsid w:val="000229EE"/>
    <w:rsid w:val="00022B6B"/>
    <w:rsid w:val="00022D72"/>
    <w:rsid w:val="0002326D"/>
    <w:rsid w:val="00023270"/>
    <w:rsid w:val="0002386E"/>
    <w:rsid w:val="000238E8"/>
    <w:rsid w:val="00023C71"/>
    <w:rsid w:val="00023CEF"/>
    <w:rsid w:val="00023D41"/>
    <w:rsid w:val="00023D88"/>
    <w:rsid w:val="0002404C"/>
    <w:rsid w:val="000248B4"/>
    <w:rsid w:val="00024BAB"/>
    <w:rsid w:val="00024F50"/>
    <w:rsid w:val="0002503F"/>
    <w:rsid w:val="00025293"/>
    <w:rsid w:val="000253A7"/>
    <w:rsid w:val="00025408"/>
    <w:rsid w:val="000256CD"/>
    <w:rsid w:val="00025862"/>
    <w:rsid w:val="00025C51"/>
    <w:rsid w:val="00025F4F"/>
    <w:rsid w:val="00026BAE"/>
    <w:rsid w:val="00026E6A"/>
    <w:rsid w:val="0002751F"/>
    <w:rsid w:val="0002771F"/>
    <w:rsid w:val="00027864"/>
    <w:rsid w:val="000302B3"/>
    <w:rsid w:val="0003034F"/>
    <w:rsid w:val="00030A60"/>
    <w:rsid w:val="00030C64"/>
    <w:rsid w:val="00030C8D"/>
    <w:rsid w:val="000310ED"/>
    <w:rsid w:val="00031145"/>
    <w:rsid w:val="00031251"/>
    <w:rsid w:val="000313E6"/>
    <w:rsid w:val="00031761"/>
    <w:rsid w:val="00031F23"/>
    <w:rsid w:val="0003200F"/>
    <w:rsid w:val="000323D3"/>
    <w:rsid w:val="0003268D"/>
    <w:rsid w:val="00032F5A"/>
    <w:rsid w:val="0003314C"/>
    <w:rsid w:val="00033261"/>
    <w:rsid w:val="000333BF"/>
    <w:rsid w:val="0003340C"/>
    <w:rsid w:val="0003378C"/>
    <w:rsid w:val="000337E2"/>
    <w:rsid w:val="00033AD1"/>
    <w:rsid w:val="00033D36"/>
    <w:rsid w:val="000347E7"/>
    <w:rsid w:val="0003494B"/>
    <w:rsid w:val="00034EB1"/>
    <w:rsid w:val="00036637"/>
    <w:rsid w:val="00036AC7"/>
    <w:rsid w:val="00036C86"/>
    <w:rsid w:val="00036EF6"/>
    <w:rsid w:val="00036F84"/>
    <w:rsid w:val="0003761B"/>
    <w:rsid w:val="00037636"/>
    <w:rsid w:val="00037902"/>
    <w:rsid w:val="00040290"/>
    <w:rsid w:val="000402C2"/>
    <w:rsid w:val="0004049C"/>
    <w:rsid w:val="00040576"/>
    <w:rsid w:val="000406EF"/>
    <w:rsid w:val="000408A4"/>
    <w:rsid w:val="00040C5C"/>
    <w:rsid w:val="00040DA6"/>
    <w:rsid w:val="00040E60"/>
    <w:rsid w:val="000410E1"/>
    <w:rsid w:val="0004127A"/>
    <w:rsid w:val="00041C51"/>
    <w:rsid w:val="00041FD8"/>
    <w:rsid w:val="000422F5"/>
    <w:rsid w:val="0004256A"/>
    <w:rsid w:val="0004267D"/>
    <w:rsid w:val="00042C06"/>
    <w:rsid w:val="00042C5C"/>
    <w:rsid w:val="00042D34"/>
    <w:rsid w:val="00042ED7"/>
    <w:rsid w:val="00043A18"/>
    <w:rsid w:val="00043B9D"/>
    <w:rsid w:val="00043C98"/>
    <w:rsid w:val="00044767"/>
    <w:rsid w:val="000448F5"/>
    <w:rsid w:val="000449BD"/>
    <w:rsid w:val="00045013"/>
    <w:rsid w:val="00045340"/>
    <w:rsid w:val="00045383"/>
    <w:rsid w:val="00045467"/>
    <w:rsid w:val="000454F9"/>
    <w:rsid w:val="0004567F"/>
    <w:rsid w:val="000457DB"/>
    <w:rsid w:val="00045AA7"/>
    <w:rsid w:val="0004610B"/>
    <w:rsid w:val="00046330"/>
    <w:rsid w:val="000465A6"/>
    <w:rsid w:val="0004667D"/>
    <w:rsid w:val="0004686B"/>
    <w:rsid w:val="000471C3"/>
    <w:rsid w:val="000473EA"/>
    <w:rsid w:val="0004741A"/>
    <w:rsid w:val="00047BA7"/>
    <w:rsid w:val="00047BAB"/>
    <w:rsid w:val="00047E47"/>
    <w:rsid w:val="00047F78"/>
    <w:rsid w:val="00047FF0"/>
    <w:rsid w:val="00050484"/>
    <w:rsid w:val="00050742"/>
    <w:rsid w:val="000508AA"/>
    <w:rsid w:val="00050A33"/>
    <w:rsid w:val="00050B3A"/>
    <w:rsid w:val="00050E5C"/>
    <w:rsid w:val="00050F25"/>
    <w:rsid w:val="00051353"/>
    <w:rsid w:val="000516F9"/>
    <w:rsid w:val="0005198F"/>
    <w:rsid w:val="00051A59"/>
    <w:rsid w:val="00051DC4"/>
    <w:rsid w:val="0005306F"/>
    <w:rsid w:val="000532D2"/>
    <w:rsid w:val="00053346"/>
    <w:rsid w:val="000533D6"/>
    <w:rsid w:val="000534CA"/>
    <w:rsid w:val="00053523"/>
    <w:rsid w:val="00053B8A"/>
    <w:rsid w:val="00053E9F"/>
    <w:rsid w:val="00054110"/>
    <w:rsid w:val="0005413C"/>
    <w:rsid w:val="000541C8"/>
    <w:rsid w:val="00054361"/>
    <w:rsid w:val="00054547"/>
    <w:rsid w:val="00054665"/>
    <w:rsid w:val="0005472E"/>
    <w:rsid w:val="00054840"/>
    <w:rsid w:val="00054A65"/>
    <w:rsid w:val="00054AA2"/>
    <w:rsid w:val="00054B33"/>
    <w:rsid w:val="00054B4E"/>
    <w:rsid w:val="000552D8"/>
    <w:rsid w:val="000553E0"/>
    <w:rsid w:val="000554B4"/>
    <w:rsid w:val="00055560"/>
    <w:rsid w:val="00055726"/>
    <w:rsid w:val="000559B2"/>
    <w:rsid w:val="00055A5D"/>
    <w:rsid w:val="00055C56"/>
    <w:rsid w:val="00055DE6"/>
    <w:rsid w:val="00055EB1"/>
    <w:rsid w:val="00055F02"/>
    <w:rsid w:val="0005649F"/>
    <w:rsid w:val="0005653F"/>
    <w:rsid w:val="00056AE3"/>
    <w:rsid w:val="00056E65"/>
    <w:rsid w:val="000572C6"/>
    <w:rsid w:val="00057980"/>
    <w:rsid w:val="00057B4A"/>
    <w:rsid w:val="00057CC7"/>
    <w:rsid w:val="000602EA"/>
    <w:rsid w:val="00060452"/>
    <w:rsid w:val="000606A7"/>
    <w:rsid w:val="000608EA"/>
    <w:rsid w:val="00060B41"/>
    <w:rsid w:val="00060CF0"/>
    <w:rsid w:val="00060D90"/>
    <w:rsid w:val="00060EAA"/>
    <w:rsid w:val="00061207"/>
    <w:rsid w:val="0006176A"/>
    <w:rsid w:val="000618A9"/>
    <w:rsid w:val="00061977"/>
    <w:rsid w:val="00061A76"/>
    <w:rsid w:val="00061B5A"/>
    <w:rsid w:val="00061F52"/>
    <w:rsid w:val="0006203F"/>
    <w:rsid w:val="000625CF"/>
    <w:rsid w:val="00062B12"/>
    <w:rsid w:val="00062DB4"/>
    <w:rsid w:val="00062F78"/>
    <w:rsid w:val="000631E8"/>
    <w:rsid w:val="000641C3"/>
    <w:rsid w:val="00064264"/>
    <w:rsid w:val="0006454B"/>
    <w:rsid w:val="000645DF"/>
    <w:rsid w:val="00064949"/>
    <w:rsid w:val="00064A2C"/>
    <w:rsid w:val="00064C0F"/>
    <w:rsid w:val="00064CC8"/>
    <w:rsid w:val="00064DD6"/>
    <w:rsid w:val="000650E6"/>
    <w:rsid w:val="00065672"/>
    <w:rsid w:val="00065A33"/>
    <w:rsid w:val="00065A9C"/>
    <w:rsid w:val="00065B8D"/>
    <w:rsid w:val="00065D54"/>
    <w:rsid w:val="000669A1"/>
    <w:rsid w:val="00066DD5"/>
    <w:rsid w:val="0006735D"/>
    <w:rsid w:val="00067545"/>
    <w:rsid w:val="000700B8"/>
    <w:rsid w:val="00070389"/>
    <w:rsid w:val="00070F6A"/>
    <w:rsid w:val="0007158B"/>
    <w:rsid w:val="0007175F"/>
    <w:rsid w:val="00071784"/>
    <w:rsid w:val="000717F6"/>
    <w:rsid w:val="00071E7F"/>
    <w:rsid w:val="00071F45"/>
    <w:rsid w:val="0007221C"/>
    <w:rsid w:val="0007223E"/>
    <w:rsid w:val="000728B6"/>
    <w:rsid w:val="00072B90"/>
    <w:rsid w:val="00072E7E"/>
    <w:rsid w:val="00072F0D"/>
    <w:rsid w:val="000732FD"/>
    <w:rsid w:val="00073302"/>
    <w:rsid w:val="000734DF"/>
    <w:rsid w:val="00073523"/>
    <w:rsid w:val="00073619"/>
    <w:rsid w:val="0007363A"/>
    <w:rsid w:val="00073685"/>
    <w:rsid w:val="000736A0"/>
    <w:rsid w:val="00073732"/>
    <w:rsid w:val="00073DD9"/>
    <w:rsid w:val="00073E1E"/>
    <w:rsid w:val="00073EE3"/>
    <w:rsid w:val="00073FC3"/>
    <w:rsid w:val="0007440D"/>
    <w:rsid w:val="00074989"/>
    <w:rsid w:val="00074B6C"/>
    <w:rsid w:val="00075069"/>
    <w:rsid w:val="000751AB"/>
    <w:rsid w:val="00075533"/>
    <w:rsid w:val="00075700"/>
    <w:rsid w:val="00075EE0"/>
    <w:rsid w:val="00075EEF"/>
    <w:rsid w:val="00075FA9"/>
    <w:rsid w:val="00076163"/>
    <w:rsid w:val="00076C93"/>
    <w:rsid w:val="000772B9"/>
    <w:rsid w:val="000772BB"/>
    <w:rsid w:val="0007769D"/>
    <w:rsid w:val="000776F3"/>
    <w:rsid w:val="00077785"/>
    <w:rsid w:val="00077806"/>
    <w:rsid w:val="00077F68"/>
    <w:rsid w:val="00080227"/>
    <w:rsid w:val="0008047D"/>
    <w:rsid w:val="00080546"/>
    <w:rsid w:val="00080556"/>
    <w:rsid w:val="0008062E"/>
    <w:rsid w:val="000806D0"/>
    <w:rsid w:val="00080AD5"/>
    <w:rsid w:val="00080EE5"/>
    <w:rsid w:val="0008117B"/>
    <w:rsid w:val="000812B6"/>
    <w:rsid w:val="000814F4"/>
    <w:rsid w:val="0008159B"/>
    <w:rsid w:val="0008173D"/>
    <w:rsid w:val="00081988"/>
    <w:rsid w:val="00081F94"/>
    <w:rsid w:val="000822B4"/>
    <w:rsid w:val="00082EB6"/>
    <w:rsid w:val="0008349B"/>
    <w:rsid w:val="00083CA8"/>
    <w:rsid w:val="00083CD3"/>
    <w:rsid w:val="00083D78"/>
    <w:rsid w:val="00083EEF"/>
    <w:rsid w:val="0008453C"/>
    <w:rsid w:val="000845B7"/>
    <w:rsid w:val="00084604"/>
    <w:rsid w:val="0008471A"/>
    <w:rsid w:val="0008490D"/>
    <w:rsid w:val="00085034"/>
    <w:rsid w:val="0008530E"/>
    <w:rsid w:val="00085386"/>
    <w:rsid w:val="000853B9"/>
    <w:rsid w:val="0008546A"/>
    <w:rsid w:val="000856EB"/>
    <w:rsid w:val="0008581F"/>
    <w:rsid w:val="000860C2"/>
    <w:rsid w:val="000861CC"/>
    <w:rsid w:val="000863F4"/>
    <w:rsid w:val="0008652C"/>
    <w:rsid w:val="0008695F"/>
    <w:rsid w:val="00086986"/>
    <w:rsid w:val="00086AA7"/>
    <w:rsid w:val="00087053"/>
    <w:rsid w:val="000870A9"/>
    <w:rsid w:val="0008715C"/>
    <w:rsid w:val="000872BE"/>
    <w:rsid w:val="00087FDE"/>
    <w:rsid w:val="000902E9"/>
    <w:rsid w:val="0009035E"/>
    <w:rsid w:val="000903D5"/>
    <w:rsid w:val="0009078D"/>
    <w:rsid w:val="000911C3"/>
    <w:rsid w:val="00091255"/>
    <w:rsid w:val="00091531"/>
    <w:rsid w:val="0009190C"/>
    <w:rsid w:val="00091C33"/>
    <w:rsid w:val="00091D83"/>
    <w:rsid w:val="00091E95"/>
    <w:rsid w:val="00092048"/>
    <w:rsid w:val="00092439"/>
    <w:rsid w:val="000924C1"/>
    <w:rsid w:val="00092670"/>
    <w:rsid w:val="000926B5"/>
    <w:rsid w:val="000929F9"/>
    <w:rsid w:val="00092DFF"/>
    <w:rsid w:val="00092F71"/>
    <w:rsid w:val="00093183"/>
    <w:rsid w:val="0009350E"/>
    <w:rsid w:val="00093C64"/>
    <w:rsid w:val="00093D66"/>
    <w:rsid w:val="000941AD"/>
    <w:rsid w:val="000942DF"/>
    <w:rsid w:val="00094326"/>
    <w:rsid w:val="000943CB"/>
    <w:rsid w:val="000947A4"/>
    <w:rsid w:val="00094BB9"/>
    <w:rsid w:val="00094E17"/>
    <w:rsid w:val="00094E66"/>
    <w:rsid w:val="0009515B"/>
    <w:rsid w:val="0009516E"/>
    <w:rsid w:val="00095713"/>
    <w:rsid w:val="00096331"/>
    <w:rsid w:val="00096551"/>
    <w:rsid w:val="00096A47"/>
    <w:rsid w:val="00096C92"/>
    <w:rsid w:val="00096CC9"/>
    <w:rsid w:val="00097218"/>
    <w:rsid w:val="00097499"/>
    <w:rsid w:val="000976CF"/>
    <w:rsid w:val="0009783F"/>
    <w:rsid w:val="00097B84"/>
    <w:rsid w:val="00097D01"/>
    <w:rsid w:val="000A0184"/>
    <w:rsid w:val="000A0462"/>
    <w:rsid w:val="000A0485"/>
    <w:rsid w:val="000A07BA"/>
    <w:rsid w:val="000A07F8"/>
    <w:rsid w:val="000A0966"/>
    <w:rsid w:val="000A0AC2"/>
    <w:rsid w:val="000A0D53"/>
    <w:rsid w:val="000A0E3B"/>
    <w:rsid w:val="000A10E5"/>
    <w:rsid w:val="000A189E"/>
    <w:rsid w:val="000A1A1B"/>
    <w:rsid w:val="000A1E19"/>
    <w:rsid w:val="000A2301"/>
    <w:rsid w:val="000A2975"/>
    <w:rsid w:val="000A2C87"/>
    <w:rsid w:val="000A30E3"/>
    <w:rsid w:val="000A4155"/>
    <w:rsid w:val="000A44F1"/>
    <w:rsid w:val="000A48D8"/>
    <w:rsid w:val="000A4912"/>
    <w:rsid w:val="000A4A15"/>
    <w:rsid w:val="000A4AAD"/>
    <w:rsid w:val="000A5002"/>
    <w:rsid w:val="000A5080"/>
    <w:rsid w:val="000A5167"/>
    <w:rsid w:val="000A5460"/>
    <w:rsid w:val="000A546D"/>
    <w:rsid w:val="000A562E"/>
    <w:rsid w:val="000A5666"/>
    <w:rsid w:val="000A6415"/>
    <w:rsid w:val="000A69B6"/>
    <w:rsid w:val="000A6B8B"/>
    <w:rsid w:val="000A6CB6"/>
    <w:rsid w:val="000A6CFC"/>
    <w:rsid w:val="000A744D"/>
    <w:rsid w:val="000A7AB2"/>
    <w:rsid w:val="000A7B44"/>
    <w:rsid w:val="000A7B8D"/>
    <w:rsid w:val="000A7EDE"/>
    <w:rsid w:val="000B12E7"/>
    <w:rsid w:val="000B1921"/>
    <w:rsid w:val="000B1B4D"/>
    <w:rsid w:val="000B1C84"/>
    <w:rsid w:val="000B1D73"/>
    <w:rsid w:val="000B1E6D"/>
    <w:rsid w:val="000B1F16"/>
    <w:rsid w:val="000B24E7"/>
    <w:rsid w:val="000B27B6"/>
    <w:rsid w:val="000B2DEF"/>
    <w:rsid w:val="000B322B"/>
    <w:rsid w:val="000B3570"/>
    <w:rsid w:val="000B35B5"/>
    <w:rsid w:val="000B3750"/>
    <w:rsid w:val="000B3804"/>
    <w:rsid w:val="000B3D04"/>
    <w:rsid w:val="000B3E11"/>
    <w:rsid w:val="000B3E25"/>
    <w:rsid w:val="000B409E"/>
    <w:rsid w:val="000B471E"/>
    <w:rsid w:val="000B4779"/>
    <w:rsid w:val="000B498F"/>
    <w:rsid w:val="000B4FB7"/>
    <w:rsid w:val="000B5117"/>
    <w:rsid w:val="000B5135"/>
    <w:rsid w:val="000B565C"/>
    <w:rsid w:val="000B5AFF"/>
    <w:rsid w:val="000B5BA7"/>
    <w:rsid w:val="000B5BD1"/>
    <w:rsid w:val="000B5BE5"/>
    <w:rsid w:val="000B5D0A"/>
    <w:rsid w:val="000B5D10"/>
    <w:rsid w:val="000B6036"/>
    <w:rsid w:val="000B64A8"/>
    <w:rsid w:val="000B6ADF"/>
    <w:rsid w:val="000B71BB"/>
    <w:rsid w:val="000B750F"/>
    <w:rsid w:val="000B79BE"/>
    <w:rsid w:val="000B7BA3"/>
    <w:rsid w:val="000B7D33"/>
    <w:rsid w:val="000B7E24"/>
    <w:rsid w:val="000C006F"/>
    <w:rsid w:val="000C0177"/>
    <w:rsid w:val="000C0510"/>
    <w:rsid w:val="000C0D5D"/>
    <w:rsid w:val="000C17FF"/>
    <w:rsid w:val="000C1942"/>
    <w:rsid w:val="000C1D87"/>
    <w:rsid w:val="000C232A"/>
    <w:rsid w:val="000C247C"/>
    <w:rsid w:val="000C252C"/>
    <w:rsid w:val="000C259C"/>
    <w:rsid w:val="000C2B62"/>
    <w:rsid w:val="000C2CD0"/>
    <w:rsid w:val="000C2E0B"/>
    <w:rsid w:val="000C2F3E"/>
    <w:rsid w:val="000C3248"/>
    <w:rsid w:val="000C333E"/>
    <w:rsid w:val="000C35FE"/>
    <w:rsid w:val="000C36EF"/>
    <w:rsid w:val="000C3E25"/>
    <w:rsid w:val="000C3F8B"/>
    <w:rsid w:val="000C3FE2"/>
    <w:rsid w:val="000C4098"/>
    <w:rsid w:val="000C412E"/>
    <w:rsid w:val="000C41F7"/>
    <w:rsid w:val="000C4497"/>
    <w:rsid w:val="000C4651"/>
    <w:rsid w:val="000C4DF7"/>
    <w:rsid w:val="000C5181"/>
    <w:rsid w:val="000C54AE"/>
    <w:rsid w:val="000C5C09"/>
    <w:rsid w:val="000C5CF4"/>
    <w:rsid w:val="000C5F89"/>
    <w:rsid w:val="000C61AB"/>
    <w:rsid w:val="000C6891"/>
    <w:rsid w:val="000C6B98"/>
    <w:rsid w:val="000C6DFE"/>
    <w:rsid w:val="000C6FF7"/>
    <w:rsid w:val="000C72E1"/>
    <w:rsid w:val="000C731C"/>
    <w:rsid w:val="000C757A"/>
    <w:rsid w:val="000C780D"/>
    <w:rsid w:val="000D0250"/>
    <w:rsid w:val="000D0852"/>
    <w:rsid w:val="000D0B81"/>
    <w:rsid w:val="000D0D25"/>
    <w:rsid w:val="000D12F8"/>
    <w:rsid w:val="000D15E2"/>
    <w:rsid w:val="000D180C"/>
    <w:rsid w:val="000D1A25"/>
    <w:rsid w:val="000D231A"/>
    <w:rsid w:val="000D2AEF"/>
    <w:rsid w:val="000D36B2"/>
    <w:rsid w:val="000D3761"/>
    <w:rsid w:val="000D3C6A"/>
    <w:rsid w:val="000D3DBF"/>
    <w:rsid w:val="000D436C"/>
    <w:rsid w:val="000D4482"/>
    <w:rsid w:val="000D4972"/>
    <w:rsid w:val="000D4D76"/>
    <w:rsid w:val="000D5297"/>
    <w:rsid w:val="000D56D8"/>
    <w:rsid w:val="000D56EE"/>
    <w:rsid w:val="000D5986"/>
    <w:rsid w:val="000D6068"/>
    <w:rsid w:val="000D631E"/>
    <w:rsid w:val="000D666B"/>
    <w:rsid w:val="000D67E8"/>
    <w:rsid w:val="000D67FD"/>
    <w:rsid w:val="000D6830"/>
    <w:rsid w:val="000D6889"/>
    <w:rsid w:val="000D697B"/>
    <w:rsid w:val="000D6C23"/>
    <w:rsid w:val="000D715B"/>
    <w:rsid w:val="000D718F"/>
    <w:rsid w:val="000D71AD"/>
    <w:rsid w:val="000D7288"/>
    <w:rsid w:val="000D743D"/>
    <w:rsid w:val="000D7EBE"/>
    <w:rsid w:val="000E013B"/>
    <w:rsid w:val="000E0225"/>
    <w:rsid w:val="000E070E"/>
    <w:rsid w:val="000E0A6A"/>
    <w:rsid w:val="000E0B03"/>
    <w:rsid w:val="000E0CEA"/>
    <w:rsid w:val="000E0D25"/>
    <w:rsid w:val="000E1210"/>
    <w:rsid w:val="000E16CA"/>
    <w:rsid w:val="000E16D2"/>
    <w:rsid w:val="000E1B7E"/>
    <w:rsid w:val="000E1CB2"/>
    <w:rsid w:val="000E1FE1"/>
    <w:rsid w:val="000E23D4"/>
    <w:rsid w:val="000E24AC"/>
    <w:rsid w:val="000E26A3"/>
    <w:rsid w:val="000E28EF"/>
    <w:rsid w:val="000E29D1"/>
    <w:rsid w:val="000E3003"/>
    <w:rsid w:val="000E37DD"/>
    <w:rsid w:val="000E3A43"/>
    <w:rsid w:val="000E3B53"/>
    <w:rsid w:val="000E3FE5"/>
    <w:rsid w:val="000E416C"/>
    <w:rsid w:val="000E50EE"/>
    <w:rsid w:val="000E5301"/>
    <w:rsid w:val="000E6285"/>
    <w:rsid w:val="000E633E"/>
    <w:rsid w:val="000E661A"/>
    <w:rsid w:val="000E6C91"/>
    <w:rsid w:val="000E700D"/>
    <w:rsid w:val="000E7190"/>
    <w:rsid w:val="000E7412"/>
    <w:rsid w:val="000E75EF"/>
    <w:rsid w:val="000E77E0"/>
    <w:rsid w:val="000E7CC4"/>
    <w:rsid w:val="000E7F6B"/>
    <w:rsid w:val="000E7FC1"/>
    <w:rsid w:val="000F01BD"/>
    <w:rsid w:val="000F0610"/>
    <w:rsid w:val="000F085F"/>
    <w:rsid w:val="000F0934"/>
    <w:rsid w:val="000F09BB"/>
    <w:rsid w:val="000F0C1A"/>
    <w:rsid w:val="000F0D54"/>
    <w:rsid w:val="000F1584"/>
    <w:rsid w:val="000F16FB"/>
    <w:rsid w:val="000F1718"/>
    <w:rsid w:val="000F172B"/>
    <w:rsid w:val="000F18B0"/>
    <w:rsid w:val="000F1D71"/>
    <w:rsid w:val="000F1EA2"/>
    <w:rsid w:val="000F2483"/>
    <w:rsid w:val="000F27C7"/>
    <w:rsid w:val="000F3306"/>
    <w:rsid w:val="000F3664"/>
    <w:rsid w:val="000F38F5"/>
    <w:rsid w:val="000F4755"/>
    <w:rsid w:val="000F475F"/>
    <w:rsid w:val="000F4C49"/>
    <w:rsid w:val="000F54C6"/>
    <w:rsid w:val="000F55FA"/>
    <w:rsid w:val="000F5723"/>
    <w:rsid w:val="000F59F6"/>
    <w:rsid w:val="000F5D03"/>
    <w:rsid w:val="000F5D6A"/>
    <w:rsid w:val="000F6300"/>
    <w:rsid w:val="000F6A9C"/>
    <w:rsid w:val="000F6ED2"/>
    <w:rsid w:val="000F7014"/>
    <w:rsid w:val="000F72AD"/>
    <w:rsid w:val="000F7477"/>
    <w:rsid w:val="000F795A"/>
    <w:rsid w:val="000F7E9E"/>
    <w:rsid w:val="000F7F9C"/>
    <w:rsid w:val="001006AD"/>
    <w:rsid w:val="00100732"/>
    <w:rsid w:val="00100BEA"/>
    <w:rsid w:val="00100D71"/>
    <w:rsid w:val="00100D88"/>
    <w:rsid w:val="001012D3"/>
    <w:rsid w:val="001015B3"/>
    <w:rsid w:val="001016D1"/>
    <w:rsid w:val="001019C6"/>
    <w:rsid w:val="00101EFE"/>
    <w:rsid w:val="001020B5"/>
    <w:rsid w:val="00102998"/>
    <w:rsid w:val="00102E89"/>
    <w:rsid w:val="00103440"/>
    <w:rsid w:val="001038F0"/>
    <w:rsid w:val="00103AE9"/>
    <w:rsid w:val="00103D74"/>
    <w:rsid w:val="0010453B"/>
    <w:rsid w:val="00104B57"/>
    <w:rsid w:val="001055DB"/>
    <w:rsid w:val="00105B81"/>
    <w:rsid w:val="00105DFA"/>
    <w:rsid w:val="00105E14"/>
    <w:rsid w:val="00106789"/>
    <w:rsid w:val="00106BCE"/>
    <w:rsid w:val="00106BF6"/>
    <w:rsid w:val="00107193"/>
    <w:rsid w:val="0010720F"/>
    <w:rsid w:val="0010723E"/>
    <w:rsid w:val="001077DA"/>
    <w:rsid w:val="00107C5C"/>
    <w:rsid w:val="00107C89"/>
    <w:rsid w:val="00107E82"/>
    <w:rsid w:val="00107EBB"/>
    <w:rsid w:val="00110316"/>
    <w:rsid w:val="001109ED"/>
    <w:rsid w:val="00110F16"/>
    <w:rsid w:val="00110F39"/>
    <w:rsid w:val="00110F49"/>
    <w:rsid w:val="0011104A"/>
    <w:rsid w:val="001111A5"/>
    <w:rsid w:val="001116C8"/>
    <w:rsid w:val="001119D7"/>
    <w:rsid w:val="0011214D"/>
    <w:rsid w:val="00112338"/>
    <w:rsid w:val="00112687"/>
    <w:rsid w:val="001127A6"/>
    <w:rsid w:val="00112976"/>
    <w:rsid w:val="00112A81"/>
    <w:rsid w:val="00113444"/>
    <w:rsid w:val="001135D2"/>
    <w:rsid w:val="00113C11"/>
    <w:rsid w:val="00113E02"/>
    <w:rsid w:val="00113EEE"/>
    <w:rsid w:val="00114071"/>
    <w:rsid w:val="00114467"/>
    <w:rsid w:val="001144B2"/>
    <w:rsid w:val="00114517"/>
    <w:rsid w:val="00114531"/>
    <w:rsid w:val="00114A3A"/>
    <w:rsid w:val="00114FD4"/>
    <w:rsid w:val="00115064"/>
    <w:rsid w:val="00115364"/>
    <w:rsid w:val="001155F9"/>
    <w:rsid w:val="0011579E"/>
    <w:rsid w:val="00115ED2"/>
    <w:rsid w:val="00115F7D"/>
    <w:rsid w:val="00116062"/>
    <w:rsid w:val="00116338"/>
    <w:rsid w:val="001163EA"/>
    <w:rsid w:val="001163F1"/>
    <w:rsid w:val="001165DD"/>
    <w:rsid w:val="001167AB"/>
    <w:rsid w:val="001169B5"/>
    <w:rsid w:val="00116AA2"/>
    <w:rsid w:val="0011705B"/>
    <w:rsid w:val="0011732F"/>
    <w:rsid w:val="0011745E"/>
    <w:rsid w:val="00117583"/>
    <w:rsid w:val="0011784B"/>
    <w:rsid w:val="00117B48"/>
    <w:rsid w:val="00117EB3"/>
    <w:rsid w:val="001200CB"/>
    <w:rsid w:val="00120288"/>
    <w:rsid w:val="001203CF"/>
    <w:rsid w:val="00120548"/>
    <w:rsid w:val="00120857"/>
    <w:rsid w:val="00120AC0"/>
    <w:rsid w:val="00121221"/>
    <w:rsid w:val="001215F6"/>
    <w:rsid w:val="0012171C"/>
    <w:rsid w:val="00121EDF"/>
    <w:rsid w:val="00121F04"/>
    <w:rsid w:val="00122258"/>
    <w:rsid w:val="001224D4"/>
    <w:rsid w:val="00122625"/>
    <w:rsid w:val="00122766"/>
    <w:rsid w:val="00122803"/>
    <w:rsid w:val="00122B5E"/>
    <w:rsid w:val="00122FF8"/>
    <w:rsid w:val="00123C9C"/>
    <w:rsid w:val="00123CD1"/>
    <w:rsid w:val="00124183"/>
    <w:rsid w:val="00124B91"/>
    <w:rsid w:val="00124DF3"/>
    <w:rsid w:val="00124F07"/>
    <w:rsid w:val="00124FDD"/>
    <w:rsid w:val="00125414"/>
    <w:rsid w:val="001254CC"/>
    <w:rsid w:val="001257AA"/>
    <w:rsid w:val="00125943"/>
    <w:rsid w:val="001259C5"/>
    <w:rsid w:val="001260B4"/>
    <w:rsid w:val="001260C3"/>
    <w:rsid w:val="0012658A"/>
    <w:rsid w:val="0012671A"/>
    <w:rsid w:val="0012696B"/>
    <w:rsid w:val="00126DD0"/>
    <w:rsid w:val="00126FC7"/>
    <w:rsid w:val="00127457"/>
    <w:rsid w:val="00127460"/>
    <w:rsid w:val="00127655"/>
    <w:rsid w:val="00127BCC"/>
    <w:rsid w:val="00127ED3"/>
    <w:rsid w:val="001304D7"/>
    <w:rsid w:val="0013055F"/>
    <w:rsid w:val="0013074D"/>
    <w:rsid w:val="0013087A"/>
    <w:rsid w:val="00130B1E"/>
    <w:rsid w:val="0013130A"/>
    <w:rsid w:val="001315E9"/>
    <w:rsid w:val="00131BBA"/>
    <w:rsid w:val="0013200C"/>
    <w:rsid w:val="001322D5"/>
    <w:rsid w:val="00132F21"/>
    <w:rsid w:val="00133319"/>
    <w:rsid w:val="00133348"/>
    <w:rsid w:val="00133C07"/>
    <w:rsid w:val="0013419A"/>
    <w:rsid w:val="001344CC"/>
    <w:rsid w:val="00134519"/>
    <w:rsid w:val="00134A41"/>
    <w:rsid w:val="00134CD6"/>
    <w:rsid w:val="00134E62"/>
    <w:rsid w:val="0013503E"/>
    <w:rsid w:val="00135074"/>
    <w:rsid w:val="001352CE"/>
    <w:rsid w:val="001355A2"/>
    <w:rsid w:val="00135640"/>
    <w:rsid w:val="001357E8"/>
    <w:rsid w:val="00135841"/>
    <w:rsid w:val="00135BD8"/>
    <w:rsid w:val="001369E4"/>
    <w:rsid w:val="00136C14"/>
    <w:rsid w:val="00136E79"/>
    <w:rsid w:val="00136EB1"/>
    <w:rsid w:val="00136FAE"/>
    <w:rsid w:val="0013701A"/>
    <w:rsid w:val="001376F1"/>
    <w:rsid w:val="00137786"/>
    <w:rsid w:val="00137B9B"/>
    <w:rsid w:val="00137C22"/>
    <w:rsid w:val="0014004C"/>
    <w:rsid w:val="001402A4"/>
    <w:rsid w:val="001403FB"/>
    <w:rsid w:val="0014049E"/>
    <w:rsid w:val="0014114F"/>
    <w:rsid w:val="0014121B"/>
    <w:rsid w:val="001413D5"/>
    <w:rsid w:val="00141607"/>
    <w:rsid w:val="0014181A"/>
    <w:rsid w:val="0014195E"/>
    <w:rsid w:val="00141BC1"/>
    <w:rsid w:val="00141E88"/>
    <w:rsid w:val="00141F3C"/>
    <w:rsid w:val="00142024"/>
    <w:rsid w:val="00142517"/>
    <w:rsid w:val="00142638"/>
    <w:rsid w:val="00142CF7"/>
    <w:rsid w:val="00142D24"/>
    <w:rsid w:val="00142EA9"/>
    <w:rsid w:val="0014313F"/>
    <w:rsid w:val="0014346F"/>
    <w:rsid w:val="001436AB"/>
    <w:rsid w:val="00143A9D"/>
    <w:rsid w:val="00143CCC"/>
    <w:rsid w:val="001440EC"/>
    <w:rsid w:val="001446FB"/>
    <w:rsid w:val="00144C4A"/>
    <w:rsid w:val="00145275"/>
    <w:rsid w:val="00145552"/>
    <w:rsid w:val="00145C42"/>
    <w:rsid w:val="00145CA6"/>
    <w:rsid w:val="00146454"/>
    <w:rsid w:val="001468D3"/>
    <w:rsid w:val="00146F8F"/>
    <w:rsid w:val="00147186"/>
    <w:rsid w:val="0014729B"/>
    <w:rsid w:val="00147440"/>
    <w:rsid w:val="00147741"/>
    <w:rsid w:val="00147CEC"/>
    <w:rsid w:val="00147CF0"/>
    <w:rsid w:val="00147D42"/>
    <w:rsid w:val="00147E89"/>
    <w:rsid w:val="00147EEF"/>
    <w:rsid w:val="001501C7"/>
    <w:rsid w:val="00150397"/>
    <w:rsid w:val="00150491"/>
    <w:rsid w:val="00150585"/>
    <w:rsid w:val="00150A2F"/>
    <w:rsid w:val="00150A5B"/>
    <w:rsid w:val="00150D96"/>
    <w:rsid w:val="00150F32"/>
    <w:rsid w:val="00150F74"/>
    <w:rsid w:val="00151020"/>
    <w:rsid w:val="0015129F"/>
    <w:rsid w:val="001515D3"/>
    <w:rsid w:val="00151616"/>
    <w:rsid w:val="00151878"/>
    <w:rsid w:val="00151EBE"/>
    <w:rsid w:val="00151FC1"/>
    <w:rsid w:val="0015225E"/>
    <w:rsid w:val="001524BC"/>
    <w:rsid w:val="0015274B"/>
    <w:rsid w:val="001527FD"/>
    <w:rsid w:val="00152E59"/>
    <w:rsid w:val="00152ED8"/>
    <w:rsid w:val="00153335"/>
    <w:rsid w:val="00153738"/>
    <w:rsid w:val="00153A4B"/>
    <w:rsid w:val="00153C05"/>
    <w:rsid w:val="00154487"/>
    <w:rsid w:val="00154520"/>
    <w:rsid w:val="0015486C"/>
    <w:rsid w:val="001548F0"/>
    <w:rsid w:val="001549D4"/>
    <w:rsid w:val="00154F54"/>
    <w:rsid w:val="00154F9D"/>
    <w:rsid w:val="00155108"/>
    <w:rsid w:val="00155CD1"/>
    <w:rsid w:val="00155D22"/>
    <w:rsid w:val="00155E88"/>
    <w:rsid w:val="001566DC"/>
    <w:rsid w:val="00156ECE"/>
    <w:rsid w:val="0015706E"/>
    <w:rsid w:val="001571EB"/>
    <w:rsid w:val="00157269"/>
    <w:rsid w:val="00157411"/>
    <w:rsid w:val="00157A37"/>
    <w:rsid w:val="00157B9C"/>
    <w:rsid w:val="00157E12"/>
    <w:rsid w:val="00157EA6"/>
    <w:rsid w:val="00157F8C"/>
    <w:rsid w:val="00160B01"/>
    <w:rsid w:val="00160DEF"/>
    <w:rsid w:val="001612AD"/>
    <w:rsid w:val="0016134F"/>
    <w:rsid w:val="001618CC"/>
    <w:rsid w:val="00162168"/>
    <w:rsid w:val="0016216A"/>
    <w:rsid w:val="001622ED"/>
    <w:rsid w:val="0016281F"/>
    <w:rsid w:val="00163283"/>
    <w:rsid w:val="0016328F"/>
    <w:rsid w:val="00163322"/>
    <w:rsid w:val="00163746"/>
    <w:rsid w:val="00163DB6"/>
    <w:rsid w:val="00163E01"/>
    <w:rsid w:val="001643A6"/>
    <w:rsid w:val="00164C47"/>
    <w:rsid w:val="00164CE7"/>
    <w:rsid w:val="00165016"/>
    <w:rsid w:val="00165074"/>
    <w:rsid w:val="001650EB"/>
    <w:rsid w:val="001658A4"/>
    <w:rsid w:val="00165949"/>
    <w:rsid w:val="00165C09"/>
    <w:rsid w:val="00165C27"/>
    <w:rsid w:val="00166034"/>
    <w:rsid w:val="0016638D"/>
    <w:rsid w:val="001663B3"/>
    <w:rsid w:val="00166740"/>
    <w:rsid w:val="0016687C"/>
    <w:rsid w:val="00166B67"/>
    <w:rsid w:val="00166BE4"/>
    <w:rsid w:val="00166D8E"/>
    <w:rsid w:val="001678E4"/>
    <w:rsid w:val="00167A4B"/>
    <w:rsid w:val="00167A4D"/>
    <w:rsid w:val="00167DC3"/>
    <w:rsid w:val="00167EDB"/>
    <w:rsid w:val="0017008C"/>
    <w:rsid w:val="00170169"/>
    <w:rsid w:val="00170676"/>
    <w:rsid w:val="001706B5"/>
    <w:rsid w:val="00170884"/>
    <w:rsid w:val="00170EF9"/>
    <w:rsid w:val="00170F8C"/>
    <w:rsid w:val="00171052"/>
    <w:rsid w:val="00171352"/>
    <w:rsid w:val="00171353"/>
    <w:rsid w:val="001715CE"/>
    <w:rsid w:val="0017198E"/>
    <w:rsid w:val="00172058"/>
    <w:rsid w:val="00172372"/>
    <w:rsid w:val="0017299A"/>
    <w:rsid w:val="00172F12"/>
    <w:rsid w:val="001734E0"/>
    <w:rsid w:val="0017376B"/>
    <w:rsid w:val="001739FA"/>
    <w:rsid w:val="00173F5F"/>
    <w:rsid w:val="00173F82"/>
    <w:rsid w:val="00174256"/>
    <w:rsid w:val="00174374"/>
    <w:rsid w:val="00174436"/>
    <w:rsid w:val="001745CC"/>
    <w:rsid w:val="001746FA"/>
    <w:rsid w:val="00174C13"/>
    <w:rsid w:val="00174C15"/>
    <w:rsid w:val="00174D04"/>
    <w:rsid w:val="00174D4E"/>
    <w:rsid w:val="00174EC8"/>
    <w:rsid w:val="001750A6"/>
    <w:rsid w:val="00175746"/>
    <w:rsid w:val="00175CB2"/>
    <w:rsid w:val="00176374"/>
    <w:rsid w:val="00176536"/>
    <w:rsid w:val="00177622"/>
    <w:rsid w:val="001776E7"/>
    <w:rsid w:val="001779C6"/>
    <w:rsid w:val="00177C00"/>
    <w:rsid w:val="00177E0A"/>
    <w:rsid w:val="0018064B"/>
    <w:rsid w:val="0018083F"/>
    <w:rsid w:val="00180AC8"/>
    <w:rsid w:val="00180D94"/>
    <w:rsid w:val="001814F2"/>
    <w:rsid w:val="00181C29"/>
    <w:rsid w:val="00181D8F"/>
    <w:rsid w:val="00181F66"/>
    <w:rsid w:val="00182653"/>
    <w:rsid w:val="00182B65"/>
    <w:rsid w:val="00182D39"/>
    <w:rsid w:val="0018348F"/>
    <w:rsid w:val="00183576"/>
    <w:rsid w:val="001837AB"/>
    <w:rsid w:val="001839A4"/>
    <w:rsid w:val="00183A7C"/>
    <w:rsid w:val="00183AED"/>
    <w:rsid w:val="00183CEC"/>
    <w:rsid w:val="00183FFA"/>
    <w:rsid w:val="001845EA"/>
    <w:rsid w:val="0018483F"/>
    <w:rsid w:val="00184998"/>
    <w:rsid w:val="00184ACF"/>
    <w:rsid w:val="00184B58"/>
    <w:rsid w:val="00184C3A"/>
    <w:rsid w:val="0018511C"/>
    <w:rsid w:val="001851A0"/>
    <w:rsid w:val="001851E1"/>
    <w:rsid w:val="00185957"/>
    <w:rsid w:val="00185FBD"/>
    <w:rsid w:val="00185FE6"/>
    <w:rsid w:val="0018696A"/>
    <w:rsid w:val="00186AC2"/>
    <w:rsid w:val="00186B9A"/>
    <w:rsid w:val="001870E9"/>
    <w:rsid w:val="00187377"/>
    <w:rsid w:val="0018779D"/>
    <w:rsid w:val="001877CE"/>
    <w:rsid w:val="0018794C"/>
    <w:rsid w:val="00187E4E"/>
    <w:rsid w:val="00187EED"/>
    <w:rsid w:val="0019038A"/>
    <w:rsid w:val="00190AB8"/>
    <w:rsid w:val="00190AD7"/>
    <w:rsid w:val="00190BA4"/>
    <w:rsid w:val="00190BF1"/>
    <w:rsid w:val="00190FA2"/>
    <w:rsid w:val="001911BB"/>
    <w:rsid w:val="001911FA"/>
    <w:rsid w:val="001916F9"/>
    <w:rsid w:val="001917AB"/>
    <w:rsid w:val="0019197A"/>
    <w:rsid w:val="00191CB8"/>
    <w:rsid w:val="0019201B"/>
    <w:rsid w:val="0019220C"/>
    <w:rsid w:val="001926EE"/>
    <w:rsid w:val="0019313A"/>
    <w:rsid w:val="00193400"/>
    <w:rsid w:val="001937C9"/>
    <w:rsid w:val="001938FA"/>
    <w:rsid w:val="00193ECD"/>
    <w:rsid w:val="00193F93"/>
    <w:rsid w:val="00194596"/>
    <w:rsid w:val="0019477E"/>
    <w:rsid w:val="00194A5E"/>
    <w:rsid w:val="00194DCC"/>
    <w:rsid w:val="001953FD"/>
    <w:rsid w:val="001954EF"/>
    <w:rsid w:val="001956EE"/>
    <w:rsid w:val="001958D4"/>
    <w:rsid w:val="0019592B"/>
    <w:rsid w:val="00195F8A"/>
    <w:rsid w:val="001962F0"/>
    <w:rsid w:val="00196423"/>
    <w:rsid w:val="00196447"/>
    <w:rsid w:val="00196B2C"/>
    <w:rsid w:val="00196EA9"/>
    <w:rsid w:val="00196EDE"/>
    <w:rsid w:val="00197405"/>
    <w:rsid w:val="001974F5"/>
    <w:rsid w:val="0019760A"/>
    <w:rsid w:val="00197787"/>
    <w:rsid w:val="001979F2"/>
    <w:rsid w:val="00197A70"/>
    <w:rsid w:val="00197AD5"/>
    <w:rsid w:val="00197DE5"/>
    <w:rsid w:val="001A006C"/>
    <w:rsid w:val="001A0129"/>
    <w:rsid w:val="001A06ED"/>
    <w:rsid w:val="001A0AD2"/>
    <w:rsid w:val="001A0D49"/>
    <w:rsid w:val="001A0F2D"/>
    <w:rsid w:val="001A1082"/>
    <w:rsid w:val="001A1815"/>
    <w:rsid w:val="001A2464"/>
    <w:rsid w:val="001A308E"/>
    <w:rsid w:val="001A339D"/>
    <w:rsid w:val="001A3446"/>
    <w:rsid w:val="001A3577"/>
    <w:rsid w:val="001A35E5"/>
    <w:rsid w:val="001A39B1"/>
    <w:rsid w:val="001A3E5D"/>
    <w:rsid w:val="001A3F2D"/>
    <w:rsid w:val="001A4052"/>
    <w:rsid w:val="001A41BB"/>
    <w:rsid w:val="001A463C"/>
    <w:rsid w:val="001A49A5"/>
    <w:rsid w:val="001A4FD3"/>
    <w:rsid w:val="001A50F6"/>
    <w:rsid w:val="001A520A"/>
    <w:rsid w:val="001A52E5"/>
    <w:rsid w:val="001A5487"/>
    <w:rsid w:val="001A55F6"/>
    <w:rsid w:val="001A5723"/>
    <w:rsid w:val="001A585D"/>
    <w:rsid w:val="001A5B82"/>
    <w:rsid w:val="001A65C0"/>
    <w:rsid w:val="001A68EF"/>
    <w:rsid w:val="001A6E62"/>
    <w:rsid w:val="001A6EE4"/>
    <w:rsid w:val="001A7377"/>
    <w:rsid w:val="001A7487"/>
    <w:rsid w:val="001A7B11"/>
    <w:rsid w:val="001A7B52"/>
    <w:rsid w:val="001A7CA7"/>
    <w:rsid w:val="001A7E63"/>
    <w:rsid w:val="001A7FA1"/>
    <w:rsid w:val="001B014E"/>
    <w:rsid w:val="001B0582"/>
    <w:rsid w:val="001B0644"/>
    <w:rsid w:val="001B06E3"/>
    <w:rsid w:val="001B08F7"/>
    <w:rsid w:val="001B105B"/>
    <w:rsid w:val="001B114C"/>
    <w:rsid w:val="001B11C8"/>
    <w:rsid w:val="001B1841"/>
    <w:rsid w:val="001B18FA"/>
    <w:rsid w:val="001B1E93"/>
    <w:rsid w:val="001B1EE1"/>
    <w:rsid w:val="001B1F1C"/>
    <w:rsid w:val="001B2073"/>
    <w:rsid w:val="001B22F0"/>
    <w:rsid w:val="001B238F"/>
    <w:rsid w:val="001B27C7"/>
    <w:rsid w:val="001B28F5"/>
    <w:rsid w:val="001B2A24"/>
    <w:rsid w:val="001B2AA0"/>
    <w:rsid w:val="001B2DC7"/>
    <w:rsid w:val="001B2F72"/>
    <w:rsid w:val="001B2F78"/>
    <w:rsid w:val="001B327B"/>
    <w:rsid w:val="001B374D"/>
    <w:rsid w:val="001B39F6"/>
    <w:rsid w:val="001B3A28"/>
    <w:rsid w:val="001B3A4A"/>
    <w:rsid w:val="001B47EE"/>
    <w:rsid w:val="001B4A91"/>
    <w:rsid w:val="001B4C76"/>
    <w:rsid w:val="001B4CC1"/>
    <w:rsid w:val="001B4DDF"/>
    <w:rsid w:val="001B4E85"/>
    <w:rsid w:val="001B5309"/>
    <w:rsid w:val="001B5D9E"/>
    <w:rsid w:val="001B5FFC"/>
    <w:rsid w:val="001B60C2"/>
    <w:rsid w:val="001B6248"/>
    <w:rsid w:val="001B6402"/>
    <w:rsid w:val="001B653C"/>
    <w:rsid w:val="001B68C5"/>
    <w:rsid w:val="001B6927"/>
    <w:rsid w:val="001B6C8C"/>
    <w:rsid w:val="001B6E93"/>
    <w:rsid w:val="001B727B"/>
    <w:rsid w:val="001B7716"/>
    <w:rsid w:val="001B7A57"/>
    <w:rsid w:val="001B7A96"/>
    <w:rsid w:val="001B7BF0"/>
    <w:rsid w:val="001C01C7"/>
    <w:rsid w:val="001C0756"/>
    <w:rsid w:val="001C0B76"/>
    <w:rsid w:val="001C0BD6"/>
    <w:rsid w:val="001C0E68"/>
    <w:rsid w:val="001C0EFB"/>
    <w:rsid w:val="001C120B"/>
    <w:rsid w:val="001C15AC"/>
    <w:rsid w:val="001C1624"/>
    <w:rsid w:val="001C17CF"/>
    <w:rsid w:val="001C1949"/>
    <w:rsid w:val="001C249B"/>
    <w:rsid w:val="001C2636"/>
    <w:rsid w:val="001C2B9D"/>
    <w:rsid w:val="001C2FEC"/>
    <w:rsid w:val="001C343E"/>
    <w:rsid w:val="001C34F1"/>
    <w:rsid w:val="001C36A1"/>
    <w:rsid w:val="001C38E7"/>
    <w:rsid w:val="001C406F"/>
    <w:rsid w:val="001C4D86"/>
    <w:rsid w:val="001C516F"/>
    <w:rsid w:val="001C5245"/>
    <w:rsid w:val="001C5446"/>
    <w:rsid w:val="001C58D3"/>
    <w:rsid w:val="001C597C"/>
    <w:rsid w:val="001C59A5"/>
    <w:rsid w:val="001C5B8A"/>
    <w:rsid w:val="001C74CD"/>
    <w:rsid w:val="001C794A"/>
    <w:rsid w:val="001C7D36"/>
    <w:rsid w:val="001D02A6"/>
    <w:rsid w:val="001D038B"/>
    <w:rsid w:val="001D0FBD"/>
    <w:rsid w:val="001D1109"/>
    <w:rsid w:val="001D143E"/>
    <w:rsid w:val="001D1BA9"/>
    <w:rsid w:val="001D1C83"/>
    <w:rsid w:val="001D1E43"/>
    <w:rsid w:val="001D224D"/>
    <w:rsid w:val="001D2E77"/>
    <w:rsid w:val="001D3159"/>
    <w:rsid w:val="001D338E"/>
    <w:rsid w:val="001D33CA"/>
    <w:rsid w:val="001D366D"/>
    <w:rsid w:val="001D3691"/>
    <w:rsid w:val="001D3E3D"/>
    <w:rsid w:val="001D40D3"/>
    <w:rsid w:val="001D4228"/>
    <w:rsid w:val="001D47F7"/>
    <w:rsid w:val="001D4910"/>
    <w:rsid w:val="001D4946"/>
    <w:rsid w:val="001D4BBA"/>
    <w:rsid w:val="001D4F38"/>
    <w:rsid w:val="001D4F92"/>
    <w:rsid w:val="001D5598"/>
    <w:rsid w:val="001D5EE4"/>
    <w:rsid w:val="001D64B8"/>
    <w:rsid w:val="001D6722"/>
    <w:rsid w:val="001D6A89"/>
    <w:rsid w:val="001D6BEE"/>
    <w:rsid w:val="001D6DFD"/>
    <w:rsid w:val="001D6EAB"/>
    <w:rsid w:val="001D6EB3"/>
    <w:rsid w:val="001D792E"/>
    <w:rsid w:val="001D7DFB"/>
    <w:rsid w:val="001D7E20"/>
    <w:rsid w:val="001E007A"/>
    <w:rsid w:val="001E0264"/>
    <w:rsid w:val="001E0778"/>
    <w:rsid w:val="001E084F"/>
    <w:rsid w:val="001E0A4E"/>
    <w:rsid w:val="001E0A68"/>
    <w:rsid w:val="001E0D03"/>
    <w:rsid w:val="001E0EF9"/>
    <w:rsid w:val="001E14FE"/>
    <w:rsid w:val="001E1719"/>
    <w:rsid w:val="001E175F"/>
    <w:rsid w:val="001E1A8E"/>
    <w:rsid w:val="001E1C44"/>
    <w:rsid w:val="001E2747"/>
    <w:rsid w:val="001E2980"/>
    <w:rsid w:val="001E2B4C"/>
    <w:rsid w:val="001E2B5C"/>
    <w:rsid w:val="001E2B9D"/>
    <w:rsid w:val="001E3033"/>
    <w:rsid w:val="001E3166"/>
    <w:rsid w:val="001E323F"/>
    <w:rsid w:val="001E345F"/>
    <w:rsid w:val="001E3902"/>
    <w:rsid w:val="001E3C57"/>
    <w:rsid w:val="001E4105"/>
    <w:rsid w:val="001E4197"/>
    <w:rsid w:val="001E43E5"/>
    <w:rsid w:val="001E4943"/>
    <w:rsid w:val="001E4AD3"/>
    <w:rsid w:val="001E54C1"/>
    <w:rsid w:val="001E5FB7"/>
    <w:rsid w:val="001E60AA"/>
    <w:rsid w:val="001E64D9"/>
    <w:rsid w:val="001E6A91"/>
    <w:rsid w:val="001E73D0"/>
    <w:rsid w:val="001E7642"/>
    <w:rsid w:val="001E7839"/>
    <w:rsid w:val="001F0168"/>
    <w:rsid w:val="001F0426"/>
    <w:rsid w:val="001F0616"/>
    <w:rsid w:val="001F069C"/>
    <w:rsid w:val="001F1141"/>
    <w:rsid w:val="001F1358"/>
    <w:rsid w:val="001F143E"/>
    <w:rsid w:val="001F17DF"/>
    <w:rsid w:val="001F19D8"/>
    <w:rsid w:val="001F2173"/>
    <w:rsid w:val="001F2C7B"/>
    <w:rsid w:val="001F2EBF"/>
    <w:rsid w:val="001F2EE7"/>
    <w:rsid w:val="001F2F32"/>
    <w:rsid w:val="001F3452"/>
    <w:rsid w:val="001F3739"/>
    <w:rsid w:val="001F3792"/>
    <w:rsid w:val="001F37BE"/>
    <w:rsid w:val="001F37F5"/>
    <w:rsid w:val="001F397E"/>
    <w:rsid w:val="001F4556"/>
    <w:rsid w:val="001F45BD"/>
    <w:rsid w:val="001F4643"/>
    <w:rsid w:val="001F46EC"/>
    <w:rsid w:val="001F472A"/>
    <w:rsid w:val="001F4999"/>
    <w:rsid w:val="001F4A96"/>
    <w:rsid w:val="001F4B04"/>
    <w:rsid w:val="001F4B07"/>
    <w:rsid w:val="001F4BAE"/>
    <w:rsid w:val="001F4BB9"/>
    <w:rsid w:val="001F4C63"/>
    <w:rsid w:val="001F4D8B"/>
    <w:rsid w:val="001F4E5E"/>
    <w:rsid w:val="001F52BA"/>
    <w:rsid w:val="001F5614"/>
    <w:rsid w:val="001F57B4"/>
    <w:rsid w:val="001F5942"/>
    <w:rsid w:val="001F5E70"/>
    <w:rsid w:val="001F6665"/>
    <w:rsid w:val="001F668F"/>
    <w:rsid w:val="001F6985"/>
    <w:rsid w:val="001F6B72"/>
    <w:rsid w:val="001F6FBB"/>
    <w:rsid w:val="001F7249"/>
    <w:rsid w:val="001F726F"/>
    <w:rsid w:val="001F7341"/>
    <w:rsid w:val="001F77FC"/>
    <w:rsid w:val="001F7A05"/>
    <w:rsid w:val="001F7B74"/>
    <w:rsid w:val="00200395"/>
    <w:rsid w:val="00200399"/>
    <w:rsid w:val="002005E5"/>
    <w:rsid w:val="002006C0"/>
    <w:rsid w:val="00200711"/>
    <w:rsid w:val="00200A79"/>
    <w:rsid w:val="00200BD4"/>
    <w:rsid w:val="00201113"/>
    <w:rsid w:val="0020115E"/>
    <w:rsid w:val="0020138D"/>
    <w:rsid w:val="002013A6"/>
    <w:rsid w:val="002015E6"/>
    <w:rsid w:val="00201908"/>
    <w:rsid w:val="00201A36"/>
    <w:rsid w:val="00201C4C"/>
    <w:rsid w:val="00201C92"/>
    <w:rsid w:val="00201FE5"/>
    <w:rsid w:val="002022F3"/>
    <w:rsid w:val="002023BF"/>
    <w:rsid w:val="002029D9"/>
    <w:rsid w:val="00202AB7"/>
    <w:rsid w:val="00202D61"/>
    <w:rsid w:val="00202FA1"/>
    <w:rsid w:val="00203320"/>
    <w:rsid w:val="0020380F"/>
    <w:rsid w:val="002038A4"/>
    <w:rsid w:val="00203B6E"/>
    <w:rsid w:val="00203D29"/>
    <w:rsid w:val="0020417E"/>
    <w:rsid w:val="002050CA"/>
    <w:rsid w:val="00205351"/>
    <w:rsid w:val="002059CF"/>
    <w:rsid w:val="00205DA0"/>
    <w:rsid w:val="00205E84"/>
    <w:rsid w:val="00205EDC"/>
    <w:rsid w:val="00205FC4"/>
    <w:rsid w:val="00205FFD"/>
    <w:rsid w:val="0020603F"/>
    <w:rsid w:val="002064CF"/>
    <w:rsid w:val="0020677F"/>
    <w:rsid w:val="00206B65"/>
    <w:rsid w:val="00206E6D"/>
    <w:rsid w:val="00206F18"/>
    <w:rsid w:val="00207088"/>
    <w:rsid w:val="002071A6"/>
    <w:rsid w:val="00207259"/>
    <w:rsid w:val="002074C2"/>
    <w:rsid w:val="002076B8"/>
    <w:rsid w:val="00207717"/>
    <w:rsid w:val="00207762"/>
    <w:rsid w:val="002077EF"/>
    <w:rsid w:val="00207DF5"/>
    <w:rsid w:val="00210172"/>
    <w:rsid w:val="00210933"/>
    <w:rsid w:val="00210C79"/>
    <w:rsid w:val="00210DC6"/>
    <w:rsid w:val="002110AC"/>
    <w:rsid w:val="002111D0"/>
    <w:rsid w:val="0021141E"/>
    <w:rsid w:val="00211896"/>
    <w:rsid w:val="00211ACD"/>
    <w:rsid w:val="00211F6B"/>
    <w:rsid w:val="0021219C"/>
    <w:rsid w:val="00212706"/>
    <w:rsid w:val="002129CD"/>
    <w:rsid w:val="00212B1B"/>
    <w:rsid w:val="00213561"/>
    <w:rsid w:val="002135E2"/>
    <w:rsid w:val="00213AA6"/>
    <w:rsid w:val="00213BA3"/>
    <w:rsid w:val="00213D59"/>
    <w:rsid w:val="00214471"/>
    <w:rsid w:val="00214A2D"/>
    <w:rsid w:val="00214BC7"/>
    <w:rsid w:val="0021503E"/>
    <w:rsid w:val="002150D8"/>
    <w:rsid w:val="00215EE1"/>
    <w:rsid w:val="002165E7"/>
    <w:rsid w:val="002168FE"/>
    <w:rsid w:val="00216A15"/>
    <w:rsid w:val="00216AFF"/>
    <w:rsid w:val="002170A1"/>
    <w:rsid w:val="002174E1"/>
    <w:rsid w:val="002174E6"/>
    <w:rsid w:val="00217624"/>
    <w:rsid w:val="002176A1"/>
    <w:rsid w:val="00217A3B"/>
    <w:rsid w:val="00217D98"/>
    <w:rsid w:val="00217E17"/>
    <w:rsid w:val="00217EE1"/>
    <w:rsid w:val="00217F12"/>
    <w:rsid w:val="0022008E"/>
    <w:rsid w:val="0022035C"/>
    <w:rsid w:val="00220463"/>
    <w:rsid w:val="00220831"/>
    <w:rsid w:val="00220B35"/>
    <w:rsid w:val="00220F31"/>
    <w:rsid w:val="00221032"/>
    <w:rsid w:val="002213A3"/>
    <w:rsid w:val="00221984"/>
    <w:rsid w:val="002219B8"/>
    <w:rsid w:val="00221BA3"/>
    <w:rsid w:val="00221EB4"/>
    <w:rsid w:val="00221FA9"/>
    <w:rsid w:val="00222263"/>
    <w:rsid w:val="0022232E"/>
    <w:rsid w:val="002223D0"/>
    <w:rsid w:val="0022277B"/>
    <w:rsid w:val="0022282A"/>
    <w:rsid w:val="00222CA6"/>
    <w:rsid w:val="00222E19"/>
    <w:rsid w:val="00222FA5"/>
    <w:rsid w:val="0022313D"/>
    <w:rsid w:val="002231CD"/>
    <w:rsid w:val="0022323A"/>
    <w:rsid w:val="0022324A"/>
    <w:rsid w:val="00223539"/>
    <w:rsid w:val="00223A66"/>
    <w:rsid w:val="00223E9B"/>
    <w:rsid w:val="00223FB5"/>
    <w:rsid w:val="002241E0"/>
    <w:rsid w:val="0022445F"/>
    <w:rsid w:val="002247B4"/>
    <w:rsid w:val="002249BB"/>
    <w:rsid w:val="00224E80"/>
    <w:rsid w:val="00224EE0"/>
    <w:rsid w:val="002252C8"/>
    <w:rsid w:val="002257C6"/>
    <w:rsid w:val="0022581A"/>
    <w:rsid w:val="002258CE"/>
    <w:rsid w:val="00225A0D"/>
    <w:rsid w:val="00225CE9"/>
    <w:rsid w:val="0022602A"/>
    <w:rsid w:val="002263D3"/>
    <w:rsid w:val="002269DD"/>
    <w:rsid w:val="00226FD5"/>
    <w:rsid w:val="002273BE"/>
    <w:rsid w:val="0022759C"/>
    <w:rsid w:val="00227AD6"/>
    <w:rsid w:val="00227C9C"/>
    <w:rsid w:val="00227DFF"/>
    <w:rsid w:val="002301BA"/>
    <w:rsid w:val="002309FD"/>
    <w:rsid w:val="00230C9D"/>
    <w:rsid w:val="00230E16"/>
    <w:rsid w:val="00231078"/>
    <w:rsid w:val="002310BC"/>
    <w:rsid w:val="00231268"/>
    <w:rsid w:val="0023139B"/>
    <w:rsid w:val="002313DA"/>
    <w:rsid w:val="0023169F"/>
    <w:rsid w:val="00231A00"/>
    <w:rsid w:val="00231B7D"/>
    <w:rsid w:val="0023211A"/>
    <w:rsid w:val="00232429"/>
    <w:rsid w:val="00232512"/>
    <w:rsid w:val="002330AA"/>
    <w:rsid w:val="002331F1"/>
    <w:rsid w:val="002334FE"/>
    <w:rsid w:val="00233531"/>
    <w:rsid w:val="002335D9"/>
    <w:rsid w:val="002338FD"/>
    <w:rsid w:val="00233C21"/>
    <w:rsid w:val="00233F14"/>
    <w:rsid w:val="002342C9"/>
    <w:rsid w:val="002342CA"/>
    <w:rsid w:val="00234605"/>
    <w:rsid w:val="00234A90"/>
    <w:rsid w:val="00234B1E"/>
    <w:rsid w:val="00234C82"/>
    <w:rsid w:val="0023524E"/>
    <w:rsid w:val="002352BF"/>
    <w:rsid w:val="002353C6"/>
    <w:rsid w:val="00235E7F"/>
    <w:rsid w:val="0023632B"/>
    <w:rsid w:val="002365D7"/>
    <w:rsid w:val="002368A4"/>
    <w:rsid w:val="00236AAE"/>
    <w:rsid w:val="00236F2C"/>
    <w:rsid w:val="00236FF1"/>
    <w:rsid w:val="00237820"/>
    <w:rsid w:val="00237B11"/>
    <w:rsid w:val="00237DCE"/>
    <w:rsid w:val="00237E5E"/>
    <w:rsid w:val="00240634"/>
    <w:rsid w:val="00240808"/>
    <w:rsid w:val="00240B9D"/>
    <w:rsid w:val="00240D3D"/>
    <w:rsid w:val="00240F55"/>
    <w:rsid w:val="002418C0"/>
    <w:rsid w:val="002418C6"/>
    <w:rsid w:val="00241B40"/>
    <w:rsid w:val="00241FFF"/>
    <w:rsid w:val="00242369"/>
    <w:rsid w:val="002425FF"/>
    <w:rsid w:val="00242DCA"/>
    <w:rsid w:val="002430B2"/>
    <w:rsid w:val="00243119"/>
    <w:rsid w:val="002431ED"/>
    <w:rsid w:val="00243420"/>
    <w:rsid w:val="00243692"/>
    <w:rsid w:val="00243B9D"/>
    <w:rsid w:val="00243D7F"/>
    <w:rsid w:val="00243E04"/>
    <w:rsid w:val="00244356"/>
    <w:rsid w:val="002445CE"/>
    <w:rsid w:val="00244756"/>
    <w:rsid w:val="00244C6B"/>
    <w:rsid w:val="00244DBC"/>
    <w:rsid w:val="0024500F"/>
    <w:rsid w:val="00245087"/>
    <w:rsid w:val="0024528A"/>
    <w:rsid w:val="0024539A"/>
    <w:rsid w:val="00245E5F"/>
    <w:rsid w:val="00246043"/>
    <w:rsid w:val="00246178"/>
    <w:rsid w:val="00246182"/>
    <w:rsid w:val="002461C3"/>
    <w:rsid w:val="002461EA"/>
    <w:rsid w:val="00246232"/>
    <w:rsid w:val="002465E3"/>
    <w:rsid w:val="002467AF"/>
    <w:rsid w:val="00246B61"/>
    <w:rsid w:val="00246C74"/>
    <w:rsid w:val="00246CCF"/>
    <w:rsid w:val="00247131"/>
    <w:rsid w:val="00247D96"/>
    <w:rsid w:val="0025009A"/>
    <w:rsid w:val="002501AB"/>
    <w:rsid w:val="002502C8"/>
    <w:rsid w:val="0025053C"/>
    <w:rsid w:val="00250703"/>
    <w:rsid w:val="00250741"/>
    <w:rsid w:val="0025103A"/>
    <w:rsid w:val="002518D6"/>
    <w:rsid w:val="00251A1F"/>
    <w:rsid w:val="00251D82"/>
    <w:rsid w:val="002523FA"/>
    <w:rsid w:val="00252515"/>
    <w:rsid w:val="002529AC"/>
    <w:rsid w:val="00252B03"/>
    <w:rsid w:val="00252B7D"/>
    <w:rsid w:val="00252D02"/>
    <w:rsid w:val="002538FF"/>
    <w:rsid w:val="00253BFF"/>
    <w:rsid w:val="0025421B"/>
    <w:rsid w:val="002546F8"/>
    <w:rsid w:val="00254877"/>
    <w:rsid w:val="00254A90"/>
    <w:rsid w:val="00255011"/>
    <w:rsid w:val="002559A3"/>
    <w:rsid w:val="00255ADD"/>
    <w:rsid w:val="00255E69"/>
    <w:rsid w:val="00255F74"/>
    <w:rsid w:val="002561B2"/>
    <w:rsid w:val="00256AD6"/>
    <w:rsid w:val="00256F30"/>
    <w:rsid w:val="0025716B"/>
    <w:rsid w:val="002575E7"/>
    <w:rsid w:val="00257605"/>
    <w:rsid w:val="00260146"/>
    <w:rsid w:val="00260346"/>
    <w:rsid w:val="002606C5"/>
    <w:rsid w:val="00260E56"/>
    <w:rsid w:val="00260EC3"/>
    <w:rsid w:val="002612A5"/>
    <w:rsid w:val="00261336"/>
    <w:rsid w:val="0026155A"/>
    <w:rsid w:val="002617CD"/>
    <w:rsid w:val="002618CB"/>
    <w:rsid w:val="0026203E"/>
    <w:rsid w:val="0026240B"/>
    <w:rsid w:val="002625F2"/>
    <w:rsid w:val="00262608"/>
    <w:rsid w:val="0026281D"/>
    <w:rsid w:val="002628F1"/>
    <w:rsid w:val="00262C5B"/>
    <w:rsid w:val="002630B5"/>
    <w:rsid w:val="0026337C"/>
    <w:rsid w:val="00263617"/>
    <w:rsid w:val="00263B64"/>
    <w:rsid w:val="00263D4E"/>
    <w:rsid w:val="00264255"/>
    <w:rsid w:val="002645C1"/>
    <w:rsid w:val="00264AAF"/>
    <w:rsid w:val="00264DA2"/>
    <w:rsid w:val="00264F23"/>
    <w:rsid w:val="00265130"/>
    <w:rsid w:val="00265227"/>
    <w:rsid w:val="0026546E"/>
    <w:rsid w:val="0026556C"/>
    <w:rsid w:val="00265577"/>
    <w:rsid w:val="00265AEE"/>
    <w:rsid w:val="00266417"/>
    <w:rsid w:val="002668CB"/>
    <w:rsid w:val="00266ABE"/>
    <w:rsid w:val="00266EBD"/>
    <w:rsid w:val="002672BE"/>
    <w:rsid w:val="002673D3"/>
    <w:rsid w:val="002675D0"/>
    <w:rsid w:val="002677A8"/>
    <w:rsid w:val="00267978"/>
    <w:rsid w:val="00267BCB"/>
    <w:rsid w:val="00267C58"/>
    <w:rsid w:val="0027043B"/>
    <w:rsid w:val="00270653"/>
    <w:rsid w:val="00270E0D"/>
    <w:rsid w:val="00270E63"/>
    <w:rsid w:val="00270E8C"/>
    <w:rsid w:val="00270ED1"/>
    <w:rsid w:val="002714E2"/>
    <w:rsid w:val="0027152A"/>
    <w:rsid w:val="002715FE"/>
    <w:rsid w:val="002718C3"/>
    <w:rsid w:val="00271925"/>
    <w:rsid w:val="00271AB1"/>
    <w:rsid w:val="00271F27"/>
    <w:rsid w:val="00272AB6"/>
    <w:rsid w:val="00272BDF"/>
    <w:rsid w:val="00272C63"/>
    <w:rsid w:val="00272E32"/>
    <w:rsid w:val="00272E42"/>
    <w:rsid w:val="00273748"/>
    <w:rsid w:val="00273B20"/>
    <w:rsid w:val="00273B9B"/>
    <w:rsid w:val="00273BD9"/>
    <w:rsid w:val="00273C97"/>
    <w:rsid w:val="00273DBF"/>
    <w:rsid w:val="00273E53"/>
    <w:rsid w:val="00274DCF"/>
    <w:rsid w:val="00274E5F"/>
    <w:rsid w:val="00274F0F"/>
    <w:rsid w:val="0027508F"/>
    <w:rsid w:val="002750D0"/>
    <w:rsid w:val="00275135"/>
    <w:rsid w:val="00275257"/>
    <w:rsid w:val="00275CBD"/>
    <w:rsid w:val="00275E22"/>
    <w:rsid w:val="00275F7F"/>
    <w:rsid w:val="002766C5"/>
    <w:rsid w:val="002766C8"/>
    <w:rsid w:val="00276AFD"/>
    <w:rsid w:val="00276BFE"/>
    <w:rsid w:val="00276C5D"/>
    <w:rsid w:val="00276F89"/>
    <w:rsid w:val="0027731B"/>
    <w:rsid w:val="00277479"/>
    <w:rsid w:val="00277CEE"/>
    <w:rsid w:val="00277DA1"/>
    <w:rsid w:val="0028001D"/>
    <w:rsid w:val="002800D5"/>
    <w:rsid w:val="0028026D"/>
    <w:rsid w:val="00280274"/>
    <w:rsid w:val="00280426"/>
    <w:rsid w:val="00280628"/>
    <w:rsid w:val="00280FCC"/>
    <w:rsid w:val="002810DE"/>
    <w:rsid w:val="0028115F"/>
    <w:rsid w:val="0028129D"/>
    <w:rsid w:val="00281407"/>
    <w:rsid w:val="00281A7A"/>
    <w:rsid w:val="002822BA"/>
    <w:rsid w:val="002824F3"/>
    <w:rsid w:val="00282BCE"/>
    <w:rsid w:val="00282FF9"/>
    <w:rsid w:val="00283132"/>
    <w:rsid w:val="0028313E"/>
    <w:rsid w:val="00283455"/>
    <w:rsid w:val="00283514"/>
    <w:rsid w:val="0028352C"/>
    <w:rsid w:val="00283550"/>
    <w:rsid w:val="002836E5"/>
    <w:rsid w:val="0028398B"/>
    <w:rsid w:val="00283A98"/>
    <w:rsid w:val="00283D50"/>
    <w:rsid w:val="002840C3"/>
    <w:rsid w:val="00284138"/>
    <w:rsid w:val="0028468A"/>
    <w:rsid w:val="0028475C"/>
    <w:rsid w:val="002847B9"/>
    <w:rsid w:val="002847F5"/>
    <w:rsid w:val="002848A7"/>
    <w:rsid w:val="002853C4"/>
    <w:rsid w:val="002858BA"/>
    <w:rsid w:val="00285B8C"/>
    <w:rsid w:val="00285DD0"/>
    <w:rsid w:val="00285E31"/>
    <w:rsid w:val="00285F61"/>
    <w:rsid w:val="00286006"/>
    <w:rsid w:val="002860D5"/>
    <w:rsid w:val="00286346"/>
    <w:rsid w:val="00286806"/>
    <w:rsid w:val="0028685D"/>
    <w:rsid w:val="0028695A"/>
    <w:rsid w:val="0028696B"/>
    <w:rsid w:val="002869B4"/>
    <w:rsid w:val="00286CD0"/>
    <w:rsid w:val="00286D08"/>
    <w:rsid w:val="00287118"/>
    <w:rsid w:val="002872BA"/>
    <w:rsid w:val="00287607"/>
    <w:rsid w:val="00287E44"/>
    <w:rsid w:val="00290170"/>
    <w:rsid w:val="002901E8"/>
    <w:rsid w:val="0029055F"/>
    <w:rsid w:val="00290565"/>
    <w:rsid w:val="00290BB2"/>
    <w:rsid w:val="00290C90"/>
    <w:rsid w:val="00290C96"/>
    <w:rsid w:val="00290DD6"/>
    <w:rsid w:val="0029172C"/>
    <w:rsid w:val="00291794"/>
    <w:rsid w:val="002917F3"/>
    <w:rsid w:val="00291C2B"/>
    <w:rsid w:val="00291D5B"/>
    <w:rsid w:val="00291EF8"/>
    <w:rsid w:val="00292219"/>
    <w:rsid w:val="002925C5"/>
    <w:rsid w:val="00292B6B"/>
    <w:rsid w:val="002930D3"/>
    <w:rsid w:val="0029339F"/>
    <w:rsid w:val="00293543"/>
    <w:rsid w:val="0029367C"/>
    <w:rsid w:val="0029373C"/>
    <w:rsid w:val="002937CA"/>
    <w:rsid w:val="00293880"/>
    <w:rsid w:val="002938AD"/>
    <w:rsid w:val="00293911"/>
    <w:rsid w:val="00293994"/>
    <w:rsid w:val="002939BC"/>
    <w:rsid w:val="00293F4B"/>
    <w:rsid w:val="00294279"/>
    <w:rsid w:val="00294A48"/>
    <w:rsid w:val="002953F9"/>
    <w:rsid w:val="002956D3"/>
    <w:rsid w:val="002957A7"/>
    <w:rsid w:val="00295BDC"/>
    <w:rsid w:val="00295C49"/>
    <w:rsid w:val="00295CBB"/>
    <w:rsid w:val="00295D62"/>
    <w:rsid w:val="00295E48"/>
    <w:rsid w:val="00295F54"/>
    <w:rsid w:val="00296015"/>
    <w:rsid w:val="002961A8"/>
    <w:rsid w:val="00296ACF"/>
    <w:rsid w:val="0029705D"/>
    <w:rsid w:val="00297084"/>
    <w:rsid w:val="002A00BA"/>
    <w:rsid w:val="002A0291"/>
    <w:rsid w:val="002A0344"/>
    <w:rsid w:val="002A0694"/>
    <w:rsid w:val="002A06FD"/>
    <w:rsid w:val="002A0803"/>
    <w:rsid w:val="002A0B40"/>
    <w:rsid w:val="002A0DB7"/>
    <w:rsid w:val="002A0DBE"/>
    <w:rsid w:val="002A0F2F"/>
    <w:rsid w:val="002A1394"/>
    <w:rsid w:val="002A1737"/>
    <w:rsid w:val="002A1991"/>
    <w:rsid w:val="002A1F31"/>
    <w:rsid w:val="002A2EBC"/>
    <w:rsid w:val="002A31CC"/>
    <w:rsid w:val="002A3270"/>
    <w:rsid w:val="002A3336"/>
    <w:rsid w:val="002A3575"/>
    <w:rsid w:val="002A361F"/>
    <w:rsid w:val="002A37B1"/>
    <w:rsid w:val="002A3873"/>
    <w:rsid w:val="002A39B0"/>
    <w:rsid w:val="002A3A11"/>
    <w:rsid w:val="002A3A61"/>
    <w:rsid w:val="002A3AED"/>
    <w:rsid w:val="002A461C"/>
    <w:rsid w:val="002A47F5"/>
    <w:rsid w:val="002A48E4"/>
    <w:rsid w:val="002A4BC9"/>
    <w:rsid w:val="002A4EDF"/>
    <w:rsid w:val="002A4F1F"/>
    <w:rsid w:val="002A5102"/>
    <w:rsid w:val="002A51FC"/>
    <w:rsid w:val="002A55F1"/>
    <w:rsid w:val="002A562F"/>
    <w:rsid w:val="002A581B"/>
    <w:rsid w:val="002A5BC7"/>
    <w:rsid w:val="002A5C79"/>
    <w:rsid w:val="002A61C5"/>
    <w:rsid w:val="002A6243"/>
    <w:rsid w:val="002A6415"/>
    <w:rsid w:val="002A6622"/>
    <w:rsid w:val="002A6C55"/>
    <w:rsid w:val="002A6CA0"/>
    <w:rsid w:val="002A751A"/>
    <w:rsid w:val="002A7616"/>
    <w:rsid w:val="002A7DF9"/>
    <w:rsid w:val="002B0053"/>
    <w:rsid w:val="002B005B"/>
    <w:rsid w:val="002B04EE"/>
    <w:rsid w:val="002B0746"/>
    <w:rsid w:val="002B087C"/>
    <w:rsid w:val="002B1035"/>
    <w:rsid w:val="002B1226"/>
    <w:rsid w:val="002B1604"/>
    <w:rsid w:val="002B1817"/>
    <w:rsid w:val="002B186D"/>
    <w:rsid w:val="002B19EA"/>
    <w:rsid w:val="002B1CD3"/>
    <w:rsid w:val="002B204A"/>
    <w:rsid w:val="002B24CE"/>
    <w:rsid w:val="002B287F"/>
    <w:rsid w:val="002B2CA7"/>
    <w:rsid w:val="002B34CA"/>
    <w:rsid w:val="002B36BD"/>
    <w:rsid w:val="002B38F1"/>
    <w:rsid w:val="002B3D01"/>
    <w:rsid w:val="002B3DE9"/>
    <w:rsid w:val="002B4323"/>
    <w:rsid w:val="002B4534"/>
    <w:rsid w:val="002B484B"/>
    <w:rsid w:val="002B4E19"/>
    <w:rsid w:val="002B50AF"/>
    <w:rsid w:val="002B5A04"/>
    <w:rsid w:val="002B5A3F"/>
    <w:rsid w:val="002B5A48"/>
    <w:rsid w:val="002B5E28"/>
    <w:rsid w:val="002B5EDD"/>
    <w:rsid w:val="002B6100"/>
    <w:rsid w:val="002B644B"/>
    <w:rsid w:val="002B6486"/>
    <w:rsid w:val="002B6DDA"/>
    <w:rsid w:val="002B6DF0"/>
    <w:rsid w:val="002B6F62"/>
    <w:rsid w:val="002B7141"/>
    <w:rsid w:val="002B756C"/>
    <w:rsid w:val="002B758C"/>
    <w:rsid w:val="002B75E7"/>
    <w:rsid w:val="002B75EC"/>
    <w:rsid w:val="002B7869"/>
    <w:rsid w:val="002B7B5F"/>
    <w:rsid w:val="002B7BDC"/>
    <w:rsid w:val="002B7CF4"/>
    <w:rsid w:val="002C03DE"/>
    <w:rsid w:val="002C04D4"/>
    <w:rsid w:val="002C0705"/>
    <w:rsid w:val="002C0BA3"/>
    <w:rsid w:val="002C133E"/>
    <w:rsid w:val="002C1708"/>
    <w:rsid w:val="002C1B55"/>
    <w:rsid w:val="002C1ED7"/>
    <w:rsid w:val="002C218E"/>
    <w:rsid w:val="002C243D"/>
    <w:rsid w:val="002C3906"/>
    <w:rsid w:val="002C394C"/>
    <w:rsid w:val="002C3B68"/>
    <w:rsid w:val="002C3F3B"/>
    <w:rsid w:val="002C3F83"/>
    <w:rsid w:val="002C4070"/>
    <w:rsid w:val="002C40D1"/>
    <w:rsid w:val="002C42D9"/>
    <w:rsid w:val="002C42DC"/>
    <w:rsid w:val="002C4824"/>
    <w:rsid w:val="002C491A"/>
    <w:rsid w:val="002C49C2"/>
    <w:rsid w:val="002C4D1B"/>
    <w:rsid w:val="002C5122"/>
    <w:rsid w:val="002C5314"/>
    <w:rsid w:val="002C540D"/>
    <w:rsid w:val="002C54C4"/>
    <w:rsid w:val="002C5A9A"/>
    <w:rsid w:val="002C5ABC"/>
    <w:rsid w:val="002C5BC4"/>
    <w:rsid w:val="002C5C73"/>
    <w:rsid w:val="002C5DE8"/>
    <w:rsid w:val="002C6DF9"/>
    <w:rsid w:val="002C713F"/>
    <w:rsid w:val="002C7218"/>
    <w:rsid w:val="002C73FE"/>
    <w:rsid w:val="002C7414"/>
    <w:rsid w:val="002C746C"/>
    <w:rsid w:val="002C754B"/>
    <w:rsid w:val="002C7F7C"/>
    <w:rsid w:val="002D0812"/>
    <w:rsid w:val="002D099F"/>
    <w:rsid w:val="002D0B94"/>
    <w:rsid w:val="002D1017"/>
    <w:rsid w:val="002D1027"/>
    <w:rsid w:val="002D1221"/>
    <w:rsid w:val="002D19E5"/>
    <w:rsid w:val="002D1CC2"/>
    <w:rsid w:val="002D2191"/>
    <w:rsid w:val="002D2478"/>
    <w:rsid w:val="002D2487"/>
    <w:rsid w:val="002D2761"/>
    <w:rsid w:val="002D2E20"/>
    <w:rsid w:val="002D2E48"/>
    <w:rsid w:val="002D2EA7"/>
    <w:rsid w:val="002D2FD7"/>
    <w:rsid w:val="002D389E"/>
    <w:rsid w:val="002D3A96"/>
    <w:rsid w:val="002D3E3F"/>
    <w:rsid w:val="002D3EBE"/>
    <w:rsid w:val="002D3FB9"/>
    <w:rsid w:val="002D41EF"/>
    <w:rsid w:val="002D4A88"/>
    <w:rsid w:val="002D4B0D"/>
    <w:rsid w:val="002D4B2D"/>
    <w:rsid w:val="002D4CE0"/>
    <w:rsid w:val="002D5070"/>
    <w:rsid w:val="002D53F1"/>
    <w:rsid w:val="002D54A5"/>
    <w:rsid w:val="002D58E1"/>
    <w:rsid w:val="002D5A19"/>
    <w:rsid w:val="002D5D40"/>
    <w:rsid w:val="002D60F0"/>
    <w:rsid w:val="002D653F"/>
    <w:rsid w:val="002D67B2"/>
    <w:rsid w:val="002D6B31"/>
    <w:rsid w:val="002D6C86"/>
    <w:rsid w:val="002D7274"/>
    <w:rsid w:val="002D79F5"/>
    <w:rsid w:val="002D7ADC"/>
    <w:rsid w:val="002D7B8F"/>
    <w:rsid w:val="002D7FC2"/>
    <w:rsid w:val="002E0095"/>
    <w:rsid w:val="002E0405"/>
    <w:rsid w:val="002E052A"/>
    <w:rsid w:val="002E093B"/>
    <w:rsid w:val="002E14E0"/>
    <w:rsid w:val="002E170C"/>
    <w:rsid w:val="002E173C"/>
    <w:rsid w:val="002E1B42"/>
    <w:rsid w:val="002E1BDA"/>
    <w:rsid w:val="002E1F4F"/>
    <w:rsid w:val="002E1F5E"/>
    <w:rsid w:val="002E2197"/>
    <w:rsid w:val="002E220B"/>
    <w:rsid w:val="002E233F"/>
    <w:rsid w:val="002E2588"/>
    <w:rsid w:val="002E2FE2"/>
    <w:rsid w:val="002E301E"/>
    <w:rsid w:val="002E3345"/>
    <w:rsid w:val="002E3505"/>
    <w:rsid w:val="002E35E1"/>
    <w:rsid w:val="002E3623"/>
    <w:rsid w:val="002E367C"/>
    <w:rsid w:val="002E3D81"/>
    <w:rsid w:val="002E41B4"/>
    <w:rsid w:val="002E430A"/>
    <w:rsid w:val="002E4338"/>
    <w:rsid w:val="002E443A"/>
    <w:rsid w:val="002E47DC"/>
    <w:rsid w:val="002E489F"/>
    <w:rsid w:val="002E4A9E"/>
    <w:rsid w:val="002E4C91"/>
    <w:rsid w:val="002E4E4C"/>
    <w:rsid w:val="002E4E5A"/>
    <w:rsid w:val="002E5382"/>
    <w:rsid w:val="002E5A41"/>
    <w:rsid w:val="002E5CAB"/>
    <w:rsid w:val="002E5E35"/>
    <w:rsid w:val="002E645C"/>
    <w:rsid w:val="002E6970"/>
    <w:rsid w:val="002E6B16"/>
    <w:rsid w:val="002E6B9B"/>
    <w:rsid w:val="002E6E77"/>
    <w:rsid w:val="002E6FF5"/>
    <w:rsid w:val="002E7070"/>
    <w:rsid w:val="002E7106"/>
    <w:rsid w:val="002E715B"/>
    <w:rsid w:val="002E7507"/>
    <w:rsid w:val="002E76D4"/>
    <w:rsid w:val="002E76E8"/>
    <w:rsid w:val="002E7A07"/>
    <w:rsid w:val="002E7C61"/>
    <w:rsid w:val="002E7D83"/>
    <w:rsid w:val="002E7DC7"/>
    <w:rsid w:val="002E7DEF"/>
    <w:rsid w:val="002F02CE"/>
    <w:rsid w:val="002F0595"/>
    <w:rsid w:val="002F097F"/>
    <w:rsid w:val="002F0DB3"/>
    <w:rsid w:val="002F1199"/>
    <w:rsid w:val="002F158D"/>
    <w:rsid w:val="002F18EC"/>
    <w:rsid w:val="002F1ABA"/>
    <w:rsid w:val="002F1CEB"/>
    <w:rsid w:val="002F21B8"/>
    <w:rsid w:val="002F2334"/>
    <w:rsid w:val="002F23EA"/>
    <w:rsid w:val="002F241B"/>
    <w:rsid w:val="002F24AF"/>
    <w:rsid w:val="002F2791"/>
    <w:rsid w:val="002F2A31"/>
    <w:rsid w:val="002F2A62"/>
    <w:rsid w:val="002F2B17"/>
    <w:rsid w:val="002F2EAA"/>
    <w:rsid w:val="002F3031"/>
    <w:rsid w:val="002F31E0"/>
    <w:rsid w:val="002F3C22"/>
    <w:rsid w:val="002F3F66"/>
    <w:rsid w:val="002F3FED"/>
    <w:rsid w:val="002F4326"/>
    <w:rsid w:val="002F47C0"/>
    <w:rsid w:val="002F4949"/>
    <w:rsid w:val="002F4E39"/>
    <w:rsid w:val="002F56F9"/>
    <w:rsid w:val="002F5792"/>
    <w:rsid w:val="002F5BCB"/>
    <w:rsid w:val="002F5D79"/>
    <w:rsid w:val="002F61D9"/>
    <w:rsid w:val="002F6C9C"/>
    <w:rsid w:val="002F7348"/>
    <w:rsid w:val="002F7423"/>
    <w:rsid w:val="002F788E"/>
    <w:rsid w:val="002F7B9A"/>
    <w:rsid w:val="002F7D64"/>
    <w:rsid w:val="00300129"/>
    <w:rsid w:val="00300200"/>
    <w:rsid w:val="003003A1"/>
    <w:rsid w:val="00300563"/>
    <w:rsid w:val="0030063F"/>
    <w:rsid w:val="00300A8E"/>
    <w:rsid w:val="00300B9D"/>
    <w:rsid w:val="00300C9A"/>
    <w:rsid w:val="00300CF6"/>
    <w:rsid w:val="0030106A"/>
    <w:rsid w:val="003010B8"/>
    <w:rsid w:val="0030135F"/>
    <w:rsid w:val="00301924"/>
    <w:rsid w:val="0030219C"/>
    <w:rsid w:val="00302373"/>
    <w:rsid w:val="003029D1"/>
    <w:rsid w:val="00302CC6"/>
    <w:rsid w:val="003037BD"/>
    <w:rsid w:val="0030388E"/>
    <w:rsid w:val="00304022"/>
    <w:rsid w:val="003048F1"/>
    <w:rsid w:val="00304A58"/>
    <w:rsid w:val="00304B62"/>
    <w:rsid w:val="00304C2D"/>
    <w:rsid w:val="00304D37"/>
    <w:rsid w:val="0030521F"/>
    <w:rsid w:val="003052A3"/>
    <w:rsid w:val="00305422"/>
    <w:rsid w:val="0030567F"/>
    <w:rsid w:val="00305823"/>
    <w:rsid w:val="003065AF"/>
    <w:rsid w:val="003066D7"/>
    <w:rsid w:val="0030749C"/>
    <w:rsid w:val="0030762C"/>
    <w:rsid w:val="003078C4"/>
    <w:rsid w:val="003078FD"/>
    <w:rsid w:val="00307D7D"/>
    <w:rsid w:val="00307E3F"/>
    <w:rsid w:val="00310118"/>
    <w:rsid w:val="00310542"/>
    <w:rsid w:val="003106A6"/>
    <w:rsid w:val="00310CE4"/>
    <w:rsid w:val="00310E6B"/>
    <w:rsid w:val="00311048"/>
    <w:rsid w:val="0031107F"/>
    <w:rsid w:val="00311383"/>
    <w:rsid w:val="00311553"/>
    <w:rsid w:val="00311696"/>
    <w:rsid w:val="00311CF4"/>
    <w:rsid w:val="00312216"/>
    <w:rsid w:val="003123A5"/>
    <w:rsid w:val="0031318B"/>
    <w:rsid w:val="00313237"/>
    <w:rsid w:val="0031325E"/>
    <w:rsid w:val="003132DE"/>
    <w:rsid w:val="003138E6"/>
    <w:rsid w:val="00313A0D"/>
    <w:rsid w:val="00313A7D"/>
    <w:rsid w:val="0031438F"/>
    <w:rsid w:val="003144F8"/>
    <w:rsid w:val="00314A7F"/>
    <w:rsid w:val="00314C82"/>
    <w:rsid w:val="00314FB5"/>
    <w:rsid w:val="00315481"/>
    <w:rsid w:val="00315531"/>
    <w:rsid w:val="0031559D"/>
    <w:rsid w:val="00315811"/>
    <w:rsid w:val="0031617C"/>
    <w:rsid w:val="0031658B"/>
    <w:rsid w:val="003166EF"/>
    <w:rsid w:val="00316A08"/>
    <w:rsid w:val="00316A10"/>
    <w:rsid w:val="00316B40"/>
    <w:rsid w:val="00316C18"/>
    <w:rsid w:val="00316F36"/>
    <w:rsid w:val="00316F9A"/>
    <w:rsid w:val="003170C3"/>
    <w:rsid w:val="00317614"/>
    <w:rsid w:val="0031761E"/>
    <w:rsid w:val="00317716"/>
    <w:rsid w:val="0032033A"/>
    <w:rsid w:val="003209A9"/>
    <w:rsid w:val="003209CD"/>
    <w:rsid w:val="00320A48"/>
    <w:rsid w:val="00320FB4"/>
    <w:rsid w:val="00321163"/>
    <w:rsid w:val="0032131B"/>
    <w:rsid w:val="003214E7"/>
    <w:rsid w:val="00321955"/>
    <w:rsid w:val="00321DA1"/>
    <w:rsid w:val="00321DCC"/>
    <w:rsid w:val="00321EE1"/>
    <w:rsid w:val="00322712"/>
    <w:rsid w:val="00322CFA"/>
    <w:rsid w:val="00323153"/>
    <w:rsid w:val="003235E9"/>
    <w:rsid w:val="0032376E"/>
    <w:rsid w:val="003239FC"/>
    <w:rsid w:val="00323ADA"/>
    <w:rsid w:val="00323BA8"/>
    <w:rsid w:val="00323BE8"/>
    <w:rsid w:val="00323C4B"/>
    <w:rsid w:val="00323CA1"/>
    <w:rsid w:val="00323F8D"/>
    <w:rsid w:val="00324290"/>
    <w:rsid w:val="00324ADA"/>
    <w:rsid w:val="00324B2C"/>
    <w:rsid w:val="00324CD7"/>
    <w:rsid w:val="00324E98"/>
    <w:rsid w:val="003253E7"/>
    <w:rsid w:val="003255E9"/>
    <w:rsid w:val="00325EC0"/>
    <w:rsid w:val="003265DE"/>
    <w:rsid w:val="0032669D"/>
    <w:rsid w:val="00327055"/>
    <w:rsid w:val="00327385"/>
    <w:rsid w:val="00327EBF"/>
    <w:rsid w:val="0033019E"/>
    <w:rsid w:val="00330410"/>
    <w:rsid w:val="00330837"/>
    <w:rsid w:val="00330D07"/>
    <w:rsid w:val="00331303"/>
    <w:rsid w:val="00331570"/>
    <w:rsid w:val="0033198D"/>
    <w:rsid w:val="00331A4E"/>
    <w:rsid w:val="00331BB9"/>
    <w:rsid w:val="00331DCC"/>
    <w:rsid w:val="003323CF"/>
    <w:rsid w:val="00332604"/>
    <w:rsid w:val="0033266D"/>
    <w:rsid w:val="00332972"/>
    <w:rsid w:val="003329FD"/>
    <w:rsid w:val="00332C31"/>
    <w:rsid w:val="00332D3B"/>
    <w:rsid w:val="00332E1C"/>
    <w:rsid w:val="00333543"/>
    <w:rsid w:val="00333584"/>
    <w:rsid w:val="00333ADB"/>
    <w:rsid w:val="00333E2F"/>
    <w:rsid w:val="00333EBB"/>
    <w:rsid w:val="003340C3"/>
    <w:rsid w:val="00334A63"/>
    <w:rsid w:val="00334E39"/>
    <w:rsid w:val="00334E40"/>
    <w:rsid w:val="00334EED"/>
    <w:rsid w:val="00334F90"/>
    <w:rsid w:val="00335149"/>
    <w:rsid w:val="00335319"/>
    <w:rsid w:val="00335C99"/>
    <w:rsid w:val="00335E64"/>
    <w:rsid w:val="0033641D"/>
    <w:rsid w:val="003369D2"/>
    <w:rsid w:val="00336BFC"/>
    <w:rsid w:val="00337252"/>
    <w:rsid w:val="00337780"/>
    <w:rsid w:val="00340146"/>
    <w:rsid w:val="00340958"/>
    <w:rsid w:val="00340A95"/>
    <w:rsid w:val="00341066"/>
    <w:rsid w:val="003411C4"/>
    <w:rsid w:val="00341251"/>
    <w:rsid w:val="0034170D"/>
    <w:rsid w:val="003417AB"/>
    <w:rsid w:val="003418FD"/>
    <w:rsid w:val="00341917"/>
    <w:rsid w:val="003420BD"/>
    <w:rsid w:val="00342322"/>
    <w:rsid w:val="00342436"/>
    <w:rsid w:val="00342B7F"/>
    <w:rsid w:val="00342C90"/>
    <w:rsid w:val="00342E92"/>
    <w:rsid w:val="003430B8"/>
    <w:rsid w:val="00343133"/>
    <w:rsid w:val="003432B8"/>
    <w:rsid w:val="003433DA"/>
    <w:rsid w:val="00343881"/>
    <w:rsid w:val="00343AC9"/>
    <w:rsid w:val="00343DF6"/>
    <w:rsid w:val="003441C3"/>
    <w:rsid w:val="00344279"/>
    <w:rsid w:val="003442A4"/>
    <w:rsid w:val="00344AD4"/>
    <w:rsid w:val="00344B40"/>
    <w:rsid w:val="00344F51"/>
    <w:rsid w:val="00344FA0"/>
    <w:rsid w:val="00345CB3"/>
    <w:rsid w:val="00345E77"/>
    <w:rsid w:val="00345EC9"/>
    <w:rsid w:val="00345F02"/>
    <w:rsid w:val="0034676C"/>
    <w:rsid w:val="00346BCD"/>
    <w:rsid w:val="00346EC8"/>
    <w:rsid w:val="00346EF3"/>
    <w:rsid w:val="00347079"/>
    <w:rsid w:val="003470B0"/>
    <w:rsid w:val="00347555"/>
    <w:rsid w:val="00347884"/>
    <w:rsid w:val="00347DF6"/>
    <w:rsid w:val="00350067"/>
    <w:rsid w:val="0035036A"/>
    <w:rsid w:val="0035046F"/>
    <w:rsid w:val="003505D7"/>
    <w:rsid w:val="00350851"/>
    <w:rsid w:val="00350A6F"/>
    <w:rsid w:val="00350AED"/>
    <w:rsid w:val="00350B9F"/>
    <w:rsid w:val="00350C85"/>
    <w:rsid w:val="00350E11"/>
    <w:rsid w:val="00350EBE"/>
    <w:rsid w:val="003511E3"/>
    <w:rsid w:val="0035128C"/>
    <w:rsid w:val="0035128F"/>
    <w:rsid w:val="00351906"/>
    <w:rsid w:val="0035195C"/>
    <w:rsid w:val="00351A90"/>
    <w:rsid w:val="00351BE0"/>
    <w:rsid w:val="00352487"/>
    <w:rsid w:val="0035249F"/>
    <w:rsid w:val="003524A3"/>
    <w:rsid w:val="00352848"/>
    <w:rsid w:val="0035290A"/>
    <w:rsid w:val="003530B3"/>
    <w:rsid w:val="00353959"/>
    <w:rsid w:val="00353A67"/>
    <w:rsid w:val="00353B6B"/>
    <w:rsid w:val="00353B9D"/>
    <w:rsid w:val="00353D22"/>
    <w:rsid w:val="00353DEE"/>
    <w:rsid w:val="0035440F"/>
    <w:rsid w:val="0035457D"/>
    <w:rsid w:val="00354664"/>
    <w:rsid w:val="003547C4"/>
    <w:rsid w:val="00354805"/>
    <w:rsid w:val="00355066"/>
    <w:rsid w:val="003553A1"/>
    <w:rsid w:val="00355494"/>
    <w:rsid w:val="0035568E"/>
    <w:rsid w:val="003556B9"/>
    <w:rsid w:val="00355D74"/>
    <w:rsid w:val="00355E0E"/>
    <w:rsid w:val="0035611D"/>
    <w:rsid w:val="003569BE"/>
    <w:rsid w:val="00356A77"/>
    <w:rsid w:val="00357093"/>
    <w:rsid w:val="00357CFB"/>
    <w:rsid w:val="00360064"/>
    <w:rsid w:val="00360094"/>
    <w:rsid w:val="003602EB"/>
    <w:rsid w:val="00360348"/>
    <w:rsid w:val="0036065F"/>
    <w:rsid w:val="003607B9"/>
    <w:rsid w:val="00360989"/>
    <w:rsid w:val="00360C1A"/>
    <w:rsid w:val="00361239"/>
    <w:rsid w:val="00361294"/>
    <w:rsid w:val="003619B7"/>
    <w:rsid w:val="00361E50"/>
    <w:rsid w:val="003620B1"/>
    <w:rsid w:val="00362327"/>
    <w:rsid w:val="0036232C"/>
    <w:rsid w:val="00362498"/>
    <w:rsid w:val="00362690"/>
    <w:rsid w:val="003626DC"/>
    <w:rsid w:val="0036270C"/>
    <w:rsid w:val="00362A14"/>
    <w:rsid w:val="00362E66"/>
    <w:rsid w:val="0036371C"/>
    <w:rsid w:val="00364029"/>
    <w:rsid w:val="00364B4F"/>
    <w:rsid w:val="00365288"/>
    <w:rsid w:val="00365360"/>
    <w:rsid w:val="00365505"/>
    <w:rsid w:val="00365538"/>
    <w:rsid w:val="00365643"/>
    <w:rsid w:val="003657B2"/>
    <w:rsid w:val="00365833"/>
    <w:rsid w:val="00365A7E"/>
    <w:rsid w:val="00366857"/>
    <w:rsid w:val="00366911"/>
    <w:rsid w:val="00366B5D"/>
    <w:rsid w:val="00366BC7"/>
    <w:rsid w:val="00366D24"/>
    <w:rsid w:val="00366E1A"/>
    <w:rsid w:val="00366EB1"/>
    <w:rsid w:val="00367284"/>
    <w:rsid w:val="00367950"/>
    <w:rsid w:val="00367A29"/>
    <w:rsid w:val="00370481"/>
    <w:rsid w:val="0037058B"/>
    <w:rsid w:val="003705E1"/>
    <w:rsid w:val="00370882"/>
    <w:rsid w:val="00370D5B"/>
    <w:rsid w:val="00370F11"/>
    <w:rsid w:val="00370F5D"/>
    <w:rsid w:val="00371088"/>
    <w:rsid w:val="00371144"/>
    <w:rsid w:val="0037151A"/>
    <w:rsid w:val="0037154D"/>
    <w:rsid w:val="003716C8"/>
    <w:rsid w:val="003720A3"/>
    <w:rsid w:val="00372211"/>
    <w:rsid w:val="003725F4"/>
    <w:rsid w:val="00372953"/>
    <w:rsid w:val="003729F9"/>
    <w:rsid w:val="00372BE2"/>
    <w:rsid w:val="00372CC7"/>
    <w:rsid w:val="00373ACF"/>
    <w:rsid w:val="00373E1E"/>
    <w:rsid w:val="00374097"/>
    <w:rsid w:val="003745E5"/>
    <w:rsid w:val="00374AA6"/>
    <w:rsid w:val="00374ADC"/>
    <w:rsid w:val="00374B88"/>
    <w:rsid w:val="003751BC"/>
    <w:rsid w:val="00375263"/>
    <w:rsid w:val="003753CF"/>
    <w:rsid w:val="00375451"/>
    <w:rsid w:val="00375BF5"/>
    <w:rsid w:val="00375F87"/>
    <w:rsid w:val="00376582"/>
    <w:rsid w:val="003768EF"/>
    <w:rsid w:val="00376B1C"/>
    <w:rsid w:val="00376F62"/>
    <w:rsid w:val="003773DC"/>
    <w:rsid w:val="003776D0"/>
    <w:rsid w:val="003777CF"/>
    <w:rsid w:val="00377C4A"/>
    <w:rsid w:val="00377CBE"/>
    <w:rsid w:val="00377CF0"/>
    <w:rsid w:val="00377F33"/>
    <w:rsid w:val="0038018D"/>
    <w:rsid w:val="00380423"/>
    <w:rsid w:val="00380756"/>
    <w:rsid w:val="00380F4E"/>
    <w:rsid w:val="00381548"/>
    <w:rsid w:val="0038186C"/>
    <w:rsid w:val="00381CB1"/>
    <w:rsid w:val="00382086"/>
    <w:rsid w:val="00382181"/>
    <w:rsid w:val="003825C1"/>
    <w:rsid w:val="0038267E"/>
    <w:rsid w:val="003829B3"/>
    <w:rsid w:val="003829E9"/>
    <w:rsid w:val="00382B6F"/>
    <w:rsid w:val="00382E95"/>
    <w:rsid w:val="00382EDD"/>
    <w:rsid w:val="003832B8"/>
    <w:rsid w:val="00383695"/>
    <w:rsid w:val="0038370C"/>
    <w:rsid w:val="00383798"/>
    <w:rsid w:val="00383B2C"/>
    <w:rsid w:val="0038461D"/>
    <w:rsid w:val="00384CD9"/>
    <w:rsid w:val="0038528D"/>
    <w:rsid w:val="0038557D"/>
    <w:rsid w:val="003859EA"/>
    <w:rsid w:val="00385CEA"/>
    <w:rsid w:val="00385DE3"/>
    <w:rsid w:val="00385F39"/>
    <w:rsid w:val="003860E8"/>
    <w:rsid w:val="00386579"/>
    <w:rsid w:val="00386633"/>
    <w:rsid w:val="0038663A"/>
    <w:rsid w:val="00386815"/>
    <w:rsid w:val="0038697D"/>
    <w:rsid w:val="00387167"/>
    <w:rsid w:val="0038722E"/>
    <w:rsid w:val="003872C2"/>
    <w:rsid w:val="003875B0"/>
    <w:rsid w:val="00387729"/>
    <w:rsid w:val="003878FB"/>
    <w:rsid w:val="00387B5F"/>
    <w:rsid w:val="00387C80"/>
    <w:rsid w:val="00387C93"/>
    <w:rsid w:val="00387D0F"/>
    <w:rsid w:val="00387D64"/>
    <w:rsid w:val="00387DED"/>
    <w:rsid w:val="00387EEB"/>
    <w:rsid w:val="0039022F"/>
    <w:rsid w:val="003903E3"/>
    <w:rsid w:val="00390513"/>
    <w:rsid w:val="003906FE"/>
    <w:rsid w:val="00390820"/>
    <w:rsid w:val="00390925"/>
    <w:rsid w:val="003909F5"/>
    <w:rsid w:val="00390FE0"/>
    <w:rsid w:val="003913D8"/>
    <w:rsid w:val="00391529"/>
    <w:rsid w:val="0039161E"/>
    <w:rsid w:val="00391832"/>
    <w:rsid w:val="00391DE9"/>
    <w:rsid w:val="00391E2F"/>
    <w:rsid w:val="003927E3"/>
    <w:rsid w:val="00392E86"/>
    <w:rsid w:val="003930B4"/>
    <w:rsid w:val="003932BD"/>
    <w:rsid w:val="0039382D"/>
    <w:rsid w:val="00393B89"/>
    <w:rsid w:val="00393E3C"/>
    <w:rsid w:val="00394034"/>
    <w:rsid w:val="003941AF"/>
    <w:rsid w:val="003942BF"/>
    <w:rsid w:val="00394CB2"/>
    <w:rsid w:val="00395151"/>
    <w:rsid w:val="00395188"/>
    <w:rsid w:val="003951DD"/>
    <w:rsid w:val="0039532E"/>
    <w:rsid w:val="003955BA"/>
    <w:rsid w:val="00395A3A"/>
    <w:rsid w:val="00395BAF"/>
    <w:rsid w:val="00395F18"/>
    <w:rsid w:val="003960FC"/>
    <w:rsid w:val="0039624B"/>
    <w:rsid w:val="00396450"/>
    <w:rsid w:val="00396A45"/>
    <w:rsid w:val="00396C93"/>
    <w:rsid w:val="00396CC8"/>
    <w:rsid w:val="00396E16"/>
    <w:rsid w:val="00396F20"/>
    <w:rsid w:val="00397474"/>
    <w:rsid w:val="00397627"/>
    <w:rsid w:val="0039764F"/>
    <w:rsid w:val="00397716"/>
    <w:rsid w:val="003978CA"/>
    <w:rsid w:val="00397B16"/>
    <w:rsid w:val="00397C0D"/>
    <w:rsid w:val="00397D80"/>
    <w:rsid w:val="003A00C4"/>
    <w:rsid w:val="003A061E"/>
    <w:rsid w:val="003A08DB"/>
    <w:rsid w:val="003A090D"/>
    <w:rsid w:val="003A0AB1"/>
    <w:rsid w:val="003A0D0D"/>
    <w:rsid w:val="003A1353"/>
    <w:rsid w:val="003A13A5"/>
    <w:rsid w:val="003A1441"/>
    <w:rsid w:val="003A1591"/>
    <w:rsid w:val="003A17F7"/>
    <w:rsid w:val="003A19FD"/>
    <w:rsid w:val="003A1FB5"/>
    <w:rsid w:val="003A2035"/>
    <w:rsid w:val="003A2D2C"/>
    <w:rsid w:val="003A34CC"/>
    <w:rsid w:val="003A35C6"/>
    <w:rsid w:val="003A3642"/>
    <w:rsid w:val="003A3DDA"/>
    <w:rsid w:val="003A406C"/>
    <w:rsid w:val="003A42F6"/>
    <w:rsid w:val="003A45D6"/>
    <w:rsid w:val="003A474D"/>
    <w:rsid w:val="003A49EE"/>
    <w:rsid w:val="003A4EE8"/>
    <w:rsid w:val="003A5081"/>
    <w:rsid w:val="003A52B9"/>
    <w:rsid w:val="003A55DF"/>
    <w:rsid w:val="003A57DF"/>
    <w:rsid w:val="003A5824"/>
    <w:rsid w:val="003A58D7"/>
    <w:rsid w:val="003A5B1F"/>
    <w:rsid w:val="003A5B21"/>
    <w:rsid w:val="003A5D33"/>
    <w:rsid w:val="003A5F70"/>
    <w:rsid w:val="003A6080"/>
    <w:rsid w:val="003A61F8"/>
    <w:rsid w:val="003A6549"/>
    <w:rsid w:val="003A6C5F"/>
    <w:rsid w:val="003A6C7D"/>
    <w:rsid w:val="003A7392"/>
    <w:rsid w:val="003A773A"/>
    <w:rsid w:val="003A7974"/>
    <w:rsid w:val="003A7DE4"/>
    <w:rsid w:val="003A7E8C"/>
    <w:rsid w:val="003A7F35"/>
    <w:rsid w:val="003A7FC4"/>
    <w:rsid w:val="003B01E9"/>
    <w:rsid w:val="003B01EA"/>
    <w:rsid w:val="003B026D"/>
    <w:rsid w:val="003B0335"/>
    <w:rsid w:val="003B0416"/>
    <w:rsid w:val="003B047E"/>
    <w:rsid w:val="003B06D8"/>
    <w:rsid w:val="003B0CE2"/>
    <w:rsid w:val="003B0E44"/>
    <w:rsid w:val="003B138B"/>
    <w:rsid w:val="003B14A3"/>
    <w:rsid w:val="003B1593"/>
    <w:rsid w:val="003B1A37"/>
    <w:rsid w:val="003B1C9C"/>
    <w:rsid w:val="003B2175"/>
    <w:rsid w:val="003B24BD"/>
    <w:rsid w:val="003B2CAF"/>
    <w:rsid w:val="003B303B"/>
    <w:rsid w:val="003B3170"/>
    <w:rsid w:val="003B31D7"/>
    <w:rsid w:val="003B324B"/>
    <w:rsid w:val="003B35B0"/>
    <w:rsid w:val="003B37DC"/>
    <w:rsid w:val="003B4010"/>
    <w:rsid w:val="003B4336"/>
    <w:rsid w:val="003B4434"/>
    <w:rsid w:val="003B473D"/>
    <w:rsid w:val="003B4A23"/>
    <w:rsid w:val="003B4B2D"/>
    <w:rsid w:val="003B4BB5"/>
    <w:rsid w:val="003B53B8"/>
    <w:rsid w:val="003B58B4"/>
    <w:rsid w:val="003B5ADD"/>
    <w:rsid w:val="003B5B0C"/>
    <w:rsid w:val="003B5FC8"/>
    <w:rsid w:val="003B6348"/>
    <w:rsid w:val="003B640E"/>
    <w:rsid w:val="003B64F2"/>
    <w:rsid w:val="003B6903"/>
    <w:rsid w:val="003B6BF7"/>
    <w:rsid w:val="003B6E06"/>
    <w:rsid w:val="003B6FA7"/>
    <w:rsid w:val="003B7471"/>
    <w:rsid w:val="003B7B87"/>
    <w:rsid w:val="003B7CC2"/>
    <w:rsid w:val="003C0054"/>
    <w:rsid w:val="003C0178"/>
    <w:rsid w:val="003C02E9"/>
    <w:rsid w:val="003C0411"/>
    <w:rsid w:val="003C0684"/>
    <w:rsid w:val="003C09B7"/>
    <w:rsid w:val="003C0A09"/>
    <w:rsid w:val="003C0D5C"/>
    <w:rsid w:val="003C0E4E"/>
    <w:rsid w:val="003C1092"/>
    <w:rsid w:val="003C13DC"/>
    <w:rsid w:val="003C16A5"/>
    <w:rsid w:val="003C1914"/>
    <w:rsid w:val="003C1A47"/>
    <w:rsid w:val="003C1E04"/>
    <w:rsid w:val="003C2063"/>
    <w:rsid w:val="003C2C85"/>
    <w:rsid w:val="003C2EAA"/>
    <w:rsid w:val="003C2F71"/>
    <w:rsid w:val="003C3074"/>
    <w:rsid w:val="003C3095"/>
    <w:rsid w:val="003C30A9"/>
    <w:rsid w:val="003C3111"/>
    <w:rsid w:val="003C36E5"/>
    <w:rsid w:val="003C3742"/>
    <w:rsid w:val="003C3832"/>
    <w:rsid w:val="003C40A0"/>
    <w:rsid w:val="003C4136"/>
    <w:rsid w:val="003C420A"/>
    <w:rsid w:val="003C4309"/>
    <w:rsid w:val="003C43E6"/>
    <w:rsid w:val="003C461B"/>
    <w:rsid w:val="003C469B"/>
    <w:rsid w:val="003C4811"/>
    <w:rsid w:val="003C49F3"/>
    <w:rsid w:val="003C4B71"/>
    <w:rsid w:val="003C4FD7"/>
    <w:rsid w:val="003C52C7"/>
    <w:rsid w:val="003C5342"/>
    <w:rsid w:val="003C5469"/>
    <w:rsid w:val="003C577A"/>
    <w:rsid w:val="003C58E8"/>
    <w:rsid w:val="003C5ACA"/>
    <w:rsid w:val="003C5E80"/>
    <w:rsid w:val="003C6399"/>
    <w:rsid w:val="003C6497"/>
    <w:rsid w:val="003C6A56"/>
    <w:rsid w:val="003C6B67"/>
    <w:rsid w:val="003C73C7"/>
    <w:rsid w:val="003C76F7"/>
    <w:rsid w:val="003C7887"/>
    <w:rsid w:val="003C794F"/>
    <w:rsid w:val="003C7987"/>
    <w:rsid w:val="003C7A63"/>
    <w:rsid w:val="003C7E95"/>
    <w:rsid w:val="003D03B7"/>
    <w:rsid w:val="003D04C3"/>
    <w:rsid w:val="003D0774"/>
    <w:rsid w:val="003D0AEE"/>
    <w:rsid w:val="003D0E86"/>
    <w:rsid w:val="003D102A"/>
    <w:rsid w:val="003D1175"/>
    <w:rsid w:val="003D133C"/>
    <w:rsid w:val="003D1408"/>
    <w:rsid w:val="003D16E3"/>
    <w:rsid w:val="003D19B2"/>
    <w:rsid w:val="003D1F54"/>
    <w:rsid w:val="003D1FA3"/>
    <w:rsid w:val="003D220D"/>
    <w:rsid w:val="003D233D"/>
    <w:rsid w:val="003D2604"/>
    <w:rsid w:val="003D2CE1"/>
    <w:rsid w:val="003D2D15"/>
    <w:rsid w:val="003D3202"/>
    <w:rsid w:val="003D326B"/>
    <w:rsid w:val="003D36F8"/>
    <w:rsid w:val="003D38AA"/>
    <w:rsid w:val="003D3A3B"/>
    <w:rsid w:val="003D3BFC"/>
    <w:rsid w:val="003D3D9F"/>
    <w:rsid w:val="003D40FA"/>
    <w:rsid w:val="003D41C2"/>
    <w:rsid w:val="003D43CB"/>
    <w:rsid w:val="003D4559"/>
    <w:rsid w:val="003D4B67"/>
    <w:rsid w:val="003D4E8E"/>
    <w:rsid w:val="003D5072"/>
    <w:rsid w:val="003D5138"/>
    <w:rsid w:val="003D540D"/>
    <w:rsid w:val="003D54DE"/>
    <w:rsid w:val="003D550E"/>
    <w:rsid w:val="003D55CE"/>
    <w:rsid w:val="003D57CC"/>
    <w:rsid w:val="003D5837"/>
    <w:rsid w:val="003D5948"/>
    <w:rsid w:val="003D5B3D"/>
    <w:rsid w:val="003D5C56"/>
    <w:rsid w:val="003D5F73"/>
    <w:rsid w:val="003D5FD5"/>
    <w:rsid w:val="003D60D1"/>
    <w:rsid w:val="003D6250"/>
    <w:rsid w:val="003D6321"/>
    <w:rsid w:val="003D6505"/>
    <w:rsid w:val="003D6B50"/>
    <w:rsid w:val="003D6BC5"/>
    <w:rsid w:val="003D6F3B"/>
    <w:rsid w:val="003D77D7"/>
    <w:rsid w:val="003D7B86"/>
    <w:rsid w:val="003E00D2"/>
    <w:rsid w:val="003E0572"/>
    <w:rsid w:val="003E05FA"/>
    <w:rsid w:val="003E062D"/>
    <w:rsid w:val="003E0713"/>
    <w:rsid w:val="003E0E66"/>
    <w:rsid w:val="003E1365"/>
    <w:rsid w:val="003E1460"/>
    <w:rsid w:val="003E1498"/>
    <w:rsid w:val="003E14C2"/>
    <w:rsid w:val="003E15A6"/>
    <w:rsid w:val="003E15E6"/>
    <w:rsid w:val="003E1674"/>
    <w:rsid w:val="003E197C"/>
    <w:rsid w:val="003E1F84"/>
    <w:rsid w:val="003E211D"/>
    <w:rsid w:val="003E22C1"/>
    <w:rsid w:val="003E2436"/>
    <w:rsid w:val="003E28A0"/>
    <w:rsid w:val="003E2A3A"/>
    <w:rsid w:val="003E2C69"/>
    <w:rsid w:val="003E2FAD"/>
    <w:rsid w:val="003E305E"/>
    <w:rsid w:val="003E30AA"/>
    <w:rsid w:val="003E36EB"/>
    <w:rsid w:val="003E38DD"/>
    <w:rsid w:val="003E3B40"/>
    <w:rsid w:val="003E3DAB"/>
    <w:rsid w:val="003E4295"/>
    <w:rsid w:val="003E445E"/>
    <w:rsid w:val="003E4602"/>
    <w:rsid w:val="003E4918"/>
    <w:rsid w:val="003E4C04"/>
    <w:rsid w:val="003E5400"/>
    <w:rsid w:val="003E5669"/>
    <w:rsid w:val="003E5785"/>
    <w:rsid w:val="003E5CC6"/>
    <w:rsid w:val="003E5F46"/>
    <w:rsid w:val="003E652F"/>
    <w:rsid w:val="003E65E6"/>
    <w:rsid w:val="003E6725"/>
    <w:rsid w:val="003E687C"/>
    <w:rsid w:val="003E6F51"/>
    <w:rsid w:val="003E7434"/>
    <w:rsid w:val="003E7736"/>
    <w:rsid w:val="003E7E2C"/>
    <w:rsid w:val="003F0290"/>
    <w:rsid w:val="003F057E"/>
    <w:rsid w:val="003F11AB"/>
    <w:rsid w:val="003F16D0"/>
    <w:rsid w:val="003F1E46"/>
    <w:rsid w:val="003F1F80"/>
    <w:rsid w:val="003F208D"/>
    <w:rsid w:val="003F26B7"/>
    <w:rsid w:val="003F27F5"/>
    <w:rsid w:val="003F280F"/>
    <w:rsid w:val="003F2F18"/>
    <w:rsid w:val="003F3274"/>
    <w:rsid w:val="003F3433"/>
    <w:rsid w:val="003F352A"/>
    <w:rsid w:val="003F3888"/>
    <w:rsid w:val="003F39C5"/>
    <w:rsid w:val="003F3C45"/>
    <w:rsid w:val="003F3D1E"/>
    <w:rsid w:val="003F4199"/>
    <w:rsid w:val="003F444C"/>
    <w:rsid w:val="003F4777"/>
    <w:rsid w:val="003F47D9"/>
    <w:rsid w:val="003F496E"/>
    <w:rsid w:val="003F4B67"/>
    <w:rsid w:val="003F4CE2"/>
    <w:rsid w:val="003F520E"/>
    <w:rsid w:val="003F529A"/>
    <w:rsid w:val="003F5674"/>
    <w:rsid w:val="003F5757"/>
    <w:rsid w:val="003F5E51"/>
    <w:rsid w:val="003F6173"/>
    <w:rsid w:val="003F6194"/>
    <w:rsid w:val="003F63D9"/>
    <w:rsid w:val="003F661F"/>
    <w:rsid w:val="003F6D38"/>
    <w:rsid w:val="003F6DFC"/>
    <w:rsid w:val="003F6F1C"/>
    <w:rsid w:val="003F7304"/>
    <w:rsid w:val="003F73D8"/>
    <w:rsid w:val="003F78B9"/>
    <w:rsid w:val="003F7E36"/>
    <w:rsid w:val="00400122"/>
    <w:rsid w:val="0040012D"/>
    <w:rsid w:val="00400138"/>
    <w:rsid w:val="004003B1"/>
    <w:rsid w:val="0040064B"/>
    <w:rsid w:val="00400AE3"/>
    <w:rsid w:val="00400B15"/>
    <w:rsid w:val="00400E38"/>
    <w:rsid w:val="00400F42"/>
    <w:rsid w:val="0040118C"/>
    <w:rsid w:val="00401503"/>
    <w:rsid w:val="00401584"/>
    <w:rsid w:val="00401621"/>
    <w:rsid w:val="004019B4"/>
    <w:rsid w:val="00401B10"/>
    <w:rsid w:val="00401EA9"/>
    <w:rsid w:val="004020A0"/>
    <w:rsid w:val="00402724"/>
    <w:rsid w:val="004033D2"/>
    <w:rsid w:val="004034AB"/>
    <w:rsid w:val="004035DA"/>
    <w:rsid w:val="00403D7C"/>
    <w:rsid w:val="00403F60"/>
    <w:rsid w:val="00404026"/>
    <w:rsid w:val="00404C01"/>
    <w:rsid w:val="00404CF0"/>
    <w:rsid w:val="00404D26"/>
    <w:rsid w:val="00404D87"/>
    <w:rsid w:val="00404E7A"/>
    <w:rsid w:val="00405040"/>
    <w:rsid w:val="0040550C"/>
    <w:rsid w:val="004056A7"/>
    <w:rsid w:val="004058E2"/>
    <w:rsid w:val="004059B1"/>
    <w:rsid w:val="00405B4B"/>
    <w:rsid w:val="00405B85"/>
    <w:rsid w:val="00405D7C"/>
    <w:rsid w:val="004063D6"/>
    <w:rsid w:val="00406804"/>
    <w:rsid w:val="00406910"/>
    <w:rsid w:val="00406954"/>
    <w:rsid w:val="00406978"/>
    <w:rsid w:val="0040699B"/>
    <w:rsid w:val="00406B5C"/>
    <w:rsid w:val="00406DA6"/>
    <w:rsid w:val="00406FAF"/>
    <w:rsid w:val="00407475"/>
    <w:rsid w:val="004075FA"/>
    <w:rsid w:val="004078AB"/>
    <w:rsid w:val="00407A84"/>
    <w:rsid w:val="00407AFB"/>
    <w:rsid w:val="00407DB8"/>
    <w:rsid w:val="004100F1"/>
    <w:rsid w:val="00410109"/>
    <w:rsid w:val="0041026C"/>
    <w:rsid w:val="00410393"/>
    <w:rsid w:val="0041069A"/>
    <w:rsid w:val="00410BE8"/>
    <w:rsid w:val="00410D96"/>
    <w:rsid w:val="00410DF2"/>
    <w:rsid w:val="00410EA3"/>
    <w:rsid w:val="00410EF5"/>
    <w:rsid w:val="00410F21"/>
    <w:rsid w:val="00411111"/>
    <w:rsid w:val="0041151C"/>
    <w:rsid w:val="0041177B"/>
    <w:rsid w:val="00411911"/>
    <w:rsid w:val="00411C27"/>
    <w:rsid w:val="00411FA2"/>
    <w:rsid w:val="004125BD"/>
    <w:rsid w:val="00413119"/>
    <w:rsid w:val="00413345"/>
    <w:rsid w:val="00413485"/>
    <w:rsid w:val="0041382F"/>
    <w:rsid w:val="00413970"/>
    <w:rsid w:val="00413AFB"/>
    <w:rsid w:val="00413C18"/>
    <w:rsid w:val="00413D44"/>
    <w:rsid w:val="00413F88"/>
    <w:rsid w:val="00413FCE"/>
    <w:rsid w:val="004141C3"/>
    <w:rsid w:val="00414232"/>
    <w:rsid w:val="00414376"/>
    <w:rsid w:val="00414472"/>
    <w:rsid w:val="0041469B"/>
    <w:rsid w:val="00414997"/>
    <w:rsid w:val="004149B8"/>
    <w:rsid w:val="00414B4F"/>
    <w:rsid w:val="00414F4C"/>
    <w:rsid w:val="00415625"/>
    <w:rsid w:val="004158D5"/>
    <w:rsid w:val="004159E1"/>
    <w:rsid w:val="00415A1B"/>
    <w:rsid w:val="00415D16"/>
    <w:rsid w:val="004160AF"/>
    <w:rsid w:val="004164E5"/>
    <w:rsid w:val="004167A1"/>
    <w:rsid w:val="004168E1"/>
    <w:rsid w:val="00416EAE"/>
    <w:rsid w:val="00417024"/>
    <w:rsid w:val="00417438"/>
    <w:rsid w:val="0041764F"/>
    <w:rsid w:val="0041772D"/>
    <w:rsid w:val="0041776F"/>
    <w:rsid w:val="004178F0"/>
    <w:rsid w:val="00420130"/>
    <w:rsid w:val="00420150"/>
    <w:rsid w:val="004201FB"/>
    <w:rsid w:val="0042046F"/>
    <w:rsid w:val="004204CA"/>
    <w:rsid w:val="00420975"/>
    <w:rsid w:val="00420AC8"/>
    <w:rsid w:val="00420DE8"/>
    <w:rsid w:val="00421B9B"/>
    <w:rsid w:val="00421D54"/>
    <w:rsid w:val="004221AD"/>
    <w:rsid w:val="0042259E"/>
    <w:rsid w:val="004226B5"/>
    <w:rsid w:val="004227B3"/>
    <w:rsid w:val="00422B1A"/>
    <w:rsid w:val="00422B38"/>
    <w:rsid w:val="00422B87"/>
    <w:rsid w:val="0042329C"/>
    <w:rsid w:val="004234C7"/>
    <w:rsid w:val="004239DF"/>
    <w:rsid w:val="00423A99"/>
    <w:rsid w:val="00423B5F"/>
    <w:rsid w:val="00423C1A"/>
    <w:rsid w:val="00423E3E"/>
    <w:rsid w:val="00424BDF"/>
    <w:rsid w:val="00424FD8"/>
    <w:rsid w:val="0042512F"/>
    <w:rsid w:val="0042531C"/>
    <w:rsid w:val="00425610"/>
    <w:rsid w:val="0042562D"/>
    <w:rsid w:val="004256FA"/>
    <w:rsid w:val="00425769"/>
    <w:rsid w:val="00425ACB"/>
    <w:rsid w:val="00425C68"/>
    <w:rsid w:val="00425E2F"/>
    <w:rsid w:val="00426083"/>
    <w:rsid w:val="0042719D"/>
    <w:rsid w:val="004271E5"/>
    <w:rsid w:val="004274F3"/>
    <w:rsid w:val="0042759F"/>
    <w:rsid w:val="0042771F"/>
    <w:rsid w:val="0042792B"/>
    <w:rsid w:val="0042798B"/>
    <w:rsid w:val="00427B21"/>
    <w:rsid w:val="00427B3A"/>
    <w:rsid w:val="00427D00"/>
    <w:rsid w:val="00427D66"/>
    <w:rsid w:val="0043006A"/>
    <w:rsid w:val="00430165"/>
    <w:rsid w:val="00430174"/>
    <w:rsid w:val="004306C3"/>
    <w:rsid w:val="00430BF8"/>
    <w:rsid w:val="00430E24"/>
    <w:rsid w:val="00430FBD"/>
    <w:rsid w:val="00431232"/>
    <w:rsid w:val="00431428"/>
    <w:rsid w:val="00431821"/>
    <w:rsid w:val="00432B77"/>
    <w:rsid w:val="00433685"/>
    <w:rsid w:val="00433A8B"/>
    <w:rsid w:val="0043407A"/>
    <w:rsid w:val="004343FB"/>
    <w:rsid w:val="0043448C"/>
    <w:rsid w:val="00434534"/>
    <w:rsid w:val="004347A2"/>
    <w:rsid w:val="004347E2"/>
    <w:rsid w:val="0043483F"/>
    <w:rsid w:val="004349FB"/>
    <w:rsid w:val="00434F11"/>
    <w:rsid w:val="00435BBE"/>
    <w:rsid w:val="00436373"/>
    <w:rsid w:val="00436BEC"/>
    <w:rsid w:val="00436D37"/>
    <w:rsid w:val="00437545"/>
    <w:rsid w:val="00437ADF"/>
    <w:rsid w:val="00437B96"/>
    <w:rsid w:val="00437FD0"/>
    <w:rsid w:val="0044006E"/>
    <w:rsid w:val="004403B3"/>
    <w:rsid w:val="004403DB"/>
    <w:rsid w:val="004405C0"/>
    <w:rsid w:val="0044068E"/>
    <w:rsid w:val="004407FB"/>
    <w:rsid w:val="00440880"/>
    <w:rsid w:val="004408BA"/>
    <w:rsid w:val="00441388"/>
    <w:rsid w:val="004413AB"/>
    <w:rsid w:val="0044151C"/>
    <w:rsid w:val="0044173B"/>
    <w:rsid w:val="00441828"/>
    <w:rsid w:val="004418FF"/>
    <w:rsid w:val="00442031"/>
    <w:rsid w:val="0044219F"/>
    <w:rsid w:val="00442C08"/>
    <w:rsid w:val="00442D74"/>
    <w:rsid w:val="00442E5B"/>
    <w:rsid w:val="0044338E"/>
    <w:rsid w:val="00443536"/>
    <w:rsid w:val="00443928"/>
    <w:rsid w:val="00443BA9"/>
    <w:rsid w:val="00443BF6"/>
    <w:rsid w:val="00443C31"/>
    <w:rsid w:val="00443E69"/>
    <w:rsid w:val="00443F36"/>
    <w:rsid w:val="00444205"/>
    <w:rsid w:val="004446C9"/>
    <w:rsid w:val="004447C3"/>
    <w:rsid w:val="00444858"/>
    <w:rsid w:val="004449EF"/>
    <w:rsid w:val="00444C63"/>
    <w:rsid w:val="00444FB7"/>
    <w:rsid w:val="00444FF3"/>
    <w:rsid w:val="004453E1"/>
    <w:rsid w:val="00445B85"/>
    <w:rsid w:val="00445CD8"/>
    <w:rsid w:val="00445FE5"/>
    <w:rsid w:val="004461BF"/>
    <w:rsid w:val="004461F6"/>
    <w:rsid w:val="00446451"/>
    <w:rsid w:val="004464FC"/>
    <w:rsid w:val="004467B1"/>
    <w:rsid w:val="00447324"/>
    <w:rsid w:val="0044762B"/>
    <w:rsid w:val="00447672"/>
    <w:rsid w:val="00447DD9"/>
    <w:rsid w:val="00447E7E"/>
    <w:rsid w:val="00450227"/>
    <w:rsid w:val="004504D5"/>
    <w:rsid w:val="00450B45"/>
    <w:rsid w:val="00450BFC"/>
    <w:rsid w:val="00450E97"/>
    <w:rsid w:val="00450F67"/>
    <w:rsid w:val="00451588"/>
    <w:rsid w:val="0045161E"/>
    <w:rsid w:val="004519E9"/>
    <w:rsid w:val="00451E64"/>
    <w:rsid w:val="0045200A"/>
    <w:rsid w:val="004524DE"/>
    <w:rsid w:val="00452705"/>
    <w:rsid w:val="00452B20"/>
    <w:rsid w:val="00452BE0"/>
    <w:rsid w:val="00452F30"/>
    <w:rsid w:val="00452F4F"/>
    <w:rsid w:val="00453006"/>
    <w:rsid w:val="0045389A"/>
    <w:rsid w:val="00453AE8"/>
    <w:rsid w:val="0045416C"/>
    <w:rsid w:val="0045463C"/>
    <w:rsid w:val="0045467A"/>
    <w:rsid w:val="00454795"/>
    <w:rsid w:val="00454E85"/>
    <w:rsid w:val="00454ECB"/>
    <w:rsid w:val="00455285"/>
    <w:rsid w:val="004553EB"/>
    <w:rsid w:val="00455504"/>
    <w:rsid w:val="00455509"/>
    <w:rsid w:val="00455A23"/>
    <w:rsid w:val="00455A53"/>
    <w:rsid w:val="0045615B"/>
    <w:rsid w:val="00456335"/>
    <w:rsid w:val="004567B5"/>
    <w:rsid w:val="004567D3"/>
    <w:rsid w:val="004568F1"/>
    <w:rsid w:val="00456900"/>
    <w:rsid w:val="00456908"/>
    <w:rsid w:val="00456C49"/>
    <w:rsid w:val="00456CD9"/>
    <w:rsid w:val="00456DA5"/>
    <w:rsid w:val="00457311"/>
    <w:rsid w:val="004574D1"/>
    <w:rsid w:val="00457849"/>
    <w:rsid w:val="0045786C"/>
    <w:rsid w:val="0045790B"/>
    <w:rsid w:val="00457A62"/>
    <w:rsid w:val="00457AFE"/>
    <w:rsid w:val="00457B83"/>
    <w:rsid w:val="00457EB1"/>
    <w:rsid w:val="004604E7"/>
    <w:rsid w:val="0046051B"/>
    <w:rsid w:val="00460610"/>
    <w:rsid w:val="00460CF0"/>
    <w:rsid w:val="004612DE"/>
    <w:rsid w:val="0046146F"/>
    <w:rsid w:val="0046167B"/>
    <w:rsid w:val="004618E5"/>
    <w:rsid w:val="00461B15"/>
    <w:rsid w:val="00461BFF"/>
    <w:rsid w:val="00461C55"/>
    <w:rsid w:val="00461D43"/>
    <w:rsid w:val="00462420"/>
    <w:rsid w:val="00462583"/>
    <w:rsid w:val="004629B7"/>
    <w:rsid w:val="00462AFB"/>
    <w:rsid w:val="00462EEE"/>
    <w:rsid w:val="004632D0"/>
    <w:rsid w:val="0046336A"/>
    <w:rsid w:val="004635A9"/>
    <w:rsid w:val="00463721"/>
    <w:rsid w:val="0046384F"/>
    <w:rsid w:val="00463D8A"/>
    <w:rsid w:val="00463EA7"/>
    <w:rsid w:val="00463EE0"/>
    <w:rsid w:val="0046416A"/>
    <w:rsid w:val="00464238"/>
    <w:rsid w:val="0046435B"/>
    <w:rsid w:val="0046477F"/>
    <w:rsid w:val="0046482B"/>
    <w:rsid w:val="00465242"/>
    <w:rsid w:val="0046570B"/>
    <w:rsid w:val="0046585A"/>
    <w:rsid w:val="00465C47"/>
    <w:rsid w:val="00466099"/>
    <w:rsid w:val="0046619E"/>
    <w:rsid w:val="004661A4"/>
    <w:rsid w:val="0046645A"/>
    <w:rsid w:val="004664FB"/>
    <w:rsid w:val="00466668"/>
    <w:rsid w:val="004673E9"/>
    <w:rsid w:val="0046753D"/>
    <w:rsid w:val="004675D3"/>
    <w:rsid w:val="004676B4"/>
    <w:rsid w:val="00467A09"/>
    <w:rsid w:val="00467F1E"/>
    <w:rsid w:val="0047014F"/>
    <w:rsid w:val="004701D8"/>
    <w:rsid w:val="004703CF"/>
    <w:rsid w:val="004704F5"/>
    <w:rsid w:val="00470659"/>
    <w:rsid w:val="00470976"/>
    <w:rsid w:val="00470A09"/>
    <w:rsid w:val="00470F62"/>
    <w:rsid w:val="0047165E"/>
    <w:rsid w:val="004716E0"/>
    <w:rsid w:val="00471DBA"/>
    <w:rsid w:val="00471FB7"/>
    <w:rsid w:val="00472293"/>
    <w:rsid w:val="00472AB4"/>
    <w:rsid w:val="00472B95"/>
    <w:rsid w:val="00472C7D"/>
    <w:rsid w:val="00472DFF"/>
    <w:rsid w:val="00472E2F"/>
    <w:rsid w:val="00472EB8"/>
    <w:rsid w:val="00472F37"/>
    <w:rsid w:val="00472F50"/>
    <w:rsid w:val="00473387"/>
    <w:rsid w:val="004735A8"/>
    <w:rsid w:val="00473608"/>
    <w:rsid w:val="00473871"/>
    <w:rsid w:val="00473933"/>
    <w:rsid w:val="00473A3F"/>
    <w:rsid w:val="00473BD9"/>
    <w:rsid w:val="00473E88"/>
    <w:rsid w:val="004745A9"/>
    <w:rsid w:val="00474645"/>
    <w:rsid w:val="004748B8"/>
    <w:rsid w:val="00474A35"/>
    <w:rsid w:val="00475034"/>
    <w:rsid w:val="0047535F"/>
    <w:rsid w:val="00475A1D"/>
    <w:rsid w:val="00475C4F"/>
    <w:rsid w:val="00475F63"/>
    <w:rsid w:val="00476323"/>
    <w:rsid w:val="00476406"/>
    <w:rsid w:val="004765C9"/>
    <w:rsid w:val="00476A91"/>
    <w:rsid w:val="00476C01"/>
    <w:rsid w:val="00476C14"/>
    <w:rsid w:val="00477060"/>
    <w:rsid w:val="00477A38"/>
    <w:rsid w:val="00477D50"/>
    <w:rsid w:val="00477DB4"/>
    <w:rsid w:val="004802AC"/>
    <w:rsid w:val="00480704"/>
    <w:rsid w:val="00480830"/>
    <w:rsid w:val="004808EA"/>
    <w:rsid w:val="00480B36"/>
    <w:rsid w:val="00480E4D"/>
    <w:rsid w:val="00480F53"/>
    <w:rsid w:val="004810B0"/>
    <w:rsid w:val="00481323"/>
    <w:rsid w:val="00481556"/>
    <w:rsid w:val="0048164F"/>
    <w:rsid w:val="00481976"/>
    <w:rsid w:val="00481A4A"/>
    <w:rsid w:val="00481D14"/>
    <w:rsid w:val="00481FB1"/>
    <w:rsid w:val="00482471"/>
    <w:rsid w:val="004824A5"/>
    <w:rsid w:val="004824C8"/>
    <w:rsid w:val="0048251F"/>
    <w:rsid w:val="0048259D"/>
    <w:rsid w:val="004826A3"/>
    <w:rsid w:val="0048283A"/>
    <w:rsid w:val="00482947"/>
    <w:rsid w:val="0048296A"/>
    <w:rsid w:val="004829C8"/>
    <w:rsid w:val="00482C64"/>
    <w:rsid w:val="00482E8F"/>
    <w:rsid w:val="00482F25"/>
    <w:rsid w:val="004831AD"/>
    <w:rsid w:val="004832A8"/>
    <w:rsid w:val="0048330C"/>
    <w:rsid w:val="0048343E"/>
    <w:rsid w:val="0048347C"/>
    <w:rsid w:val="0048356F"/>
    <w:rsid w:val="0048362A"/>
    <w:rsid w:val="0048383E"/>
    <w:rsid w:val="0048398A"/>
    <w:rsid w:val="00483B36"/>
    <w:rsid w:val="00483C83"/>
    <w:rsid w:val="00483C9C"/>
    <w:rsid w:val="0048417A"/>
    <w:rsid w:val="004848F7"/>
    <w:rsid w:val="004849E5"/>
    <w:rsid w:val="00484B5F"/>
    <w:rsid w:val="00484EFB"/>
    <w:rsid w:val="0048528A"/>
    <w:rsid w:val="00485413"/>
    <w:rsid w:val="00485974"/>
    <w:rsid w:val="00485AB5"/>
    <w:rsid w:val="00485B1C"/>
    <w:rsid w:val="00485CCF"/>
    <w:rsid w:val="00486094"/>
    <w:rsid w:val="004861D6"/>
    <w:rsid w:val="0048641C"/>
    <w:rsid w:val="00486952"/>
    <w:rsid w:val="0048698F"/>
    <w:rsid w:val="00486CDC"/>
    <w:rsid w:val="00486E11"/>
    <w:rsid w:val="00486EE6"/>
    <w:rsid w:val="00486EF9"/>
    <w:rsid w:val="0048700C"/>
    <w:rsid w:val="00487129"/>
    <w:rsid w:val="00487949"/>
    <w:rsid w:val="00487A0B"/>
    <w:rsid w:val="00487AAD"/>
    <w:rsid w:val="00487B1B"/>
    <w:rsid w:val="0049034C"/>
    <w:rsid w:val="0049070A"/>
    <w:rsid w:val="004908BD"/>
    <w:rsid w:val="004909E7"/>
    <w:rsid w:val="00490A2F"/>
    <w:rsid w:val="00490A7A"/>
    <w:rsid w:val="00490DF5"/>
    <w:rsid w:val="00491098"/>
    <w:rsid w:val="0049129D"/>
    <w:rsid w:val="004912E3"/>
    <w:rsid w:val="004914FD"/>
    <w:rsid w:val="00491503"/>
    <w:rsid w:val="00491841"/>
    <w:rsid w:val="00491C9E"/>
    <w:rsid w:val="00491D6A"/>
    <w:rsid w:val="00491F02"/>
    <w:rsid w:val="0049204A"/>
    <w:rsid w:val="00492338"/>
    <w:rsid w:val="004928C5"/>
    <w:rsid w:val="004928FA"/>
    <w:rsid w:val="00492EB3"/>
    <w:rsid w:val="004933CD"/>
    <w:rsid w:val="00493506"/>
    <w:rsid w:val="00493C45"/>
    <w:rsid w:val="00493CA6"/>
    <w:rsid w:val="00493F0F"/>
    <w:rsid w:val="00493F1B"/>
    <w:rsid w:val="0049456D"/>
    <w:rsid w:val="00494812"/>
    <w:rsid w:val="00494A53"/>
    <w:rsid w:val="00494AC9"/>
    <w:rsid w:val="00494E3E"/>
    <w:rsid w:val="004951FF"/>
    <w:rsid w:val="0049581C"/>
    <w:rsid w:val="00495825"/>
    <w:rsid w:val="00495B69"/>
    <w:rsid w:val="004962B3"/>
    <w:rsid w:val="0049682C"/>
    <w:rsid w:val="00496960"/>
    <w:rsid w:val="00496C3A"/>
    <w:rsid w:val="00496C79"/>
    <w:rsid w:val="00496CA0"/>
    <w:rsid w:val="00496F15"/>
    <w:rsid w:val="00496FBA"/>
    <w:rsid w:val="004972F6"/>
    <w:rsid w:val="00497BA8"/>
    <w:rsid w:val="00497BC1"/>
    <w:rsid w:val="00497E52"/>
    <w:rsid w:val="004A0156"/>
    <w:rsid w:val="004A01B8"/>
    <w:rsid w:val="004A0534"/>
    <w:rsid w:val="004A0DAD"/>
    <w:rsid w:val="004A0E2F"/>
    <w:rsid w:val="004A126B"/>
    <w:rsid w:val="004A1722"/>
    <w:rsid w:val="004A1732"/>
    <w:rsid w:val="004A179E"/>
    <w:rsid w:val="004A1B12"/>
    <w:rsid w:val="004A1BDC"/>
    <w:rsid w:val="004A1C93"/>
    <w:rsid w:val="004A1CF8"/>
    <w:rsid w:val="004A1D1C"/>
    <w:rsid w:val="004A1DEB"/>
    <w:rsid w:val="004A2500"/>
    <w:rsid w:val="004A2501"/>
    <w:rsid w:val="004A2790"/>
    <w:rsid w:val="004A2B64"/>
    <w:rsid w:val="004A2BE6"/>
    <w:rsid w:val="004A2C1F"/>
    <w:rsid w:val="004A2F74"/>
    <w:rsid w:val="004A3255"/>
    <w:rsid w:val="004A34B3"/>
    <w:rsid w:val="004A36EE"/>
    <w:rsid w:val="004A3749"/>
    <w:rsid w:val="004A3946"/>
    <w:rsid w:val="004A3A53"/>
    <w:rsid w:val="004A3A75"/>
    <w:rsid w:val="004A3B9A"/>
    <w:rsid w:val="004A4660"/>
    <w:rsid w:val="004A4793"/>
    <w:rsid w:val="004A498E"/>
    <w:rsid w:val="004A4E60"/>
    <w:rsid w:val="004A4EA8"/>
    <w:rsid w:val="004A56F2"/>
    <w:rsid w:val="004A5A92"/>
    <w:rsid w:val="004A5D2F"/>
    <w:rsid w:val="004A671D"/>
    <w:rsid w:val="004A67D8"/>
    <w:rsid w:val="004A6AC5"/>
    <w:rsid w:val="004A7237"/>
    <w:rsid w:val="004A77D2"/>
    <w:rsid w:val="004A7845"/>
    <w:rsid w:val="004A79D8"/>
    <w:rsid w:val="004A7A86"/>
    <w:rsid w:val="004B0023"/>
    <w:rsid w:val="004B00A3"/>
    <w:rsid w:val="004B0AD4"/>
    <w:rsid w:val="004B0DCF"/>
    <w:rsid w:val="004B1342"/>
    <w:rsid w:val="004B13D4"/>
    <w:rsid w:val="004B15ED"/>
    <w:rsid w:val="004B18D4"/>
    <w:rsid w:val="004B19A7"/>
    <w:rsid w:val="004B1C45"/>
    <w:rsid w:val="004B1CDA"/>
    <w:rsid w:val="004B1E74"/>
    <w:rsid w:val="004B1F70"/>
    <w:rsid w:val="004B1F81"/>
    <w:rsid w:val="004B2603"/>
    <w:rsid w:val="004B2788"/>
    <w:rsid w:val="004B298C"/>
    <w:rsid w:val="004B2993"/>
    <w:rsid w:val="004B2C0B"/>
    <w:rsid w:val="004B2C3A"/>
    <w:rsid w:val="004B342D"/>
    <w:rsid w:val="004B3B8D"/>
    <w:rsid w:val="004B3E37"/>
    <w:rsid w:val="004B44C7"/>
    <w:rsid w:val="004B4636"/>
    <w:rsid w:val="004B47B0"/>
    <w:rsid w:val="004B4A4B"/>
    <w:rsid w:val="004B50A0"/>
    <w:rsid w:val="004B5335"/>
    <w:rsid w:val="004B547A"/>
    <w:rsid w:val="004B54E8"/>
    <w:rsid w:val="004B574A"/>
    <w:rsid w:val="004B5759"/>
    <w:rsid w:val="004B57F9"/>
    <w:rsid w:val="004B5AFC"/>
    <w:rsid w:val="004B5B0C"/>
    <w:rsid w:val="004B5BE4"/>
    <w:rsid w:val="004B5FA8"/>
    <w:rsid w:val="004B5FCD"/>
    <w:rsid w:val="004B66E6"/>
    <w:rsid w:val="004B7703"/>
    <w:rsid w:val="004B7733"/>
    <w:rsid w:val="004B777B"/>
    <w:rsid w:val="004B7ADD"/>
    <w:rsid w:val="004B7E3C"/>
    <w:rsid w:val="004B7EB5"/>
    <w:rsid w:val="004B7FFA"/>
    <w:rsid w:val="004C000A"/>
    <w:rsid w:val="004C0212"/>
    <w:rsid w:val="004C0954"/>
    <w:rsid w:val="004C1835"/>
    <w:rsid w:val="004C1939"/>
    <w:rsid w:val="004C1FC2"/>
    <w:rsid w:val="004C218B"/>
    <w:rsid w:val="004C275B"/>
    <w:rsid w:val="004C2801"/>
    <w:rsid w:val="004C3096"/>
    <w:rsid w:val="004C35A8"/>
    <w:rsid w:val="004C3E30"/>
    <w:rsid w:val="004C413D"/>
    <w:rsid w:val="004C43A1"/>
    <w:rsid w:val="004C4427"/>
    <w:rsid w:val="004C4818"/>
    <w:rsid w:val="004C4E6D"/>
    <w:rsid w:val="004C50A6"/>
    <w:rsid w:val="004C510B"/>
    <w:rsid w:val="004C5649"/>
    <w:rsid w:val="004C5A44"/>
    <w:rsid w:val="004C5CFF"/>
    <w:rsid w:val="004C6128"/>
    <w:rsid w:val="004C618E"/>
    <w:rsid w:val="004C64E9"/>
    <w:rsid w:val="004C6542"/>
    <w:rsid w:val="004C6659"/>
    <w:rsid w:val="004C69BF"/>
    <w:rsid w:val="004C6AFD"/>
    <w:rsid w:val="004C6B1A"/>
    <w:rsid w:val="004C7081"/>
    <w:rsid w:val="004C7A5C"/>
    <w:rsid w:val="004C7BB0"/>
    <w:rsid w:val="004D000A"/>
    <w:rsid w:val="004D03C0"/>
    <w:rsid w:val="004D0794"/>
    <w:rsid w:val="004D0B77"/>
    <w:rsid w:val="004D0DB3"/>
    <w:rsid w:val="004D0DE8"/>
    <w:rsid w:val="004D0DFA"/>
    <w:rsid w:val="004D0EF2"/>
    <w:rsid w:val="004D128D"/>
    <w:rsid w:val="004D1431"/>
    <w:rsid w:val="004D187F"/>
    <w:rsid w:val="004D18A8"/>
    <w:rsid w:val="004D21D2"/>
    <w:rsid w:val="004D24BD"/>
    <w:rsid w:val="004D2A3D"/>
    <w:rsid w:val="004D2B7F"/>
    <w:rsid w:val="004D2C38"/>
    <w:rsid w:val="004D2F7F"/>
    <w:rsid w:val="004D316D"/>
    <w:rsid w:val="004D32AD"/>
    <w:rsid w:val="004D3440"/>
    <w:rsid w:val="004D34E4"/>
    <w:rsid w:val="004D3668"/>
    <w:rsid w:val="004D3A29"/>
    <w:rsid w:val="004D3B2F"/>
    <w:rsid w:val="004D3ECA"/>
    <w:rsid w:val="004D447C"/>
    <w:rsid w:val="004D44EA"/>
    <w:rsid w:val="004D464C"/>
    <w:rsid w:val="004D4841"/>
    <w:rsid w:val="004D4CDB"/>
    <w:rsid w:val="004D4EEE"/>
    <w:rsid w:val="004D536D"/>
    <w:rsid w:val="004D54CA"/>
    <w:rsid w:val="004D5679"/>
    <w:rsid w:val="004D5B03"/>
    <w:rsid w:val="004D5D06"/>
    <w:rsid w:val="004D5EB0"/>
    <w:rsid w:val="004D615C"/>
    <w:rsid w:val="004D6222"/>
    <w:rsid w:val="004D6875"/>
    <w:rsid w:val="004D6EE9"/>
    <w:rsid w:val="004D729E"/>
    <w:rsid w:val="004D72F7"/>
    <w:rsid w:val="004D7330"/>
    <w:rsid w:val="004D750E"/>
    <w:rsid w:val="004D7621"/>
    <w:rsid w:val="004D794B"/>
    <w:rsid w:val="004D7991"/>
    <w:rsid w:val="004D7B6E"/>
    <w:rsid w:val="004D7CFB"/>
    <w:rsid w:val="004E0615"/>
    <w:rsid w:val="004E0B1B"/>
    <w:rsid w:val="004E115B"/>
    <w:rsid w:val="004E1325"/>
    <w:rsid w:val="004E13AC"/>
    <w:rsid w:val="004E167F"/>
    <w:rsid w:val="004E1F55"/>
    <w:rsid w:val="004E2173"/>
    <w:rsid w:val="004E2449"/>
    <w:rsid w:val="004E2533"/>
    <w:rsid w:val="004E2749"/>
    <w:rsid w:val="004E2783"/>
    <w:rsid w:val="004E2AC2"/>
    <w:rsid w:val="004E2D3B"/>
    <w:rsid w:val="004E2FE5"/>
    <w:rsid w:val="004E3168"/>
    <w:rsid w:val="004E3188"/>
    <w:rsid w:val="004E3710"/>
    <w:rsid w:val="004E37A1"/>
    <w:rsid w:val="004E38B6"/>
    <w:rsid w:val="004E3CDC"/>
    <w:rsid w:val="004E3DD4"/>
    <w:rsid w:val="004E3F4F"/>
    <w:rsid w:val="004E4228"/>
    <w:rsid w:val="004E4569"/>
    <w:rsid w:val="004E4E9A"/>
    <w:rsid w:val="004E511C"/>
    <w:rsid w:val="004E5160"/>
    <w:rsid w:val="004E545A"/>
    <w:rsid w:val="004E59F2"/>
    <w:rsid w:val="004E5F61"/>
    <w:rsid w:val="004E60E8"/>
    <w:rsid w:val="004E67F7"/>
    <w:rsid w:val="004E6E46"/>
    <w:rsid w:val="004E70D2"/>
    <w:rsid w:val="004E729D"/>
    <w:rsid w:val="004E752C"/>
    <w:rsid w:val="004E7751"/>
    <w:rsid w:val="004E792D"/>
    <w:rsid w:val="004E7F01"/>
    <w:rsid w:val="004F00F4"/>
    <w:rsid w:val="004F0A87"/>
    <w:rsid w:val="004F0C1E"/>
    <w:rsid w:val="004F0D5C"/>
    <w:rsid w:val="004F0DC1"/>
    <w:rsid w:val="004F16E8"/>
    <w:rsid w:val="004F1C9A"/>
    <w:rsid w:val="004F2070"/>
    <w:rsid w:val="004F273D"/>
    <w:rsid w:val="004F280D"/>
    <w:rsid w:val="004F2BE4"/>
    <w:rsid w:val="004F2C83"/>
    <w:rsid w:val="004F2DFC"/>
    <w:rsid w:val="004F33B6"/>
    <w:rsid w:val="004F372D"/>
    <w:rsid w:val="004F37D5"/>
    <w:rsid w:val="004F39B2"/>
    <w:rsid w:val="004F41DB"/>
    <w:rsid w:val="004F4322"/>
    <w:rsid w:val="004F4977"/>
    <w:rsid w:val="004F5249"/>
    <w:rsid w:val="004F5386"/>
    <w:rsid w:val="004F53B1"/>
    <w:rsid w:val="004F5A53"/>
    <w:rsid w:val="004F5F0B"/>
    <w:rsid w:val="004F60E5"/>
    <w:rsid w:val="004F6117"/>
    <w:rsid w:val="004F636F"/>
    <w:rsid w:val="004F63E3"/>
    <w:rsid w:val="004F64B2"/>
    <w:rsid w:val="004F65A0"/>
    <w:rsid w:val="004F67DA"/>
    <w:rsid w:val="004F696F"/>
    <w:rsid w:val="004F6B6C"/>
    <w:rsid w:val="004F6DD1"/>
    <w:rsid w:val="004F6F40"/>
    <w:rsid w:val="004F6F61"/>
    <w:rsid w:val="004F70CB"/>
    <w:rsid w:val="004F7265"/>
    <w:rsid w:val="004F7613"/>
    <w:rsid w:val="005000BC"/>
    <w:rsid w:val="00500369"/>
    <w:rsid w:val="005006D3"/>
    <w:rsid w:val="0050085D"/>
    <w:rsid w:val="005008A4"/>
    <w:rsid w:val="00500A24"/>
    <w:rsid w:val="00500AE6"/>
    <w:rsid w:val="00500AF4"/>
    <w:rsid w:val="00500C95"/>
    <w:rsid w:val="00500F75"/>
    <w:rsid w:val="00501272"/>
    <w:rsid w:val="00501341"/>
    <w:rsid w:val="0050139B"/>
    <w:rsid w:val="00501418"/>
    <w:rsid w:val="0050213B"/>
    <w:rsid w:val="005021F3"/>
    <w:rsid w:val="0050243F"/>
    <w:rsid w:val="00502534"/>
    <w:rsid w:val="0050281D"/>
    <w:rsid w:val="00502B42"/>
    <w:rsid w:val="00503059"/>
    <w:rsid w:val="005031B7"/>
    <w:rsid w:val="00503822"/>
    <w:rsid w:val="005038DD"/>
    <w:rsid w:val="00503A35"/>
    <w:rsid w:val="00504145"/>
    <w:rsid w:val="0050416D"/>
    <w:rsid w:val="005048FA"/>
    <w:rsid w:val="0050496D"/>
    <w:rsid w:val="00504A4E"/>
    <w:rsid w:val="00504CDA"/>
    <w:rsid w:val="00504D82"/>
    <w:rsid w:val="00504FD2"/>
    <w:rsid w:val="00505136"/>
    <w:rsid w:val="0050594C"/>
    <w:rsid w:val="005059D6"/>
    <w:rsid w:val="0050614F"/>
    <w:rsid w:val="005061B6"/>
    <w:rsid w:val="0050628B"/>
    <w:rsid w:val="00506426"/>
    <w:rsid w:val="005065A8"/>
    <w:rsid w:val="0050670C"/>
    <w:rsid w:val="005067F9"/>
    <w:rsid w:val="005067FD"/>
    <w:rsid w:val="00506A4B"/>
    <w:rsid w:val="00506AE2"/>
    <w:rsid w:val="00506C13"/>
    <w:rsid w:val="00506C4F"/>
    <w:rsid w:val="00506F2E"/>
    <w:rsid w:val="0050722D"/>
    <w:rsid w:val="0050771A"/>
    <w:rsid w:val="005077E3"/>
    <w:rsid w:val="00507E2F"/>
    <w:rsid w:val="0051020A"/>
    <w:rsid w:val="0051023A"/>
    <w:rsid w:val="00510349"/>
    <w:rsid w:val="005104C8"/>
    <w:rsid w:val="005105AD"/>
    <w:rsid w:val="00510A2F"/>
    <w:rsid w:val="005111CA"/>
    <w:rsid w:val="0051172B"/>
    <w:rsid w:val="005118CB"/>
    <w:rsid w:val="00511C74"/>
    <w:rsid w:val="005120E4"/>
    <w:rsid w:val="005125BC"/>
    <w:rsid w:val="0051290F"/>
    <w:rsid w:val="00513291"/>
    <w:rsid w:val="00513AD4"/>
    <w:rsid w:val="00513AEB"/>
    <w:rsid w:val="00513C3F"/>
    <w:rsid w:val="00513C77"/>
    <w:rsid w:val="00513EDC"/>
    <w:rsid w:val="00514738"/>
    <w:rsid w:val="005149EB"/>
    <w:rsid w:val="00515029"/>
    <w:rsid w:val="00515814"/>
    <w:rsid w:val="00515DAE"/>
    <w:rsid w:val="00516565"/>
    <w:rsid w:val="00517487"/>
    <w:rsid w:val="0051789A"/>
    <w:rsid w:val="005179B7"/>
    <w:rsid w:val="00517A19"/>
    <w:rsid w:val="00517EA1"/>
    <w:rsid w:val="005207C3"/>
    <w:rsid w:val="00520ACE"/>
    <w:rsid w:val="00520B72"/>
    <w:rsid w:val="00521147"/>
    <w:rsid w:val="00521166"/>
    <w:rsid w:val="0052128B"/>
    <w:rsid w:val="005214E6"/>
    <w:rsid w:val="0052172C"/>
    <w:rsid w:val="0052191D"/>
    <w:rsid w:val="00521CCB"/>
    <w:rsid w:val="0052249C"/>
    <w:rsid w:val="0052257A"/>
    <w:rsid w:val="0052258F"/>
    <w:rsid w:val="00522AC7"/>
    <w:rsid w:val="00522C0F"/>
    <w:rsid w:val="005232BE"/>
    <w:rsid w:val="0052333A"/>
    <w:rsid w:val="0052390C"/>
    <w:rsid w:val="00523CCF"/>
    <w:rsid w:val="00523DCB"/>
    <w:rsid w:val="005244B3"/>
    <w:rsid w:val="005244E0"/>
    <w:rsid w:val="00524540"/>
    <w:rsid w:val="00524716"/>
    <w:rsid w:val="0052496C"/>
    <w:rsid w:val="00524AE6"/>
    <w:rsid w:val="00524CA7"/>
    <w:rsid w:val="00524D6B"/>
    <w:rsid w:val="00524F67"/>
    <w:rsid w:val="005251DF"/>
    <w:rsid w:val="005252DB"/>
    <w:rsid w:val="005258EA"/>
    <w:rsid w:val="005259CE"/>
    <w:rsid w:val="00525BF7"/>
    <w:rsid w:val="005260D8"/>
    <w:rsid w:val="00526435"/>
    <w:rsid w:val="005265F3"/>
    <w:rsid w:val="005266DB"/>
    <w:rsid w:val="005267B6"/>
    <w:rsid w:val="005268C9"/>
    <w:rsid w:val="00526B95"/>
    <w:rsid w:val="00526BFA"/>
    <w:rsid w:val="00526E88"/>
    <w:rsid w:val="005272B1"/>
    <w:rsid w:val="00527667"/>
    <w:rsid w:val="00530167"/>
    <w:rsid w:val="00530C41"/>
    <w:rsid w:val="00530E04"/>
    <w:rsid w:val="00530F25"/>
    <w:rsid w:val="0053110D"/>
    <w:rsid w:val="005315D3"/>
    <w:rsid w:val="00531E44"/>
    <w:rsid w:val="00532104"/>
    <w:rsid w:val="00532328"/>
    <w:rsid w:val="0053256A"/>
    <w:rsid w:val="005328F5"/>
    <w:rsid w:val="00532C25"/>
    <w:rsid w:val="0053316A"/>
    <w:rsid w:val="005333F9"/>
    <w:rsid w:val="0053367C"/>
    <w:rsid w:val="00533ABF"/>
    <w:rsid w:val="00533DDD"/>
    <w:rsid w:val="00534168"/>
    <w:rsid w:val="00534719"/>
    <w:rsid w:val="00534ACD"/>
    <w:rsid w:val="00534B62"/>
    <w:rsid w:val="00534BEA"/>
    <w:rsid w:val="00534DB0"/>
    <w:rsid w:val="00535140"/>
    <w:rsid w:val="00535252"/>
    <w:rsid w:val="005353B5"/>
    <w:rsid w:val="0053580E"/>
    <w:rsid w:val="0053589E"/>
    <w:rsid w:val="005358C7"/>
    <w:rsid w:val="00535CF6"/>
    <w:rsid w:val="00535D26"/>
    <w:rsid w:val="00535DDA"/>
    <w:rsid w:val="00535E85"/>
    <w:rsid w:val="005360BD"/>
    <w:rsid w:val="00536672"/>
    <w:rsid w:val="00536AB8"/>
    <w:rsid w:val="00536B59"/>
    <w:rsid w:val="00536DF0"/>
    <w:rsid w:val="00536E8B"/>
    <w:rsid w:val="00537561"/>
    <w:rsid w:val="005377BC"/>
    <w:rsid w:val="00537845"/>
    <w:rsid w:val="00537963"/>
    <w:rsid w:val="00537B70"/>
    <w:rsid w:val="00537F43"/>
    <w:rsid w:val="0054012A"/>
    <w:rsid w:val="00540471"/>
    <w:rsid w:val="00540847"/>
    <w:rsid w:val="005408B6"/>
    <w:rsid w:val="005409C9"/>
    <w:rsid w:val="00540E6C"/>
    <w:rsid w:val="00540F4C"/>
    <w:rsid w:val="00541880"/>
    <w:rsid w:val="00541BDC"/>
    <w:rsid w:val="00541C9A"/>
    <w:rsid w:val="005420C7"/>
    <w:rsid w:val="0054245A"/>
    <w:rsid w:val="005426AF"/>
    <w:rsid w:val="005426EC"/>
    <w:rsid w:val="0054285E"/>
    <w:rsid w:val="00542A11"/>
    <w:rsid w:val="0054303B"/>
    <w:rsid w:val="0054328F"/>
    <w:rsid w:val="00543479"/>
    <w:rsid w:val="0054366C"/>
    <w:rsid w:val="00543B58"/>
    <w:rsid w:val="00543E54"/>
    <w:rsid w:val="00543F02"/>
    <w:rsid w:val="00543F75"/>
    <w:rsid w:val="0054453F"/>
    <w:rsid w:val="0054460D"/>
    <w:rsid w:val="00544974"/>
    <w:rsid w:val="00544A13"/>
    <w:rsid w:val="0054514D"/>
    <w:rsid w:val="005452FE"/>
    <w:rsid w:val="005453D4"/>
    <w:rsid w:val="00545CF0"/>
    <w:rsid w:val="00545E6A"/>
    <w:rsid w:val="00546090"/>
    <w:rsid w:val="0054647B"/>
    <w:rsid w:val="005465DF"/>
    <w:rsid w:val="005465EB"/>
    <w:rsid w:val="0054663D"/>
    <w:rsid w:val="005466B8"/>
    <w:rsid w:val="005467C3"/>
    <w:rsid w:val="00546E2C"/>
    <w:rsid w:val="005477B8"/>
    <w:rsid w:val="00547943"/>
    <w:rsid w:val="00547A34"/>
    <w:rsid w:val="00547C9B"/>
    <w:rsid w:val="00547E45"/>
    <w:rsid w:val="00547E91"/>
    <w:rsid w:val="00547F4F"/>
    <w:rsid w:val="00550396"/>
    <w:rsid w:val="00550487"/>
    <w:rsid w:val="0055095B"/>
    <w:rsid w:val="005509EC"/>
    <w:rsid w:val="00550AAA"/>
    <w:rsid w:val="00550EA5"/>
    <w:rsid w:val="005513D8"/>
    <w:rsid w:val="005517AE"/>
    <w:rsid w:val="00551BF1"/>
    <w:rsid w:val="00551D95"/>
    <w:rsid w:val="00551FE4"/>
    <w:rsid w:val="0055267D"/>
    <w:rsid w:val="00552E9C"/>
    <w:rsid w:val="00553126"/>
    <w:rsid w:val="005537F0"/>
    <w:rsid w:val="00553A99"/>
    <w:rsid w:val="00553EFA"/>
    <w:rsid w:val="00553F54"/>
    <w:rsid w:val="0055449A"/>
    <w:rsid w:val="00554628"/>
    <w:rsid w:val="00554BEF"/>
    <w:rsid w:val="00554FAB"/>
    <w:rsid w:val="005551DD"/>
    <w:rsid w:val="00555678"/>
    <w:rsid w:val="00555885"/>
    <w:rsid w:val="00555BDB"/>
    <w:rsid w:val="00555BFF"/>
    <w:rsid w:val="00555CA8"/>
    <w:rsid w:val="00555F09"/>
    <w:rsid w:val="0055613A"/>
    <w:rsid w:val="00556599"/>
    <w:rsid w:val="005566B1"/>
    <w:rsid w:val="00556BCB"/>
    <w:rsid w:val="00556CFD"/>
    <w:rsid w:val="00556EC2"/>
    <w:rsid w:val="00556FCD"/>
    <w:rsid w:val="0055701B"/>
    <w:rsid w:val="0055774F"/>
    <w:rsid w:val="00557902"/>
    <w:rsid w:val="00557D9C"/>
    <w:rsid w:val="00557E6F"/>
    <w:rsid w:val="0056013F"/>
    <w:rsid w:val="0056034A"/>
    <w:rsid w:val="00560399"/>
    <w:rsid w:val="005603DB"/>
    <w:rsid w:val="005604D9"/>
    <w:rsid w:val="00560540"/>
    <w:rsid w:val="00560577"/>
    <w:rsid w:val="00560662"/>
    <w:rsid w:val="00560BA8"/>
    <w:rsid w:val="00560BC1"/>
    <w:rsid w:val="00560C04"/>
    <w:rsid w:val="00560C8A"/>
    <w:rsid w:val="0056123C"/>
    <w:rsid w:val="00561570"/>
    <w:rsid w:val="00562349"/>
    <w:rsid w:val="00562A23"/>
    <w:rsid w:val="00562CCE"/>
    <w:rsid w:val="00563154"/>
    <w:rsid w:val="00563311"/>
    <w:rsid w:val="00563640"/>
    <w:rsid w:val="00563787"/>
    <w:rsid w:val="00563BE7"/>
    <w:rsid w:val="00563CA3"/>
    <w:rsid w:val="00563E37"/>
    <w:rsid w:val="00564412"/>
    <w:rsid w:val="005647DB"/>
    <w:rsid w:val="00564BB1"/>
    <w:rsid w:val="00564CF9"/>
    <w:rsid w:val="00564FF8"/>
    <w:rsid w:val="00565D21"/>
    <w:rsid w:val="00565F8A"/>
    <w:rsid w:val="00565FF7"/>
    <w:rsid w:val="00566058"/>
    <w:rsid w:val="00566385"/>
    <w:rsid w:val="00566706"/>
    <w:rsid w:val="005667BC"/>
    <w:rsid w:val="005668F3"/>
    <w:rsid w:val="00566BE4"/>
    <w:rsid w:val="00566D98"/>
    <w:rsid w:val="00567032"/>
    <w:rsid w:val="00567222"/>
    <w:rsid w:val="0056742A"/>
    <w:rsid w:val="0056747C"/>
    <w:rsid w:val="00567734"/>
    <w:rsid w:val="00567CD7"/>
    <w:rsid w:val="00567EFB"/>
    <w:rsid w:val="005701DA"/>
    <w:rsid w:val="005702AC"/>
    <w:rsid w:val="00570500"/>
    <w:rsid w:val="005706AD"/>
    <w:rsid w:val="005706C7"/>
    <w:rsid w:val="005706F4"/>
    <w:rsid w:val="00570970"/>
    <w:rsid w:val="00570A64"/>
    <w:rsid w:val="00570AA0"/>
    <w:rsid w:val="00570D4D"/>
    <w:rsid w:val="00571478"/>
    <w:rsid w:val="005720CD"/>
    <w:rsid w:val="00572240"/>
    <w:rsid w:val="005723B0"/>
    <w:rsid w:val="005724E3"/>
    <w:rsid w:val="0057258A"/>
    <w:rsid w:val="00572608"/>
    <w:rsid w:val="0057282B"/>
    <w:rsid w:val="00572F36"/>
    <w:rsid w:val="00573397"/>
    <w:rsid w:val="005738D3"/>
    <w:rsid w:val="00573D90"/>
    <w:rsid w:val="0057405C"/>
    <w:rsid w:val="005741ED"/>
    <w:rsid w:val="0057448A"/>
    <w:rsid w:val="0057474E"/>
    <w:rsid w:val="00574786"/>
    <w:rsid w:val="0057480C"/>
    <w:rsid w:val="00574A3C"/>
    <w:rsid w:val="00574C2F"/>
    <w:rsid w:val="0057540A"/>
    <w:rsid w:val="0057560E"/>
    <w:rsid w:val="00575652"/>
    <w:rsid w:val="00575677"/>
    <w:rsid w:val="00576341"/>
    <w:rsid w:val="005764EA"/>
    <w:rsid w:val="00576953"/>
    <w:rsid w:val="00576BA7"/>
    <w:rsid w:val="005770B6"/>
    <w:rsid w:val="00577328"/>
    <w:rsid w:val="0057739F"/>
    <w:rsid w:val="005778D8"/>
    <w:rsid w:val="00577E03"/>
    <w:rsid w:val="00577E54"/>
    <w:rsid w:val="00577F27"/>
    <w:rsid w:val="005801F4"/>
    <w:rsid w:val="005802CC"/>
    <w:rsid w:val="00580565"/>
    <w:rsid w:val="00580679"/>
    <w:rsid w:val="00580769"/>
    <w:rsid w:val="005808B8"/>
    <w:rsid w:val="00580CA2"/>
    <w:rsid w:val="00580CAB"/>
    <w:rsid w:val="00580F29"/>
    <w:rsid w:val="00581826"/>
    <w:rsid w:val="00581A6D"/>
    <w:rsid w:val="00581C5E"/>
    <w:rsid w:val="005826ED"/>
    <w:rsid w:val="0058279F"/>
    <w:rsid w:val="0058297E"/>
    <w:rsid w:val="00582BE0"/>
    <w:rsid w:val="00582D00"/>
    <w:rsid w:val="00582D54"/>
    <w:rsid w:val="005832B5"/>
    <w:rsid w:val="0058333D"/>
    <w:rsid w:val="005834E4"/>
    <w:rsid w:val="00583601"/>
    <w:rsid w:val="00583AFB"/>
    <w:rsid w:val="00583B61"/>
    <w:rsid w:val="00583D67"/>
    <w:rsid w:val="00584119"/>
    <w:rsid w:val="005842BE"/>
    <w:rsid w:val="00584349"/>
    <w:rsid w:val="00584438"/>
    <w:rsid w:val="005848CA"/>
    <w:rsid w:val="00584A9B"/>
    <w:rsid w:val="00584AB9"/>
    <w:rsid w:val="00584BA1"/>
    <w:rsid w:val="00584C65"/>
    <w:rsid w:val="0058510C"/>
    <w:rsid w:val="00585168"/>
    <w:rsid w:val="005851F9"/>
    <w:rsid w:val="00585247"/>
    <w:rsid w:val="00585409"/>
    <w:rsid w:val="00585979"/>
    <w:rsid w:val="00585AC4"/>
    <w:rsid w:val="00585B13"/>
    <w:rsid w:val="00585C19"/>
    <w:rsid w:val="005860C8"/>
    <w:rsid w:val="0058612F"/>
    <w:rsid w:val="005861E6"/>
    <w:rsid w:val="005865A6"/>
    <w:rsid w:val="005865CA"/>
    <w:rsid w:val="00586AB7"/>
    <w:rsid w:val="00586BF4"/>
    <w:rsid w:val="00586E0D"/>
    <w:rsid w:val="00586EBA"/>
    <w:rsid w:val="00587048"/>
    <w:rsid w:val="005873E0"/>
    <w:rsid w:val="005875F1"/>
    <w:rsid w:val="005878D6"/>
    <w:rsid w:val="00587970"/>
    <w:rsid w:val="00587997"/>
    <w:rsid w:val="00587F46"/>
    <w:rsid w:val="005904F0"/>
    <w:rsid w:val="0059111F"/>
    <w:rsid w:val="0059150D"/>
    <w:rsid w:val="00591550"/>
    <w:rsid w:val="00591755"/>
    <w:rsid w:val="00591848"/>
    <w:rsid w:val="0059184A"/>
    <w:rsid w:val="00591893"/>
    <w:rsid w:val="00591A6A"/>
    <w:rsid w:val="00591D38"/>
    <w:rsid w:val="00591E49"/>
    <w:rsid w:val="005922A2"/>
    <w:rsid w:val="005922A9"/>
    <w:rsid w:val="005922C5"/>
    <w:rsid w:val="005924E9"/>
    <w:rsid w:val="005924F5"/>
    <w:rsid w:val="00592632"/>
    <w:rsid w:val="0059276C"/>
    <w:rsid w:val="00592AF2"/>
    <w:rsid w:val="00593C43"/>
    <w:rsid w:val="00594124"/>
    <w:rsid w:val="005941D2"/>
    <w:rsid w:val="005941F3"/>
    <w:rsid w:val="005941F6"/>
    <w:rsid w:val="005942AC"/>
    <w:rsid w:val="0059441D"/>
    <w:rsid w:val="00594D01"/>
    <w:rsid w:val="00594EA6"/>
    <w:rsid w:val="005958BE"/>
    <w:rsid w:val="00595A88"/>
    <w:rsid w:val="00595E68"/>
    <w:rsid w:val="00596701"/>
    <w:rsid w:val="00596A46"/>
    <w:rsid w:val="00596ACA"/>
    <w:rsid w:val="00596DDF"/>
    <w:rsid w:val="00596EB9"/>
    <w:rsid w:val="005970C9"/>
    <w:rsid w:val="00597159"/>
    <w:rsid w:val="005973C9"/>
    <w:rsid w:val="00597423"/>
    <w:rsid w:val="00597434"/>
    <w:rsid w:val="005979C2"/>
    <w:rsid w:val="005979EF"/>
    <w:rsid w:val="00597CA9"/>
    <w:rsid w:val="00597F29"/>
    <w:rsid w:val="005A01A9"/>
    <w:rsid w:val="005A04B3"/>
    <w:rsid w:val="005A05E6"/>
    <w:rsid w:val="005A0732"/>
    <w:rsid w:val="005A0DB3"/>
    <w:rsid w:val="005A0F64"/>
    <w:rsid w:val="005A0FAD"/>
    <w:rsid w:val="005A10D1"/>
    <w:rsid w:val="005A1321"/>
    <w:rsid w:val="005A1375"/>
    <w:rsid w:val="005A1448"/>
    <w:rsid w:val="005A1476"/>
    <w:rsid w:val="005A1531"/>
    <w:rsid w:val="005A195A"/>
    <w:rsid w:val="005A19C0"/>
    <w:rsid w:val="005A1B26"/>
    <w:rsid w:val="005A1C27"/>
    <w:rsid w:val="005A1CCB"/>
    <w:rsid w:val="005A23E4"/>
    <w:rsid w:val="005A2870"/>
    <w:rsid w:val="005A2E0F"/>
    <w:rsid w:val="005A3022"/>
    <w:rsid w:val="005A322A"/>
    <w:rsid w:val="005A3266"/>
    <w:rsid w:val="005A32E7"/>
    <w:rsid w:val="005A35BE"/>
    <w:rsid w:val="005A3896"/>
    <w:rsid w:val="005A39A1"/>
    <w:rsid w:val="005A3DDA"/>
    <w:rsid w:val="005A3E46"/>
    <w:rsid w:val="005A40A4"/>
    <w:rsid w:val="005A44D0"/>
    <w:rsid w:val="005A45A9"/>
    <w:rsid w:val="005A482D"/>
    <w:rsid w:val="005A489D"/>
    <w:rsid w:val="005A4A8C"/>
    <w:rsid w:val="005A4E75"/>
    <w:rsid w:val="005A51AD"/>
    <w:rsid w:val="005A539F"/>
    <w:rsid w:val="005A5D79"/>
    <w:rsid w:val="005A5E43"/>
    <w:rsid w:val="005A5ED1"/>
    <w:rsid w:val="005A6252"/>
    <w:rsid w:val="005A66C8"/>
    <w:rsid w:val="005A68F6"/>
    <w:rsid w:val="005A72D6"/>
    <w:rsid w:val="005A755E"/>
    <w:rsid w:val="005A7635"/>
    <w:rsid w:val="005A78ED"/>
    <w:rsid w:val="005A7CB5"/>
    <w:rsid w:val="005B00E5"/>
    <w:rsid w:val="005B044B"/>
    <w:rsid w:val="005B0554"/>
    <w:rsid w:val="005B0919"/>
    <w:rsid w:val="005B0A4B"/>
    <w:rsid w:val="005B0B03"/>
    <w:rsid w:val="005B1343"/>
    <w:rsid w:val="005B16C8"/>
    <w:rsid w:val="005B1787"/>
    <w:rsid w:val="005B1E88"/>
    <w:rsid w:val="005B1FF2"/>
    <w:rsid w:val="005B20E1"/>
    <w:rsid w:val="005B21FF"/>
    <w:rsid w:val="005B22FD"/>
    <w:rsid w:val="005B2355"/>
    <w:rsid w:val="005B2446"/>
    <w:rsid w:val="005B251C"/>
    <w:rsid w:val="005B289B"/>
    <w:rsid w:val="005B3027"/>
    <w:rsid w:val="005B3051"/>
    <w:rsid w:val="005B3115"/>
    <w:rsid w:val="005B3252"/>
    <w:rsid w:val="005B361C"/>
    <w:rsid w:val="005B40D6"/>
    <w:rsid w:val="005B41BA"/>
    <w:rsid w:val="005B4D49"/>
    <w:rsid w:val="005B4D9B"/>
    <w:rsid w:val="005B4E6E"/>
    <w:rsid w:val="005B4ECC"/>
    <w:rsid w:val="005B5406"/>
    <w:rsid w:val="005B55A0"/>
    <w:rsid w:val="005B565F"/>
    <w:rsid w:val="005B594D"/>
    <w:rsid w:val="005B5D9E"/>
    <w:rsid w:val="005B603B"/>
    <w:rsid w:val="005B69D7"/>
    <w:rsid w:val="005B6B0E"/>
    <w:rsid w:val="005B6B1A"/>
    <w:rsid w:val="005B70EB"/>
    <w:rsid w:val="005B711A"/>
    <w:rsid w:val="005B75DD"/>
    <w:rsid w:val="005B79D2"/>
    <w:rsid w:val="005B7CB3"/>
    <w:rsid w:val="005B7DB1"/>
    <w:rsid w:val="005B7F28"/>
    <w:rsid w:val="005B7F53"/>
    <w:rsid w:val="005C0002"/>
    <w:rsid w:val="005C00ED"/>
    <w:rsid w:val="005C0104"/>
    <w:rsid w:val="005C021F"/>
    <w:rsid w:val="005C0296"/>
    <w:rsid w:val="005C046B"/>
    <w:rsid w:val="005C0A4D"/>
    <w:rsid w:val="005C0E0D"/>
    <w:rsid w:val="005C1066"/>
    <w:rsid w:val="005C1643"/>
    <w:rsid w:val="005C1C22"/>
    <w:rsid w:val="005C1EE5"/>
    <w:rsid w:val="005C2028"/>
    <w:rsid w:val="005C2695"/>
    <w:rsid w:val="005C26B0"/>
    <w:rsid w:val="005C28BB"/>
    <w:rsid w:val="005C31B5"/>
    <w:rsid w:val="005C3210"/>
    <w:rsid w:val="005C355E"/>
    <w:rsid w:val="005C360D"/>
    <w:rsid w:val="005C3B5F"/>
    <w:rsid w:val="005C3C57"/>
    <w:rsid w:val="005C3E36"/>
    <w:rsid w:val="005C3F77"/>
    <w:rsid w:val="005C41BD"/>
    <w:rsid w:val="005C4B27"/>
    <w:rsid w:val="005C4F55"/>
    <w:rsid w:val="005C5435"/>
    <w:rsid w:val="005C5477"/>
    <w:rsid w:val="005C55E4"/>
    <w:rsid w:val="005C60E1"/>
    <w:rsid w:val="005C6170"/>
    <w:rsid w:val="005C62DD"/>
    <w:rsid w:val="005C6312"/>
    <w:rsid w:val="005C64C8"/>
    <w:rsid w:val="005C664E"/>
    <w:rsid w:val="005C66BE"/>
    <w:rsid w:val="005C6B70"/>
    <w:rsid w:val="005C6D6F"/>
    <w:rsid w:val="005C6F81"/>
    <w:rsid w:val="005C7537"/>
    <w:rsid w:val="005C7795"/>
    <w:rsid w:val="005C78D7"/>
    <w:rsid w:val="005C7AC8"/>
    <w:rsid w:val="005C7E09"/>
    <w:rsid w:val="005C7F12"/>
    <w:rsid w:val="005D03FD"/>
    <w:rsid w:val="005D06CB"/>
    <w:rsid w:val="005D075E"/>
    <w:rsid w:val="005D0925"/>
    <w:rsid w:val="005D0969"/>
    <w:rsid w:val="005D09B8"/>
    <w:rsid w:val="005D1410"/>
    <w:rsid w:val="005D1543"/>
    <w:rsid w:val="005D169D"/>
    <w:rsid w:val="005D187A"/>
    <w:rsid w:val="005D1C9A"/>
    <w:rsid w:val="005D23A3"/>
    <w:rsid w:val="005D2508"/>
    <w:rsid w:val="005D2737"/>
    <w:rsid w:val="005D2782"/>
    <w:rsid w:val="005D27C3"/>
    <w:rsid w:val="005D27D4"/>
    <w:rsid w:val="005D2830"/>
    <w:rsid w:val="005D286B"/>
    <w:rsid w:val="005D2969"/>
    <w:rsid w:val="005D33DE"/>
    <w:rsid w:val="005D3596"/>
    <w:rsid w:val="005D377D"/>
    <w:rsid w:val="005D3817"/>
    <w:rsid w:val="005D3AEA"/>
    <w:rsid w:val="005D3C5B"/>
    <w:rsid w:val="005D3E4A"/>
    <w:rsid w:val="005D3F51"/>
    <w:rsid w:val="005D4500"/>
    <w:rsid w:val="005D46ED"/>
    <w:rsid w:val="005D4831"/>
    <w:rsid w:val="005D48B3"/>
    <w:rsid w:val="005D4AB6"/>
    <w:rsid w:val="005D4BF5"/>
    <w:rsid w:val="005D4D23"/>
    <w:rsid w:val="005D4FFA"/>
    <w:rsid w:val="005D5517"/>
    <w:rsid w:val="005D557C"/>
    <w:rsid w:val="005D58FF"/>
    <w:rsid w:val="005D5930"/>
    <w:rsid w:val="005D5E8C"/>
    <w:rsid w:val="005D608A"/>
    <w:rsid w:val="005D648F"/>
    <w:rsid w:val="005D6AEB"/>
    <w:rsid w:val="005D6DA3"/>
    <w:rsid w:val="005D6E40"/>
    <w:rsid w:val="005D6E5B"/>
    <w:rsid w:val="005D7444"/>
    <w:rsid w:val="005D75BA"/>
    <w:rsid w:val="005D7857"/>
    <w:rsid w:val="005D790E"/>
    <w:rsid w:val="005D7E8E"/>
    <w:rsid w:val="005D7F47"/>
    <w:rsid w:val="005E00B1"/>
    <w:rsid w:val="005E00E7"/>
    <w:rsid w:val="005E0736"/>
    <w:rsid w:val="005E0B66"/>
    <w:rsid w:val="005E0BF1"/>
    <w:rsid w:val="005E0CEF"/>
    <w:rsid w:val="005E0E81"/>
    <w:rsid w:val="005E0EC6"/>
    <w:rsid w:val="005E0EEB"/>
    <w:rsid w:val="005E109D"/>
    <w:rsid w:val="005E1123"/>
    <w:rsid w:val="005E12A8"/>
    <w:rsid w:val="005E12C6"/>
    <w:rsid w:val="005E1698"/>
    <w:rsid w:val="005E1AD9"/>
    <w:rsid w:val="005E1D20"/>
    <w:rsid w:val="005E20D3"/>
    <w:rsid w:val="005E2177"/>
    <w:rsid w:val="005E24F8"/>
    <w:rsid w:val="005E267E"/>
    <w:rsid w:val="005E325C"/>
    <w:rsid w:val="005E330B"/>
    <w:rsid w:val="005E3376"/>
    <w:rsid w:val="005E3535"/>
    <w:rsid w:val="005E38AE"/>
    <w:rsid w:val="005E38F2"/>
    <w:rsid w:val="005E3CAB"/>
    <w:rsid w:val="005E3D0D"/>
    <w:rsid w:val="005E3F49"/>
    <w:rsid w:val="005E421D"/>
    <w:rsid w:val="005E42EF"/>
    <w:rsid w:val="005E48F8"/>
    <w:rsid w:val="005E49E1"/>
    <w:rsid w:val="005E4A14"/>
    <w:rsid w:val="005E4A9A"/>
    <w:rsid w:val="005E4C26"/>
    <w:rsid w:val="005E5306"/>
    <w:rsid w:val="005E556D"/>
    <w:rsid w:val="005E56F6"/>
    <w:rsid w:val="005E59EB"/>
    <w:rsid w:val="005E5B1E"/>
    <w:rsid w:val="005E5B9B"/>
    <w:rsid w:val="005E5DCD"/>
    <w:rsid w:val="005E5E2E"/>
    <w:rsid w:val="005E5EDB"/>
    <w:rsid w:val="005E612C"/>
    <w:rsid w:val="005E64D2"/>
    <w:rsid w:val="005E674E"/>
    <w:rsid w:val="005E6757"/>
    <w:rsid w:val="005E677D"/>
    <w:rsid w:val="005E6876"/>
    <w:rsid w:val="005E6A69"/>
    <w:rsid w:val="005E6A80"/>
    <w:rsid w:val="005E6CFC"/>
    <w:rsid w:val="005E6D15"/>
    <w:rsid w:val="005E7040"/>
    <w:rsid w:val="005E71AC"/>
    <w:rsid w:val="005E71AE"/>
    <w:rsid w:val="005E77C7"/>
    <w:rsid w:val="005E7D2C"/>
    <w:rsid w:val="005E7EEF"/>
    <w:rsid w:val="005F043A"/>
    <w:rsid w:val="005F0975"/>
    <w:rsid w:val="005F12A3"/>
    <w:rsid w:val="005F1642"/>
    <w:rsid w:val="005F1894"/>
    <w:rsid w:val="005F1959"/>
    <w:rsid w:val="005F1B66"/>
    <w:rsid w:val="005F1BC7"/>
    <w:rsid w:val="005F1CC8"/>
    <w:rsid w:val="005F1E01"/>
    <w:rsid w:val="005F1EF3"/>
    <w:rsid w:val="005F1FE8"/>
    <w:rsid w:val="005F228C"/>
    <w:rsid w:val="005F23E4"/>
    <w:rsid w:val="005F249D"/>
    <w:rsid w:val="005F2665"/>
    <w:rsid w:val="005F2687"/>
    <w:rsid w:val="005F268D"/>
    <w:rsid w:val="005F2805"/>
    <w:rsid w:val="005F291C"/>
    <w:rsid w:val="005F2A70"/>
    <w:rsid w:val="005F3371"/>
    <w:rsid w:val="005F3432"/>
    <w:rsid w:val="005F34E8"/>
    <w:rsid w:val="005F361D"/>
    <w:rsid w:val="005F371D"/>
    <w:rsid w:val="005F38B1"/>
    <w:rsid w:val="005F3B7D"/>
    <w:rsid w:val="005F3C91"/>
    <w:rsid w:val="005F3F08"/>
    <w:rsid w:val="005F4225"/>
    <w:rsid w:val="005F445F"/>
    <w:rsid w:val="005F4D31"/>
    <w:rsid w:val="005F4F2E"/>
    <w:rsid w:val="005F5740"/>
    <w:rsid w:val="005F57CE"/>
    <w:rsid w:val="005F6B49"/>
    <w:rsid w:val="005F6DA5"/>
    <w:rsid w:val="005F71FC"/>
    <w:rsid w:val="005F739D"/>
    <w:rsid w:val="005F73FA"/>
    <w:rsid w:val="005F75DF"/>
    <w:rsid w:val="005F7ADE"/>
    <w:rsid w:val="005F7B36"/>
    <w:rsid w:val="005F7F37"/>
    <w:rsid w:val="005F7F47"/>
    <w:rsid w:val="005F7FCC"/>
    <w:rsid w:val="00600237"/>
    <w:rsid w:val="0060023A"/>
    <w:rsid w:val="006002C5"/>
    <w:rsid w:val="006005CC"/>
    <w:rsid w:val="00600AC3"/>
    <w:rsid w:val="00600CE3"/>
    <w:rsid w:val="00600D59"/>
    <w:rsid w:val="006010A9"/>
    <w:rsid w:val="006011F0"/>
    <w:rsid w:val="006014C3"/>
    <w:rsid w:val="00601552"/>
    <w:rsid w:val="00601704"/>
    <w:rsid w:val="006018A2"/>
    <w:rsid w:val="00601EE5"/>
    <w:rsid w:val="006024C6"/>
    <w:rsid w:val="00602B27"/>
    <w:rsid w:val="00602C81"/>
    <w:rsid w:val="006030C6"/>
    <w:rsid w:val="0060358D"/>
    <w:rsid w:val="00603614"/>
    <w:rsid w:val="00603997"/>
    <w:rsid w:val="00603BE0"/>
    <w:rsid w:val="00603CE3"/>
    <w:rsid w:val="00603DA7"/>
    <w:rsid w:val="00603DE1"/>
    <w:rsid w:val="00603E80"/>
    <w:rsid w:val="00604545"/>
    <w:rsid w:val="00604750"/>
    <w:rsid w:val="00604758"/>
    <w:rsid w:val="00604906"/>
    <w:rsid w:val="00604DF6"/>
    <w:rsid w:val="00604E91"/>
    <w:rsid w:val="006055C7"/>
    <w:rsid w:val="006056CB"/>
    <w:rsid w:val="00605B31"/>
    <w:rsid w:val="00605B7B"/>
    <w:rsid w:val="006062E8"/>
    <w:rsid w:val="006065D8"/>
    <w:rsid w:val="00606B30"/>
    <w:rsid w:val="00606D5E"/>
    <w:rsid w:val="00606F0B"/>
    <w:rsid w:val="0060716E"/>
    <w:rsid w:val="006071D0"/>
    <w:rsid w:val="00607488"/>
    <w:rsid w:val="006076AB"/>
    <w:rsid w:val="00607911"/>
    <w:rsid w:val="00607F95"/>
    <w:rsid w:val="00610101"/>
    <w:rsid w:val="0061014D"/>
    <w:rsid w:val="00610A87"/>
    <w:rsid w:val="00610C8F"/>
    <w:rsid w:val="00610CC8"/>
    <w:rsid w:val="00610D59"/>
    <w:rsid w:val="006111EF"/>
    <w:rsid w:val="006115BD"/>
    <w:rsid w:val="006116BA"/>
    <w:rsid w:val="00611762"/>
    <w:rsid w:val="00611822"/>
    <w:rsid w:val="00611D46"/>
    <w:rsid w:val="00611E27"/>
    <w:rsid w:val="0061216F"/>
    <w:rsid w:val="00612217"/>
    <w:rsid w:val="006122FA"/>
    <w:rsid w:val="00612DF3"/>
    <w:rsid w:val="00612ED9"/>
    <w:rsid w:val="006141A7"/>
    <w:rsid w:val="00614A5E"/>
    <w:rsid w:val="00614CE2"/>
    <w:rsid w:val="00614FA1"/>
    <w:rsid w:val="0061503F"/>
    <w:rsid w:val="0061506D"/>
    <w:rsid w:val="006150F2"/>
    <w:rsid w:val="00615504"/>
    <w:rsid w:val="006157E1"/>
    <w:rsid w:val="00615BC6"/>
    <w:rsid w:val="00615D6D"/>
    <w:rsid w:val="00615ECB"/>
    <w:rsid w:val="0061610D"/>
    <w:rsid w:val="00616ECD"/>
    <w:rsid w:val="00616EF9"/>
    <w:rsid w:val="00617247"/>
    <w:rsid w:val="006174C2"/>
    <w:rsid w:val="00617616"/>
    <w:rsid w:val="00617D28"/>
    <w:rsid w:val="00620599"/>
    <w:rsid w:val="006205B7"/>
    <w:rsid w:val="006207BC"/>
    <w:rsid w:val="00620898"/>
    <w:rsid w:val="00620949"/>
    <w:rsid w:val="00620B6B"/>
    <w:rsid w:val="00620B92"/>
    <w:rsid w:val="00620E42"/>
    <w:rsid w:val="00621295"/>
    <w:rsid w:val="0062181F"/>
    <w:rsid w:val="00621852"/>
    <w:rsid w:val="0062268A"/>
    <w:rsid w:val="00622949"/>
    <w:rsid w:val="00622C33"/>
    <w:rsid w:val="006233AC"/>
    <w:rsid w:val="006238E7"/>
    <w:rsid w:val="00623AA9"/>
    <w:rsid w:val="00623CDA"/>
    <w:rsid w:val="00623CDC"/>
    <w:rsid w:val="00624024"/>
    <w:rsid w:val="00624620"/>
    <w:rsid w:val="00625512"/>
    <w:rsid w:val="00625873"/>
    <w:rsid w:val="006259AA"/>
    <w:rsid w:val="00625D20"/>
    <w:rsid w:val="00625F01"/>
    <w:rsid w:val="00626646"/>
    <w:rsid w:val="006267A0"/>
    <w:rsid w:val="006268EC"/>
    <w:rsid w:val="00626A5C"/>
    <w:rsid w:val="00627449"/>
    <w:rsid w:val="006275E7"/>
    <w:rsid w:val="00627B9A"/>
    <w:rsid w:val="00627BEE"/>
    <w:rsid w:val="00627BEF"/>
    <w:rsid w:val="00627CEE"/>
    <w:rsid w:val="00630C9F"/>
    <w:rsid w:val="00630F23"/>
    <w:rsid w:val="00630FE7"/>
    <w:rsid w:val="00631133"/>
    <w:rsid w:val="00631566"/>
    <w:rsid w:val="0063171A"/>
    <w:rsid w:val="00631C4D"/>
    <w:rsid w:val="00631D70"/>
    <w:rsid w:val="00631F39"/>
    <w:rsid w:val="00631FA4"/>
    <w:rsid w:val="006320BA"/>
    <w:rsid w:val="0063223D"/>
    <w:rsid w:val="0063266F"/>
    <w:rsid w:val="006327FB"/>
    <w:rsid w:val="00632876"/>
    <w:rsid w:val="00632AC6"/>
    <w:rsid w:val="00632D40"/>
    <w:rsid w:val="006330A4"/>
    <w:rsid w:val="006333D6"/>
    <w:rsid w:val="00633BB9"/>
    <w:rsid w:val="006340EF"/>
    <w:rsid w:val="0063426D"/>
    <w:rsid w:val="00634DE1"/>
    <w:rsid w:val="006352B2"/>
    <w:rsid w:val="00635304"/>
    <w:rsid w:val="006364BA"/>
    <w:rsid w:val="00636598"/>
    <w:rsid w:val="00636C90"/>
    <w:rsid w:val="006371E4"/>
    <w:rsid w:val="006376D5"/>
    <w:rsid w:val="006377F7"/>
    <w:rsid w:val="00637BA9"/>
    <w:rsid w:val="00637D87"/>
    <w:rsid w:val="0064002C"/>
    <w:rsid w:val="006400E0"/>
    <w:rsid w:val="006401F4"/>
    <w:rsid w:val="00640CB7"/>
    <w:rsid w:val="00640D3B"/>
    <w:rsid w:val="00640EF9"/>
    <w:rsid w:val="006410EE"/>
    <w:rsid w:val="006410F1"/>
    <w:rsid w:val="0064145B"/>
    <w:rsid w:val="006414EF"/>
    <w:rsid w:val="00641600"/>
    <w:rsid w:val="006417C9"/>
    <w:rsid w:val="00641A44"/>
    <w:rsid w:val="00641B6E"/>
    <w:rsid w:val="00641BAE"/>
    <w:rsid w:val="00641EB3"/>
    <w:rsid w:val="00641FEC"/>
    <w:rsid w:val="006425DF"/>
    <w:rsid w:val="0064264B"/>
    <w:rsid w:val="006428C8"/>
    <w:rsid w:val="00642A22"/>
    <w:rsid w:val="00642A4A"/>
    <w:rsid w:val="00642C61"/>
    <w:rsid w:val="00642C85"/>
    <w:rsid w:val="00642C8B"/>
    <w:rsid w:val="00642CC7"/>
    <w:rsid w:val="00642F18"/>
    <w:rsid w:val="006431F0"/>
    <w:rsid w:val="0064324B"/>
    <w:rsid w:val="00643302"/>
    <w:rsid w:val="0064348C"/>
    <w:rsid w:val="006434A6"/>
    <w:rsid w:val="00643C0C"/>
    <w:rsid w:val="00643E2B"/>
    <w:rsid w:val="00643FD0"/>
    <w:rsid w:val="0064435D"/>
    <w:rsid w:val="006443C0"/>
    <w:rsid w:val="00644457"/>
    <w:rsid w:val="00644972"/>
    <w:rsid w:val="00644A0F"/>
    <w:rsid w:val="00644A38"/>
    <w:rsid w:val="006452A0"/>
    <w:rsid w:val="0064585D"/>
    <w:rsid w:val="00645AF1"/>
    <w:rsid w:val="0064604B"/>
    <w:rsid w:val="00646130"/>
    <w:rsid w:val="006461E6"/>
    <w:rsid w:val="0064621F"/>
    <w:rsid w:val="006465C5"/>
    <w:rsid w:val="00646922"/>
    <w:rsid w:val="00646A2E"/>
    <w:rsid w:val="00646DC6"/>
    <w:rsid w:val="00647249"/>
    <w:rsid w:val="00647320"/>
    <w:rsid w:val="006473BE"/>
    <w:rsid w:val="006474FB"/>
    <w:rsid w:val="00647590"/>
    <w:rsid w:val="00647819"/>
    <w:rsid w:val="00647A1B"/>
    <w:rsid w:val="00647E1B"/>
    <w:rsid w:val="00647EF8"/>
    <w:rsid w:val="00647FF0"/>
    <w:rsid w:val="006503A0"/>
    <w:rsid w:val="00650613"/>
    <w:rsid w:val="006507F5"/>
    <w:rsid w:val="006508C2"/>
    <w:rsid w:val="00650C06"/>
    <w:rsid w:val="00650FA0"/>
    <w:rsid w:val="0065117A"/>
    <w:rsid w:val="00651450"/>
    <w:rsid w:val="00651C98"/>
    <w:rsid w:val="00651EBE"/>
    <w:rsid w:val="006532E8"/>
    <w:rsid w:val="006535DD"/>
    <w:rsid w:val="0065364F"/>
    <w:rsid w:val="006536A5"/>
    <w:rsid w:val="00653761"/>
    <w:rsid w:val="00653808"/>
    <w:rsid w:val="00653ADD"/>
    <w:rsid w:val="00653C0C"/>
    <w:rsid w:val="00653C80"/>
    <w:rsid w:val="00654058"/>
    <w:rsid w:val="006541C9"/>
    <w:rsid w:val="00654694"/>
    <w:rsid w:val="006549A5"/>
    <w:rsid w:val="00654ABE"/>
    <w:rsid w:val="00655123"/>
    <w:rsid w:val="006552CD"/>
    <w:rsid w:val="00655690"/>
    <w:rsid w:val="00655FBA"/>
    <w:rsid w:val="0065609B"/>
    <w:rsid w:val="0065612B"/>
    <w:rsid w:val="0065638B"/>
    <w:rsid w:val="006564CA"/>
    <w:rsid w:val="00656741"/>
    <w:rsid w:val="00656AD7"/>
    <w:rsid w:val="00656C5E"/>
    <w:rsid w:val="00656D71"/>
    <w:rsid w:val="00657086"/>
    <w:rsid w:val="006570E4"/>
    <w:rsid w:val="00657202"/>
    <w:rsid w:val="0065791E"/>
    <w:rsid w:val="00657B66"/>
    <w:rsid w:val="00657C06"/>
    <w:rsid w:val="00657F2B"/>
    <w:rsid w:val="00657F68"/>
    <w:rsid w:val="006600B3"/>
    <w:rsid w:val="00660206"/>
    <w:rsid w:val="00660367"/>
    <w:rsid w:val="006608ED"/>
    <w:rsid w:val="00660AAC"/>
    <w:rsid w:val="00660C3C"/>
    <w:rsid w:val="0066115D"/>
    <w:rsid w:val="00661299"/>
    <w:rsid w:val="006612B5"/>
    <w:rsid w:val="0066143B"/>
    <w:rsid w:val="006614A3"/>
    <w:rsid w:val="00661519"/>
    <w:rsid w:val="0066159D"/>
    <w:rsid w:val="00661791"/>
    <w:rsid w:val="006619C5"/>
    <w:rsid w:val="00662407"/>
    <w:rsid w:val="00662DD3"/>
    <w:rsid w:val="00662FE2"/>
    <w:rsid w:val="0066317C"/>
    <w:rsid w:val="006632B5"/>
    <w:rsid w:val="00663380"/>
    <w:rsid w:val="00663386"/>
    <w:rsid w:val="006633B5"/>
    <w:rsid w:val="00663535"/>
    <w:rsid w:val="006635A4"/>
    <w:rsid w:val="00663D00"/>
    <w:rsid w:val="00664083"/>
    <w:rsid w:val="006646A4"/>
    <w:rsid w:val="00664A4C"/>
    <w:rsid w:val="00664CDA"/>
    <w:rsid w:val="00664F41"/>
    <w:rsid w:val="006654D0"/>
    <w:rsid w:val="00665592"/>
    <w:rsid w:val="00665DA0"/>
    <w:rsid w:val="00666F8D"/>
    <w:rsid w:val="006670BE"/>
    <w:rsid w:val="00667231"/>
    <w:rsid w:val="006673F1"/>
    <w:rsid w:val="0066782F"/>
    <w:rsid w:val="00667DAF"/>
    <w:rsid w:val="006700C6"/>
    <w:rsid w:val="006701CD"/>
    <w:rsid w:val="00670270"/>
    <w:rsid w:val="00670A53"/>
    <w:rsid w:val="00670B94"/>
    <w:rsid w:val="00670F19"/>
    <w:rsid w:val="00671067"/>
    <w:rsid w:val="00671154"/>
    <w:rsid w:val="0067139D"/>
    <w:rsid w:val="0067150F"/>
    <w:rsid w:val="006715E7"/>
    <w:rsid w:val="006719A7"/>
    <w:rsid w:val="00672F2D"/>
    <w:rsid w:val="00672F64"/>
    <w:rsid w:val="00673442"/>
    <w:rsid w:val="00673919"/>
    <w:rsid w:val="00673BFA"/>
    <w:rsid w:val="00673DB3"/>
    <w:rsid w:val="00673EAF"/>
    <w:rsid w:val="0067402D"/>
    <w:rsid w:val="006747F9"/>
    <w:rsid w:val="00674C34"/>
    <w:rsid w:val="00674DE6"/>
    <w:rsid w:val="00674E36"/>
    <w:rsid w:val="00674FC9"/>
    <w:rsid w:val="00675294"/>
    <w:rsid w:val="0067539F"/>
    <w:rsid w:val="0067540A"/>
    <w:rsid w:val="00675D0F"/>
    <w:rsid w:val="00675EF9"/>
    <w:rsid w:val="0067606C"/>
    <w:rsid w:val="006765A5"/>
    <w:rsid w:val="0067686D"/>
    <w:rsid w:val="0067692C"/>
    <w:rsid w:val="0067698F"/>
    <w:rsid w:val="00676D42"/>
    <w:rsid w:val="0067718A"/>
    <w:rsid w:val="00677573"/>
    <w:rsid w:val="0067761D"/>
    <w:rsid w:val="00677851"/>
    <w:rsid w:val="00677C3A"/>
    <w:rsid w:val="006807C2"/>
    <w:rsid w:val="00680902"/>
    <w:rsid w:val="00680BCE"/>
    <w:rsid w:val="00681162"/>
    <w:rsid w:val="00681612"/>
    <w:rsid w:val="00681827"/>
    <w:rsid w:val="0068185C"/>
    <w:rsid w:val="00681896"/>
    <w:rsid w:val="00681976"/>
    <w:rsid w:val="00681AAD"/>
    <w:rsid w:val="00681BFE"/>
    <w:rsid w:val="00681E56"/>
    <w:rsid w:val="00682536"/>
    <w:rsid w:val="0068294E"/>
    <w:rsid w:val="00682C30"/>
    <w:rsid w:val="00682DB6"/>
    <w:rsid w:val="0068302F"/>
    <w:rsid w:val="00683215"/>
    <w:rsid w:val="00683344"/>
    <w:rsid w:val="0068383C"/>
    <w:rsid w:val="006838F9"/>
    <w:rsid w:val="00683C12"/>
    <w:rsid w:val="00683FFA"/>
    <w:rsid w:val="00684308"/>
    <w:rsid w:val="00684457"/>
    <w:rsid w:val="006845BC"/>
    <w:rsid w:val="00684C45"/>
    <w:rsid w:val="00684C4E"/>
    <w:rsid w:val="00685D13"/>
    <w:rsid w:val="00685FEA"/>
    <w:rsid w:val="006860C6"/>
    <w:rsid w:val="00686113"/>
    <w:rsid w:val="00686C33"/>
    <w:rsid w:val="00686E06"/>
    <w:rsid w:val="00686F7A"/>
    <w:rsid w:val="0068708A"/>
    <w:rsid w:val="006875E5"/>
    <w:rsid w:val="00687802"/>
    <w:rsid w:val="006879CE"/>
    <w:rsid w:val="00687DE7"/>
    <w:rsid w:val="00687EAA"/>
    <w:rsid w:val="006902CF"/>
    <w:rsid w:val="006907B9"/>
    <w:rsid w:val="006908E0"/>
    <w:rsid w:val="00690BEE"/>
    <w:rsid w:val="00690C42"/>
    <w:rsid w:val="00691138"/>
    <w:rsid w:val="00691376"/>
    <w:rsid w:val="00691B77"/>
    <w:rsid w:val="00691C98"/>
    <w:rsid w:val="00691D2E"/>
    <w:rsid w:val="00691E81"/>
    <w:rsid w:val="00691F6D"/>
    <w:rsid w:val="00692011"/>
    <w:rsid w:val="0069262F"/>
    <w:rsid w:val="00692882"/>
    <w:rsid w:val="00692B81"/>
    <w:rsid w:val="00692BB4"/>
    <w:rsid w:val="00692DE6"/>
    <w:rsid w:val="00692F2E"/>
    <w:rsid w:val="00693259"/>
    <w:rsid w:val="00693344"/>
    <w:rsid w:val="00693439"/>
    <w:rsid w:val="00693A3D"/>
    <w:rsid w:val="00693E73"/>
    <w:rsid w:val="00694033"/>
    <w:rsid w:val="0069416F"/>
    <w:rsid w:val="00694B8C"/>
    <w:rsid w:val="00694C40"/>
    <w:rsid w:val="00694EAB"/>
    <w:rsid w:val="0069552C"/>
    <w:rsid w:val="00695C68"/>
    <w:rsid w:val="00696475"/>
    <w:rsid w:val="0069680D"/>
    <w:rsid w:val="00696BC4"/>
    <w:rsid w:val="00696F51"/>
    <w:rsid w:val="006972BE"/>
    <w:rsid w:val="006978D0"/>
    <w:rsid w:val="006979E6"/>
    <w:rsid w:val="006A0086"/>
    <w:rsid w:val="006A0318"/>
    <w:rsid w:val="006A05E4"/>
    <w:rsid w:val="006A09F3"/>
    <w:rsid w:val="006A0B4B"/>
    <w:rsid w:val="006A0C0E"/>
    <w:rsid w:val="006A0DED"/>
    <w:rsid w:val="006A0E66"/>
    <w:rsid w:val="006A12F3"/>
    <w:rsid w:val="006A1577"/>
    <w:rsid w:val="006A1993"/>
    <w:rsid w:val="006A1B7A"/>
    <w:rsid w:val="006A1D9E"/>
    <w:rsid w:val="006A1EC3"/>
    <w:rsid w:val="006A211C"/>
    <w:rsid w:val="006A21E8"/>
    <w:rsid w:val="006A245D"/>
    <w:rsid w:val="006A24E4"/>
    <w:rsid w:val="006A2508"/>
    <w:rsid w:val="006A281E"/>
    <w:rsid w:val="006A28D3"/>
    <w:rsid w:val="006A29E3"/>
    <w:rsid w:val="006A2B2A"/>
    <w:rsid w:val="006A2CF1"/>
    <w:rsid w:val="006A2E2F"/>
    <w:rsid w:val="006A2F54"/>
    <w:rsid w:val="006A30FB"/>
    <w:rsid w:val="006A3114"/>
    <w:rsid w:val="006A31D7"/>
    <w:rsid w:val="006A3411"/>
    <w:rsid w:val="006A3DB2"/>
    <w:rsid w:val="006A3F5A"/>
    <w:rsid w:val="006A42E9"/>
    <w:rsid w:val="006A4556"/>
    <w:rsid w:val="006A46B2"/>
    <w:rsid w:val="006A4897"/>
    <w:rsid w:val="006A4BC2"/>
    <w:rsid w:val="006A4C17"/>
    <w:rsid w:val="006A4C6A"/>
    <w:rsid w:val="006A51B7"/>
    <w:rsid w:val="006A525D"/>
    <w:rsid w:val="006A58BB"/>
    <w:rsid w:val="006A5BD5"/>
    <w:rsid w:val="006A5ED0"/>
    <w:rsid w:val="006A6171"/>
    <w:rsid w:val="006A6940"/>
    <w:rsid w:val="006A74C8"/>
    <w:rsid w:val="006A74F5"/>
    <w:rsid w:val="006A7685"/>
    <w:rsid w:val="006A788B"/>
    <w:rsid w:val="006A7B47"/>
    <w:rsid w:val="006A7E2A"/>
    <w:rsid w:val="006B0034"/>
    <w:rsid w:val="006B0328"/>
    <w:rsid w:val="006B03C4"/>
    <w:rsid w:val="006B0636"/>
    <w:rsid w:val="006B0A25"/>
    <w:rsid w:val="006B0C91"/>
    <w:rsid w:val="006B0F06"/>
    <w:rsid w:val="006B115C"/>
    <w:rsid w:val="006B133F"/>
    <w:rsid w:val="006B15A7"/>
    <w:rsid w:val="006B1BD2"/>
    <w:rsid w:val="006B1E62"/>
    <w:rsid w:val="006B1FE1"/>
    <w:rsid w:val="006B20DB"/>
    <w:rsid w:val="006B222A"/>
    <w:rsid w:val="006B2342"/>
    <w:rsid w:val="006B2CF3"/>
    <w:rsid w:val="006B3832"/>
    <w:rsid w:val="006B3B79"/>
    <w:rsid w:val="006B3C42"/>
    <w:rsid w:val="006B3DFF"/>
    <w:rsid w:val="006B3E22"/>
    <w:rsid w:val="006B42FD"/>
    <w:rsid w:val="006B4343"/>
    <w:rsid w:val="006B47CC"/>
    <w:rsid w:val="006B49CC"/>
    <w:rsid w:val="006B4AFF"/>
    <w:rsid w:val="006B4B46"/>
    <w:rsid w:val="006B5862"/>
    <w:rsid w:val="006B5EB3"/>
    <w:rsid w:val="006B5F0E"/>
    <w:rsid w:val="006B5FDD"/>
    <w:rsid w:val="006B659C"/>
    <w:rsid w:val="006B686D"/>
    <w:rsid w:val="006B79D3"/>
    <w:rsid w:val="006B7B7E"/>
    <w:rsid w:val="006B7D5A"/>
    <w:rsid w:val="006C042E"/>
    <w:rsid w:val="006C057B"/>
    <w:rsid w:val="006C0D30"/>
    <w:rsid w:val="006C0D65"/>
    <w:rsid w:val="006C139E"/>
    <w:rsid w:val="006C1A05"/>
    <w:rsid w:val="006C1E25"/>
    <w:rsid w:val="006C1EE6"/>
    <w:rsid w:val="006C1FDC"/>
    <w:rsid w:val="006C2626"/>
    <w:rsid w:val="006C26C4"/>
    <w:rsid w:val="006C2C13"/>
    <w:rsid w:val="006C2CD9"/>
    <w:rsid w:val="006C2EB0"/>
    <w:rsid w:val="006C2F48"/>
    <w:rsid w:val="006C2F55"/>
    <w:rsid w:val="006C3327"/>
    <w:rsid w:val="006C35CF"/>
    <w:rsid w:val="006C388B"/>
    <w:rsid w:val="006C389D"/>
    <w:rsid w:val="006C38B9"/>
    <w:rsid w:val="006C3F2C"/>
    <w:rsid w:val="006C3F8F"/>
    <w:rsid w:val="006C4116"/>
    <w:rsid w:val="006C4754"/>
    <w:rsid w:val="006C4760"/>
    <w:rsid w:val="006C49CB"/>
    <w:rsid w:val="006C4BF1"/>
    <w:rsid w:val="006C5199"/>
    <w:rsid w:val="006C54B2"/>
    <w:rsid w:val="006C54CF"/>
    <w:rsid w:val="006C5A9F"/>
    <w:rsid w:val="006C5C45"/>
    <w:rsid w:val="006C5D6F"/>
    <w:rsid w:val="006C5FC7"/>
    <w:rsid w:val="006C67F0"/>
    <w:rsid w:val="006C6814"/>
    <w:rsid w:val="006C6BDD"/>
    <w:rsid w:val="006C6C2C"/>
    <w:rsid w:val="006C6EBA"/>
    <w:rsid w:val="006C701A"/>
    <w:rsid w:val="006C706A"/>
    <w:rsid w:val="006C7455"/>
    <w:rsid w:val="006C7604"/>
    <w:rsid w:val="006C7717"/>
    <w:rsid w:val="006C7E3E"/>
    <w:rsid w:val="006D003A"/>
    <w:rsid w:val="006D0249"/>
    <w:rsid w:val="006D03B4"/>
    <w:rsid w:val="006D0447"/>
    <w:rsid w:val="006D07AD"/>
    <w:rsid w:val="006D0B92"/>
    <w:rsid w:val="006D0BC0"/>
    <w:rsid w:val="006D0F97"/>
    <w:rsid w:val="006D1195"/>
    <w:rsid w:val="006D173C"/>
    <w:rsid w:val="006D1A76"/>
    <w:rsid w:val="006D1B00"/>
    <w:rsid w:val="006D20BD"/>
    <w:rsid w:val="006D20BE"/>
    <w:rsid w:val="006D22D4"/>
    <w:rsid w:val="006D22EB"/>
    <w:rsid w:val="006D24C4"/>
    <w:rsid w:val="006D27FF"/>
    <w:rsid w:val="006D29AA"/>
    <w:rsid w:val="006D2AB3"/>
    <w:rsid w:val="006D35C0"/>
    <w:rsid w:val="006D362A"/>
    <w:rsid w:val="006D38DE"/>
    <w:rsid w:val="006D3B79"/>
    <w:rsid w:val="006D3EEF"/>
    <w:rsid w:val="006D3EF4"/>
    <w:rsid w:val="006D42E8"/>
    <w:rsid w:val="006D4427"/>
    <w:rsid w:val="006D45B6"/>
    <w:rsid w:val="006D47AB"/>
    <w:rsid w:val="006D4BDB"/>
    <w:rsid w:val="006D5162"/>
    <w:rsid w:val="006D5343"/>
    <w:rsid w:val="006D5463"/>
    <w:rsid w:val="006D57A9"/>
    <w:rsid w:val="006D615C"/>
    <w:rsid w:val="006D684A"/>
    <w:rsid w:val="006D6AD8"/>
    <w:rsid w:val="006D6D1B"/>
    <w:rsid w:val="006D6DF6"/>
    <w:rsid w:val="006D6FD4"/>
    <w:rsid w:val="006D70C4"/>
    <w:rsid w:val="006D7189"/>
    <w:rsid w:val="006D72F3"/>
    <w:rsid w:val="006D73ED"/>
    <w:rsid w:val="006D7835"/>
    <w:rsid w:val="006D7C18"/>
    <w:rsid w:val="006E021E"/>
    <w:rsid w:val="006E0746"/>
    <w:rsid w:val="006E092B"/>
    <w:rsid w:val="006E0BDC"/>
    <w:rsid w:val="006E0BE8"/>
    <w:rsid w:val="006E11C8"/>
    <w:rsid w:val="006E18D5"/>
    <w:rsid w:val="006E1A6E"/>
    <w:rsid w:val="006E1AEC"/>
    <w:rsid w:val="006E1B4E"/>
    <w:rsid w:val="006E1CCF"/>
    <w:rsid w:val="006E2403"/>
    <w:rsid w:val="006E2609"/>
    <w:rsid w:val="006E2636"/>
    <w:rsid w:val="006E277C"/>
    <w:rsid w:val="006E2A72"/>
    <w:rsid w:val="006E2AE0"/>
    <w:rsid w:val="006E2B46"/>
    <w:rsid w:val="006E2C3F"/>
    <w:rsid w:val="006E31AA"/>
    <w:rsid w:val="006E31C0"/>
    <w:rsid w:val="006E32D0"/>
    <w:rsid w:val="006E332E"/>
    <w:rsid w:val="006E385C"/>
    <w:rsid w:val="006E3A66"/>
    <w:rsid w:val="006E3C40"/>
    <w:rsid w:val="006E3D59"/>
    <w:rsid w:val="006E42FB"/>
    <w:rsid w:val="006E46CA"/>
    <w:rsid w:val="006E4800"/>
    <w:rsid w:val="006E4969"/>
    <w:rsid w:val="006E4A7A"/>
    <w:rsid w:val="006E4B7C"/>
    <w:rsid w:val="006E54E2"/>
    <w:rsid w:val="006E595A"/>
    <w:rsid w:val="006E5AC1"/>
    <w:rsid w:val="006E5B20"/>
    <w:rsid w:val="006E637F"/>
    <w:rsid w:val="006E67E7"/>
    <w:rsid w:val="006E68A4"/>
    <w:rsid w:val="006E6B3B"/>
    <w:rsid w:val="006E7086"/>
    <w:rsid w:val="006E70CA"/>
    <w:rsid w:val="006E7279"/>
    <w:rsid w:val="006E7615"/>
    <w:rsid w:val="006E7C06"/>
    <w:rsid w:val="006E7EA2"/>
    <w:rsid w:val="006F050D"/>
    <w:rsid w:val="006F089A"/>
    <w:rsid w:val="006F0951"/>
    <w:rsid w:val="006F0BAE"/>
    <w:rsid w:val="006F0C80"/>
    <w:rsid w:val="006F0E3A"/>
    <w:rsid w:val="006F0E9B"/>
    <w:rsid w:val="006F16A0"/>
    <w:rsid w:val="006F191B"/>
    <w:rsid w:val="006F1AB0"/>
    <w:rsid w:val="006F1B15"/>
    <w:rsid w:val="006F1CAD"/>
    <w:rsid w:val="006F205C"/>
    <w:rsid w:val="006F213B"/>
    <w:rsid w:val="006F2374"/>
    <w:rsid w:val="006F3007"/>
    <w:rsid w:val="006F302B"/>
    <w:rsid w:val="006F30B3"/>
    <w:rsid w:val="006F3564"/>
    <w:rsid w:val="006F3B44"/>
    <w:rsid w:val="006F3F92"/>
    <w:rsid w:val="006F4441"/>
    <w:rsid w:val="006F4AB3"/>
    <w:rsid w:val="006F4BEA"/>
    <w:rsid w:val="006F4CB2"/>
    <w:rsid w:val="006F4F1C"/>
    <w:rsid w:val="006F5253"/>
    <w:rsid w:val="006F559E"/>
    <w:rsid w:val="006F5AD1"/>
    <w:rsid w:val="006F5C86"/>
    <w:rsid w:val="006F5ED9"/>
    <w:rsid w:val="006F6072"/>
    <w:rsid w:val="006F60A4"/>
    <w:rsid w:val="006F6393"/>
    <w:rsid w:val="006F64B5"/>
    <w:rsid w:val="006F64C6"/>
    <w:rsid w:val="006F66EF"/>
    <w:rsid w:val="006F6999"/>
    <w:rsid w:val="006F69CE"/>
    <w:rsid w:val="006F6B98"/>
    <w:rsid w:val="006F6C8D"/>
    <w:rsid w:val="006F6FA8"/>
    <w:rsid w:val="006F70B2"/>
    <w:rsid w:val="006F70D3"/>
    <w:rsid w:val="006F75B2"/>
    <w:rsid w:val="006F797A"/>
    <w:rsid w:val="006F7A12"/>
    <w:rsid w:val="006F7F43"/>
    <w:rsid w:val="007000BD"/>
    <w:rsid w:val="007003A5"/>
    <w:rsid w:val="007003C1"/>
    <w:rsid w:val="00700686"/>
    <w:rsid w:val="007007B8"/>
    <w:rsid w:val="00700833"/>
    <w:rsid w:val="0070146B"/>
    <w:rsid w:val="0070169E"/>
    <w:rsid w:val="0070177B"/>
    <w:rsid w:val="007017CF"/>
    <w:rsid w:val="0070189B"/>
    <w:rsid w:val="00701E2E"/>
    <w:rsid w:val="00701E6B"/>
    <w:rsid w:val="0070234B"/>
    <w:rsid w:val="00702BD3"/>
    <w:rsid w:val="007031FD"/>
    <w:rsid w:val="007032E2"/>
    <w:rsid w:val="00703405"/>
    <w:rsid w:val="007034E4"/>
    <w:rsid w:val="00703A5A"/>
    <w:rsid w:val="00703C6F"/>
    <w:rsid w:val="00703D30"/>
    <w:rsid w:val="007041B2"/>
    <w:rsid w:val="00704787"/>
    <w:rsid w:val="00704C60"/>
    <w:rsid w:val="00705167"/>
    <w:rsid w:val="0070562A"/>
    <w:rsid w:val="007059F0"/>
    <w:rsid w:val="00705A04"/>
    <w:rsid w:val="007062D9"/>
    <w:rsid w:val="00706377"/>
    <w:rsid w:val="0070668B"/>
    <w:rsid w:val="00706729"/>
    <w:rsid w:val="00706857"/>
    <w:rsid w:val="00706AD3"/>
    <w:rsid w:val="00706E21"/>
    <w:rsid w:val="00706EAC"/>
    <w:rsid w:val="00706FCA"/>
    <w:rsid w:val="00706FE1"/>
    <w:rsid w:val="00707324"/>
    <w:rsid w:val="0070767B"/>
    <w:rsid w:val="00707B20"/>
    <w:rsid w:val="00707B2D"/>
    <w:rsid w:val="00707B92"/>
    <w:rsid w:val="00707C92"/>
    <w:rsid w:val="007104C0"/>
    <w:rsid w:val="00710DEA"/>
    <w:rsid w:val="00710F44"/>
    <w:rsid w:val="0071107E"/>
    <w:rsid w:val="007113F2"/>
    <w:rsid w:val="007119E1"/>
    <w:rsid w:val="00711AE7"/>
    <w:rsid w:val="00711F9D"/>
    <w:rsid w:val="00712329"/>
    <w:rsid w:val="00712413"/>
    <w:rsid w:val="007128D4"/>
    <w:rsid w:val="00712D54"/>
    <w:rsid w:val="00712F2C"/>
    <w:rsid w:val="00713066"/>
    <w:rsid w:val="00713160"/>
    <w:rsid w:val="00713404"/>
    <w:rsid w:val="00713408"/>
    <w:rsid w:val="00713B0C"/>
    <w:rsid w:val="00713E58"/>
    <w:rsid w:val="0071423B"/>
    <w:rsid w:val="007142E9"/>
    <w:rsid w:val="007147FB"/>
    <w:rsid w:val="0071482D"/>
    <w:rsid w:val="00714972"/>
    <w:rsid w:val="00714B8D"/>
    <w:rsid w:val="00714D82"/>
    <w:rsid w:val="00714F47"/>
    <w:rsid w:val="00714F68"/>
    <w:rsid w:val="00715696"/>
    <w:rsid w:val="00715E81"/>
    <w:rsid w:val="00715F93"/>
    <w:rsid w:val="0071610F"/>
    <w:rsid w:val="00716574"/>
    <w:rsid w:val="0071657B"/>
    <w:rsid w:val="007165A7"/>
    <w:rsid w:val="007165DF"/>
    <w:rsid w:val="00716CAF"/>
    <w:rsid w:val="00716D28"/>
    <w:rsid w:val="00717336"/>
    <w:rsid w:val="0071776A"/>
    <w:rsid w:val="007178D6"/>
    <w:rsid w:val="00717958"/>
    <w:rsid w:val="00717A21"/>
    <w:rsid w:val="00717EDB"/>
    <w:rsid w:val="00720031"/>
    <w:rsid w:val="007202C5"/>
    <w:rsid w:val="007202E4"/>
    <w:rsid w:val="0072036B"/>
    <w:rsid w:val="007204F8"/>
    <w:rsid w:val="00720534"/>
    <w:rsid w:val="00720548"/>
    <w:rsid w:val="007206C5"/>
    <w:rsid w:val="0072074C"/>
    <w:rsid w:val="0072090C"/>
    <w:rsid w:val="00720AAB"/>
    <w:rsid w:val="00720CB4"/>
    <w:rsid w:val="00720D20"/>
    <w:rsid w:val="00720D47"/>
    <w:rsid w:val="00720EDC"/>
    <w:rsid w:val="00721022"/>
    <w:rsid w:val="007211AD"/>
    <w:rsid w:val="00721575"/>
    <w:rsid w:val="007216CA"/>
    <w:rsid w:val="00721716"/>
    <w:rsid w:val="00721E2C"/>
    <w:rsid w:val="0072235C"/>
    <w:rsid w:val="007228FA"/>
    <w:rsid w:val="007229A2"/>
    <w:rsid w:val="00722E6F"/>
    <w:rsid w:val="00722F20"/>
    <w:rsid w:val="007236CA"/>
    <w:rsid w:val="00723918"/>
    <w:rsid w:val="00723B8F"/>
    <w:rsid w:val="00723C0F"/>
    <w:rsid w:val="00723C30"/>
    <w:rsid w:val="007242CF"/>
    <w:rsid w:val="007247B7"/>
    <w:rsid w:val="00724892"/>
    <w:rsid w:val="00724AC1"/>
    <w:rsid w:val="00724B45"/>
    <w:rsid w:val="00724B4F"/>
    <w:rsid w:val="00724D88"/>
    <w:rsid w:val="00724F0B"/>
    <w:rsid w:val="0072512D"/>
    <w:rsid w:val="00725356"/>
    <w:rsid w:val="00725538"/>
    <w:rsid w:val="00725D42"/>
    <w:rsid w:val="00725E69"/>
    <w:rsid w:val="0072604D"/>
    <w:rsid w:val="0072641B"/>
    <w:rsid w:val="00726604"/>
    <w:rsid w:val="00726981"/>
    <w:rsid w:val="0072745D"/>
    <w:rsid w:val="007274D0"/>
    <w:rsid w:val="00727E80"/>
    <w:rsid w:val="00727F0E"/>
    <w:rsid w:val="007300B1"/>
    <w:rsid w:val="0073031A"/>
    <w:rsid w:val="007306F5"/>
    <w:rsid w:val="007308DE"/>
    <w:rsid w:val="00730937"/>
    <w:rsid w:val="00730C6A"/>
    <w:rsid w:val="007314B7"/>
    <w:rsid w:val="00731DA0"/>
    <w:rsid w:val="00732316"/>
    <w:rsid w:val="0073235D"/>
    <w:rsid w:val="0073266B"/>
    <w:rsid w:val="00733367"/>
    <w:rsid w:val="007334BC"/>
    <w:rsid w:val="007335A5"/>
    <w:rsid w:val="007336D4"/>
    <w:rsid w:val="00733728"/>
    <w:rsid w:val="00733863"/>
    <w:rsid w:val="007338F9"/>
    <w:rsid w:val="00733FEE"/>
    <w:rsid w:val="007343DB"/>
    <w:rsid w:val="00734465"/>
    <w:rsid w:val="00734642"/>
    <w:rsid w:val="007346BB"/>
    <w:rsid w:val="00734AC0"/>
    <w:rsid w:val="00734B6A"/>
    <w:rsid w:val="00735333"/>
    <w:rsid w:val="007354D1"/>
    <w:rsid w:val="00735673"/>
    <w:rsid w:val="00735729"/>
    <w:rsid w:val="00735811"/>
    <w:rsid w:val="00735B60"/>
    <w:rsid w:val="00735B7C"/>
    <w:rsid w:val="00735C8F"/>
    <w:rsid w:val="00735D30"/>
    <w:rsid w:val="00735D48"/>
    <w:rsid w:val="00735F24"/>
    <w:rsid w:val="00736F6D"/>
    <w:rsid w:val="00737057"/>
    <w:rsid w:val="007375AD"/>
    <w:rsid w:val="00737884"/>
    <w:rsid w:val="00737979"/>
    <w:rsid w:val="007379AF"/>
    <w:rsid w:val="007379EE"/>
    <w:rsid w:val="00737C09"/>
    <w:rsid w:val="00740127"/>
    <w:rsid w:val="007403BA"/>
    <w:rsid w:val="0074047E"/>
    <w:rsid w:val="007406EB"/>
    <w:rsid w:val="007409C7"/>
    <w:rsid w:val="00740A5E"/>
    <w:rsid w:val="00740C44"/>
    <w:rsid w:val="00740D24"/>
    <w:rsid w:val="00741137"/>
    <w:rsid w:val="0074149A"/>
    <w:rsid w:val="0074166E"/>
    <w:rsid w:val="00741BB2"/>
    <w:rsid w:val="00741E49"/>
    <w:rsid w:val="007421C7"/>
    <w:rsid w:val="007423A6"/>
    <w:rsid w:val="007425AF"/>
    <w:rsid w:val="007428A5"/>
    <w:rsid w:val="007429C0"/>
    <w:rsid w:val="00742A30"/>
    <w:rsid w:val="0074320B"/>
    <w:rsid w:val="00743287"/>
    <w:rsid w:val="00743579"/>
    <w:rsid w:val="007436AF"/>
    <w:rsid w:val="00743710"/>
    <w:rsid w:val="0074380B"/>
    <w:rsid w:val="007439A7"/>
    <w:rsid w:val="007439BF"/>
    <w:rsid w:val="00743E4A"/>
    <w:rsid w:val="00744276"/>
    <w:rsid w:val="007442A6"/>
    <w:rsid w:val="007445AB"/>
    <w:rsid w:val="00744BC0"/>
    <w:rsid w:val="00744DA2"/>
    <w:rsid w:val="00744E19"/>
    <w:rsid w:val="00744FA3"/>
    <w:rsid w:val="007450B4"/>
    <w:rsid w:val="007453F4"/>
    <w:rsid w:val="00745951"/>
    <w:rsid w:val="00745C17"/>
    <w:rsid w:val="00745EA5"/>
    <w:rsid w:val="007460FC"/>
    <w:rsid w:val="007461D4"/>
    <w:rsid w:val="0074654D"/>
    <w:rsid w:val="00746B61"/>
    <w:rsid w:val="00746C95"/>
    <w:rsid w:val="00746E8B"/>
    <w:rsid w:val="0074744C"/>
    <w:rsid w:val="00747665"/>
    <w:rsid w:val="007476CF"/>
    <w:rsid w:val="00747A53"/>
    <w:rsid w:val="00747C1B"/>
    <w:rsid w:val="00747C4D"/>
    <w:rsid w:val="00747D4D"/>
    <w:rsid w:val="0075014D"/>
    <w:rsid w:val="007501E7"/>
    <w:rsid w:val="007502C7"/>
    <w:rsid w:val="00750364"/>
    <w:rsid w:val="00750657"/>
    <w:rsid w:val="007508BF"/>
    <w:rsid w:val="00751457"/>
    <w:rsid w:val="00751619"/>
    <w:rsid w:val="0075180A"/>
    <w:rsid w:val="00751C2E"/>
    <w:rsid w:val="00751CFD"/>
    <w:rsid w:val="00751F5F"/>
    <w:rsid w:val="00752875"/>
    <w:rsid w:val="007528E1"/>
    <w:rsid w:val="007528EA"/>
    <w:rsid w:val="0075299B"/>
    <w:rsid w:val="00752DD2"/>
    <w:rsid w:val="00752E2C"/>
    <w:rsid w:val="00752EFA"/>
    <w:rsid w:val="00752FFC"/>
    <w:rsid w:val="007530AF"/>
    <w:rsid w:val="00753187"/>
    <w:rsid w:val="00753222"/>
    <w:rsid w:val="007532EB"/>
    <w:rsid w:val="00753A0D"/>
    <w:rsid w:val="00753A36"/>
    <w:rsid w:val="00753BCC"/>
    <w:rsid w:val="00753E71"/>
    <w:rsid w:val="00754293"/>
    <w:rsid w:val="00754634"/>
    <w:rsid w:val="00754AE9"/>
    <w:rsid w:val="00754C2A"/>
    <w:rsid w:val="00754DED"/>
    <w:rsid w:val="00754E27"/>
    <w:rsid w:val="0075514A"/>
    <w:rsid w:val="0075523B"/>
    <w:rsid w:val="007553DD"/>
    <w:rsid w:val="0075557D"/>
    <w:rsid w:val="00755760"/>
    <w:rsid w:val="00755780"/>
    <w:rsid w:val="00755B90"/>
    <w:rsid w:val="00755BA3"/>
    <w:rsid w:val="0075604B"/>
    <w:rsid w:val="007562C0"/>
    <w:rsid w:val="0075648F"/>
    <w:rsid w:val="00756542"/>
    <w:rsid w:val="007565E6"/>
    <w:rsid w:val="00756CE1"/>
    <w:rsid w:val="007574B8"/>
    <w:rsid w:val="00757B58"/>
    <w:rsid w:val="00757DDD"/>
    <w:rsid w:val="00757EB9"/>
    <w:rsid w:val="0076017C"/>
    <w:rsid w:val="00760A3F"/>
    <w:rsid w:val="00760AAA"/>
    <w:rsid w:val="00760BEA"/>
    <w:rsid w:val="00760D0F"/>
    <w:rsid w:val="00760F07"/>
    <w:rsid w:val="0076139E"/>
    <w:rsid w:val="00761465"/>
    <w:rsid w:val="00762090"/>
    <w:rsid w:val="007620BD"/>
    <w:rsid w:val="0076218C"/>
    <w:rsid w:val="00762B07"/>
    <w:rsid w:val="00762C21"/>
    <w:rsid w:val="00762C81"/>
    <w:rsid w:val="00762D13"/>
    <w:rsid w:val="00762D80"/>
    <w:rsid w:val="00762EB8"/>
    <w:rsid w:val="0076315D"/>
    <w:rsid w:val="00763636"/>
    <w:rsid w:val="00763908"/>
    <w:rsid w:val="00763957"/>
    <w:rsid w:val="00763A07"/>
    <w:rsid w:val="00763C28"/>
    <w:rsid w:val="0076481D"/>
    <w:rsid w:val="007648B5"/>
    <w:rsid w:val="007649D4"/>
    <w:rsid w:val="00764C81"/>
    <w:rsid w:val="00764D7F"/>
    <w:rsid w:val="00764E9F"/>
    <w:rsid w:val="00764F21"/>
    <w:rsid w:val="0076532B"/>
    <w:rsid w:val="00765378"/>
    <w:rsid w:val="00765648"/>
    <w:rsid w:val="007656C5"/>
    <w:rsid w:val="0076591B"/>
    <w:rsid w:val="00765F86"/>
    <w:rsid w:val="00766C8C"/>
    <w:rsid w:val="00767345"/>
    <w:rsid w:val="0076753A"/>
    <w:rsid w:val="0076776B"/>
    <w:rsid w:val="00767C3E"/>
    <w:rsid w:val="00767E16"/>
    <w:rsid w:val="00770123"/>
    <w:rsid w:val="00770358"/>
    <w:rsid w:val="00770809"/>
    <w:rsid w:val="0077091A"/>
    <w:rsid w:val="00770BF0"/>
    <w:rsid w:val="00770CC2"/>
    <w:rsid w:val="00770FFE"/>
    <w:rsid w:val="00771C6F"/>
    <w:rsid w:val="00771CF2"/>
    <w:rsid w:val="007726FC"/>
    <w:rsid w:val="00772E29"/>
    <w:rsid w:val="00773397"/>
    <w:rsid w:val="00773564"/>
    <w:rsid w:val="007739D0"/>
    <w:rsid w:val="00773B94"/>
    <w:rsid w:val="00773BB5"/>
    <w:rsid w:val="00773BF0"/>
    <w:rsid w:val="00773C05"/>
    <w:rsid w:val="00773C0A"/>
    <w:rsid w:val="00774067"/>
    <w:rsid w:val="00774339"/>
    <w:rsid w:val="007743A2"/>
    <w:rsid w:val="00774464"/>
    <w:rsid w:val="007744D7"/>
    <w:rsid w:val="00774C8F"/>
    <w:rsid w:val="00774E79"/>
    <w:rsid w:val="00774F24"/>
    <w:rsid w:val="00775000"/>
    <w:rsid w:val="00775F6F"/>
    <w:rsid w:val="0077643D"/>
    <w:rsid w:val="0077672C"/>
    <w:rsid w:val="007768A9"/>
    <w:rsid w:val="007769A8"/>
    <w:rsid w:val="007770FD"/>
    <w:rsid w:val="00777186"/>
    <w:rsid w:val="007772FF"/>
    <w:rsid w:val="0077774B"/>
    <w:rsid w:val="00777792"/>
    <w:rsid w:val="00777A28"/>
    <w:rsid w:val="00777EDF"/>
    <w:rsid w:val="00777FE6"/>
    <w:rsid w:val="00780033"/>
    <w:rsid w:val="007802D0"/>
    <w:rsid w:val="007803BA"/>
    <w:rsid w:val="007804ED"/>
    <w:rsid w:val="007806D1"/>
    <w:rsid w:val="0078074A"/>
    <w:rsid w:val="00780831"/>
    <w:rsid w:val="00780EC1"/>
    <w:rsid w:val="00781079"/>
    <w:rsid w:val="007811EE"/>
    <w:rsid w:val="0078147C"/>
    <w:rsid w:val="007815F1"/>
    <w:rsid w:val="007816D6"/>
    <w:rsid w:val="007816FA"/>
    <w:rsid w:val="00781A0D"/>
    <w:rsid w:val="00781DE3"/>
    <w:rsid w:val="00782999"/>
    <w:rsid w:val="00782EAA"/>
    <w:rsid w:val="00782F62"/>
    <w:rsid w:val="00784087"/>
    <w:rsid w:val="0078456F"/>
    <w:rsid w:val="007849BC"/>
    <w:rsid w:val="00784BE6"/>
    <w:rsid w:val="00784F15"/>
    <w:rsid w:val="00784FE8"/>
    <w:rsid w:val="00785160"/>
    <w:rsid w:val="00785703"/>
    <w:rsid w:val="00785D04"/>
    <w:rsid w:val="00785D52"/>
    <w:rsid w:val="0078654B"/>
    <w:rsid w:val="00786629"/>
    <w:rsid w:val="007866F0"/>
    <w:rsid w:val="00786841"/>
    <w:rsid w:val="00786EBC"/>
    <w:rsid w:val="00786F27"/>
    <w:rsid w:val="00786F69"/>
    <w:rsid w:val="007874AE"/>
    <w:rsid w:val="0078772E"/>
    <w:rsid w:val="00787736"/>
    <w:rsid w:val="00787790"/>
    <w:rsid w:val="00787C28"/>
    <w:rsid w:val="007901E1"/>
    <w:rsid w:val="007902A3"/>
    <w:rsid w:val="007902AB"/>
    <w:rsid w:val="007902C0"/>
    <w:rsid w:val="00790ABF"/>
    <w:rsid w:val="00790B3E"/>
    <w:rsid w:val="0079130C"/>
    <w:rsid w:val="00791A99"/>
    <w:rsid w:val="00791C53"/>
    <w:rsid w:val="00791CD0"/>
    <w:rsid w:val="00791DA1"/>
    <w:rsid w:val="00792C01"/>
    <w:rsid w:val="00793792"/>
    <w:rsid w:val="00793904"/>
    <w:rsid w:val="00793E49"/>
    <w:rsid w:val="0079429B"/>
    <w:rsid w:val="00794368"/>
    <w:rsid w:val="00794379"/>
    <w:rsid w:val="00794591"/>
    <w:rsid w:val="007949E9"/>
    <w:rsid w:val="00794B55"/>
    <w:rsid w:val="00794C6A"/>
    <w:rsid w:val="00794CC5"/>
    <w:rsid w:val="00794D36"/>
    <w:rsid w:val="00794EBC"/>
    <w:rsid w:val="00795CED"/>
    <w:rsid w:val="00796423"/>
    <w:rsid w:val="007964B0"/>
    <w:rsid w:val="00796680"/>
    <w:rsid w:val="00796A32"/>
    <w:rsid w:val="00796C92"/>
    <w:rsid w:val="007970AC"/>
    <w:rsid w:val="007971B4"/>
    <w:rsid w:val="007971C8"/>
    <w:rsid w:val="0079750E"/>
    <w:rsid w:val="00797F34"/>
    <w:rsid w:val="007A028C"/>
    <w:rsid w:val="007A0305"/>
    <w:rsid w:val="007A05CE"/>
    <w:rsid w:val="007A0859"/>
    <w:rsid w:val="007A1503"/>
    <w:rsid w:val="007A1813"/>
    <w:rsid w:val="007A1C8D"/>
    <w:rsid w:val="007A2383"/>
    <w:rsid w:val="007A2400"/>
    <w:rsid w:val="007A2598"/>
    <w:rsid w:val="007A25FC"/>
    <w:rsid w:val="007A27ED"/>
    <w:rsid w:val="007A2B94"/>
    <w:rsid w:val="007A2EC9"/>
    <w:rsid w:val="007A30AF"/>
    <w:rsid w:val="007A35C0"/>
    <w:rsid w:val="007A3652"/>
    <w:rsid w:val="007A3782"/>
    <w:rsid w:val="007A3841"/>
    <w:rsid w:val="007A396C"/>
    <w:rsid w:val="007A39D0"/>
    <w:rsid w:val="007A3FFB"/>
    <w:rsid w:val="007A427A"/>
    <w:rsid w:val="007A440B"/>
    <w:rsid w:val="007A46F0"/>
    <w:rsid w:val="007A477B"/>
    <w:rsid w:val="007A483D"/>
    <w:rsid w:val="007A49C7"/>
    <w:rsid w:val="007A4A94"/>
    <w:rsid w:val="007A4C67"/>
    <w:rsid w:val="007A4F00"/>
    <w:rsid w:val="007A50AC"/>
    <w:rsid w:val="007A5651"/>
    <w:rsid w:val="007A56D7"/>
    <w:rsid w:val="007A5784"/>
    <w:rsid w:val="007A590C"/>
    <w:rsid w:val="007A5D94"/>
    <w:rsid w:val="007A660A"/>
    <w:rsid w:val="007A6732"/>
    <w:rsid w:val="007A69F5"/>
    <w:rsid w:val="007A6CE4"/>
    <w:rsid w:val="007A6F6D"/>
    <w:rsid w:val="007A712C"/>
    <w:rsid w:val="007A7510"/>
    <w:rsid w:val="007A7526"/>
    <w:rsid w:val="007A756B"/>
    <w:rsid w:val="007A7678"/>
    <w:rsid w:val="007A7A97"/>
    <w:rsid w:val="007A7B14"/>
    <w:rsid w:val="007B0129"/>
    <w:rsid w:val="007B04D4"/>
    <w:rsid w:val="007B06C1"/>
    <w:rsid w:val="007B0DAE"/>
    <w:rsid w:val="007B0DC3"/>
    <w:rsid w:val="007B0E4A"/>
    <w:rsid w:val="007B1412"/>
    <w:rsid w:val="007B2135"/>
    <w:rsid w:val="007B2164"/>
    <w:rsid w:val="007B2251"/>
    <w:rsid w:val="007B2567"/>
    <w:rsid w:val="007B25D2"/>
    <w:rsid w:val="007B2879"/>
    <w:rsid w:val="007B2926"/>
    <w:rsid w:val="007B2CD1"/>
    <w:rsid w:val="007B2F2C"/>
    <w:rsid w:val="007B2FB1"/>
    <w:rsid w:val="007B30C4"/>
    <w:rsid w:val="007B3207"/>
    <w:rsid w:val="007B3520"/>
    <w:rsid w:val="007B3543"/>
    <w:rsid w:val="007B39FB"/>
    <w:rsid w:val="007B3AE9"/>
    <w:rsid w:val="007B3DD1"/>
    <w:rsid w:val="007B3EE1"/>
    <w:rsid w:val="007B42EE"/>
    <w:rsid w:val="007B4443"/>
    <w:rsid w:val="007B479C"/>
    <w:rsid w:val="007B486C"/>
    <w:rsid w:val="007B4921"/>
    <w:rsid w:val="007B4FC2"/>
    <w:rsid w:val="007B4FCD"/>
    <w:rsid w:val="007B5088"/>
    <w:rsid w:val="007B5154"/>
    <w:rsid w:val="007B542C"/>
    <w:rsid w:val="007B563C"/>
    <w:rsid w:val="007B56DE"/>
    <w:rsid w:val="007B575C"/>
    <w:rsid w:val="007B5E0E"/>
    <w:rsid w:val="007B5E68"/>
    <w:rsid w:val="007B5E9C"/>
    <w:rsid w:val="007B608B"/>
    <w:rsid w:val="007B60F3"/>
    <w:rsid w:val="007B6283"/>
    <w:rsid w:val="007B6693"/>
    <w:rsid w:val="007B6CCA"/>
    <w:rsid w:val="007B6D01"/>
    <w:rsid w:val="007B6D07"/>
    <w:rsid w:val="007B7013"/>
    <w:rsid w:val="007B708F"/>
    <w:rsid w:val="007B777E"/>
    <w:rsid w:val="007B7A36"/>
    <w:rsid w:val="007B7B89"/>
    <w:rsid w:val="007B7BDC"/>
    <w:rsid w:val="007B7DCB"/>
    <w:rsid w:val="007B7E08"/>
    <w:rsid w:val="007B7FA5"/>
    <w:rsid w:val="007C0169"/>
    <w:rsid w:val="007C066F"/>
    <w:rsid w:val="007C100F"/>
    <w:rsid w:val="007C14CA"/>
    <w:rsid w:val="007C183E"/>
    <w:rsid w:val="007C1A78"/>
    <w:rsid w:val="007C1AB0"/>
    <w:rsid w:val="007C1BC7"/>
    <w:rsid w:val="007C1C5B"/>
    <w:rsid w:val="007C2897"/>
    <w:rsid w:val="007C28DE"/>
    <w:rsid w:val="007C29E3"/>
    <w:rsid w:val="007C3062"/>
    <w:rsid w:val="007C33D0"/>
    <w:rsid w:val="007C33E7"/>
    <w:rsid w:val="007C391A"/>
    <w:rsid w:val="007C3A8D"/>
    <w:rsid w:val="007C3DB2"/>
    <w:rsid w:val="007C4018"/>
    <w:rsid w:val="007C4120"/>
    <w:rsid w:val="007C45ED"/>
    <w:rsid w:val="007C488B"/>
    <w:rsid w:val="007C5288"/>
    <w:rsid w:val="007C52CA"/>
    <w:rsid w:val="007C54B4"/>
    <w:rsid w:val="007C560A"/>
    <w:rsid w:val="007C5861"/>
    <w:rsid w:val="007C59F4"/>
    <w:rsid w:val="007C59FF"/>
    <w:rsid w:val="007C5B2C"/>
    <w:rsid w:val="007C5C34"/>
    <w:rsid w:val="007C5F3E"/>
    <w:rsid w:val="007C6037"/>
    <w:rsid w:val="007C61E8"/>
    <w:rsid w:val="007C647C"/>
    <w:rsid w:val="007C65FA"/>
    <w:rsid w:val="007C6793"/>
    <w:rsid w:val="007C6929"/>
    <w:rsid w:val="007C6F16"/>
    <w:rsid w:val="007C72ED"/>
    <w:rsid w:val="007C73DA"/>
    <w:rsid w:val="007C780B"/>
    <w:rsid w:val="007C7847"/>
    <w:rsid w:val="007C785C"/>
    <w:rsid w:val="007C78E1"/>
    <w:rsid w:val="007C7EC6"/>
    <w:rsid w:val="007D009F"/>
    <w:rsid w:val="007D03A9"/>
    <w:rsid w:val="007D0693"/>
    <w:rsid w:val="007D06AA"/>
    <w:rsid w:val="007D06C1"/>
    <w:rsid w:val="007D07CF"/>
    <w:rsid w:val="007D0B4B"/>
    <w:rsid w:val="007D0E35"/>
    <w:rsid w:val="007D0E95"/>
    <w:rsid w:val="007D12CB"/>
    <w:rsid w:val="007D1366"/>
    <w:rsid w:val="007D1396"/>
    <w:rsid w:val="007D173E"/>
    <w:rsid w:val="007D1778"/>
    <w:rsid w:val="007D1DF2"/>
    <w:rsid w:val="007D2066"/>
    <w:rsid w:val="007D2339"/>
    <w:rsid w:val="007D2351"/>
    <w:rsid w:val="007D2528"/>
    <w:rsid w:val="007D25C2"/>
    <w:rsid w:val="007D2868"/>
    <w:rsid w:val="007D2B9B"/>
    <w:rsid w:val="007D2D95"/>
    <w:rsid w:val="007D329D"/>
    <w:rsid w:val="007D3338"/>
    <w:rsid w:val="007D3349"/>
    <w:rsid w:val="007D37BC"/>
    <w:rsid w:val="007D3D31"/>
    <w:rsid w:val="007D3F14"/>
    <w:rsid w:val="007D3F27"/>
    <w:rsid w:val="007D4424"/>
    <w:rsid w:val="007D4C17"/>
    <w:rsid w:val="007D4D19"/>
    <w:rsid w:val="007D4EFC"/>
    <w:rsid w:val="007D4FBA"/>
    <w:rsid w:val="007D5352"/>
    <w:rsid w:val="007D54E4"/>
    <w:rsid w:val="007D54EF"/>
    <w:rsid w:val="007D5AF1"/>
    <w:rsid w:val="007D5BA9"/>
    <w:rsid w:val="007D5F8B"/>
    <w:rsid w:val="007D655C"/>
    <w:rsid w:val="007D6610"/>
    <w:rsid w:val="007D67A2"/>
    <w:rsid w:val="007D6E40"/>
    <w:rsid w:val="007D6F6C"/>
    <w:rsid w:val="007D73A7"/>
    <w:rsid w:val="007D77FE"/>
    <w:rsid w:val="007D7ECE"/>
    <w:rsid w:val="007E03F5"/>
    <w:rsid w:val="007E0748"/>
    <w:rsid w:val="007E088E"/>
    <w:rsid w:val="007E0B50"/>
    <w:rsid w:val="007E0E2F"/>
    <w:rsid w:val="007E115C"/>
    <w:rsid w:val="007E1388"/>
    <w:rsid w:val="007E1B9D"/>
    <w:rsid w:val="007E1C0C"/>
    <w:rsid w:val="007E1D8A"/>
    <w:rsid w:val="007E2001"/>
    <w:rsid w:val="007E22E6"/>
    <w:rsid w:val="007E233E"/>
    <w:rsid w:val="007E2563"/>
    <w:rsid w:val="007E2CCB"/>
    <w:rsid w:val="007E2D7F"/>
    <w:rsid w:val="007E3204"/>
    <w:rsid w:val="007E3221"/>
    <w:rsid w:val="007E37F7"/>
    <w:rsid w:val="007E3C80"/>
    <w:rsid w:val="007E3DC2"/>
    <w:rsid w:val="007E4021"/>
    <w:rsid w:val="007E4181"/>
    <w:rsid w:val="007E42B0"/>
    <w:rsid w:val="007E4318"/>
    <w:rsid w:val="007E4646"/>
    <w:rsid w:val="007E4660"/>
    <w:rsid w:val="007E474D"/>
    <w:rsid w:val="007E4AB4"/>
    <w:rsid w:val="007E4ACF"/>
    <w:rsid w:val="007E52EC"/>
    <w:rsid w:val="007E5899"/>
    <w:rsid w:val="007E5AA9"/>
    <w:rsid w:val="007E5D85"/>
    <w:rsid w:val="007E607B"/>
    <w:rsid w:val="007E613E"/>
    <w:rsid w:val="007E67A7"/>
    <w:rsid w:val="007E7964"/>
    <w:rsid w:val="007E79F4"/>
    <w:rsid w:val="007E7B96"/>
    <w:rsid w:val="007E7F03"/>
    <w:rsid w:val="007E7FC3"/>
    <w:rsid w:val="007F04BB"/>
    <w:rsid w:val="007F08BE"/>
    <w:rsid w:val="007F09F0"/>
    <w:rsid w:val="007F0F9C"/>
    <w:rsid w:val="007F12CE"/>
    <w:rsid w:val="007F13A1"/>
    <w:rsid w:val="007F18C2"/>
    <w:rsid w:val="007F1A08"/>
    <w:rsid w:val="007F1BE2"/>
    <w:rsid w:val="007F1C45"/>
    <w:rsid w:val="007F1EBA"/>
    <w:rsid w:val="007F1F0A"/>
    <w:rsid w:val="007F1FAF"/>
    <w:rsid w:val="007F2095"/>
    <w:rsid w:val="007F2618"/>
    <w:rsid w:val="007F2B27"/>
    <w:rsid w:val="007F2E8C"/>
    <w:rsid w:val="007F318F"/>
    <w:rsid w:val="007F36DB"/>
    <w:rsid w:val="007F3F85"/>
    <w:rsid w:val="007F407A"/>
    <w:rsid w:val="007F41D9"/>
    <w:rsid w:val="007F4262"/>
    <w:rsid w:val="007F450E"/>
    <w:rsid w:val="007F464C"/>
    <w:rsid w:val="007F4D49"/>
    <w:rsid w:val="007F4E30"/>
    <w:rsid w:val="007F4F22"/>
    <w:rsid w:val="007F593C"/>
    <w:rsid w:val="007F5BF5"/>
    <w:rsid w:val="007F5D70"/>
    <w:rsid w:val="007F6226"/>
    <w:rsid w:val="007F6312"/>
    <w:rsid w:val="007F63D5"/>
    <w:rsid w:val="007F6DBB"/>
    <w:rsid w:val="007F75AA"/>
    <w:rsid w:val="007F7D2D"/>
    <w:rsid w:val="007F7DEE"/>
    <w:rsid w:val="007F7EF4"/>
    <w:rsid w:val="00800140"/>
    <w:rsid w:val="00800746"/>
    <w:rsid w:val="0080096D"/>
    <w:rsid w:val="00800C1C"/>
    <w:rsid w:val="00800E8E"/>
    <w:rsid w:val="008011E2"/>
    <w:rsid w:val="0080155C"/>
    <w:rsid w:val="008019BE"/>
    <w:rsid w:val="00801A67"/>
    <w:rsid w:val="00801B19"/>
    <w:rsid w:val="00801DCE"/>
    <w:rsid w:val="008020B3"/>
    <w:rsid w:val="0080224C"/>
    <w:rsid w:val="008023F7"/>
    <w:rsid w:val="00802406"/>
    <w:rsid w:val="00802430"/>
    <w:rsid w:val="00802747"/>
    <w:rsid w:val="00802B28"/>
    <w:rsid w:val="00803071"/>
    <w:rsid w:val="00803573"/>
    <w:rsid w:val="008035E7"/>
    <w:rsid w:val="008035F3"/>
    <w:rsid w:val="00803EF4"/>
    <w:rsid w:val="00804036"/>
    <w:rsid w:val="0080415B"/>
    <w:rsid w:val="0080425B"/>
    <w:rsid w:val="008046D5"/>
    <w:rsid w:val="0080480D"/>
    <w:rsid w:val="00804815"/>
    <w:rsid w:val="008048C9"/>
    <w:rsid w:val="00804B7D"/>
    <w:rsid w:val="00804E20"/>
    <w:rsid w:val="00804EE3"/>
    <w:rsid w:val="00804FE5"/>
    <w:rsid w:val="008052DA"/>
    <w:rsid w:val="0080575A"/>
    <w:rsid w:val="0080576B"/>
    <w:rsid w:val="008060B2"/>
    <w:rsid w:val="0080636D"/>
    <w:rsid w:val="008068CD"/>
    <w:rsid w:val="00806D18"/>
    <w:rsid w:val="00806D51"/>
    <w:rsid w:val="008072B6"/>
    <w:rsid w:val="00807437"/>
    <w:rsid w:val="008075E5"/>
    <w:rsid w:val="0080788D"/>
    <w:rsid w:val="00807954"/>
    <w:rsid w:val="00807B88"/>
    <w:rsid w:val="00807C13"/>
    <w:rsid w:val="008104D2"/>
    <w:rsid w:val="0081089D"/>
    <w:rsid w:val="0081102A"/>
    <w:rsid w:val="008110DE"/>
    <w:rsid w:val="00811507"/>
    <w:rsid w:val="00811903"/>
    <w:rsid w:val="008119F1"/>
    <w:rsid w:val="00811B83"/>
    <w:rsid w:val="008120C7"/>
    <w:rsid w:val="008121FA"/>
    <w:rsid w:val="00812574"/>
    <w:rsid w:val="008125F3"/>
    <w:rsid w:val="00812848"/>
    <w:rsid w:val="008129D5"/>
    <w:rsid w:val="00812B68"/>
    <w:rsid w:val="00812F97"/>
    <w:rsid w:val="008131C8"/>
    <w:rsid w:val="008136A0"/>
    <w:rsid w:val="00813BD7"/>
    <w:rsid w:val="00813DFC"/>
    <w:rsid w:val="0081491A"/>
    <w:rsid w:val="00814DAF"/>
    <w:rsid w:val="00814F6A"/>
    <w:rsid w:val="00814FF1"/>
    <w:rsid w:val="0081586F"/>
    <w:rsid w:val="00815B05"/>
    <w:rsid w:val="00815C56"/>
    <w:rsid w:val="00816027"/>
    <w:rsid w:val="00816090"/>
    <w:rsid w:val="008162D3"/>
    <w:rsid w:val="0081636A"/>
    <w:rsid w:val="0081636B"/>
    <w:rsid w:val="00816409"/>
    <w:rsid w:val="00816C4A"/>
    <w:rsid w:val="00816CFF"/>
    <w:rsid w:val="00816E1A"/>
    <w:rsid w:val="00816FE6"/>
    <w:rsid w:val="008171D7"/>
    <w:rsid w:val="00817233"/>
    <w:rsid w:val="0081744F"/>
    <w:rsid w:val="00817559"/>
    <w:rsid w:val="008177CE"/>
    <w:rsid w:val="00817A9A"/>
    <w:rsid w:val="00817BB1"/>
    <w:rsid w:val="008200AE"/>
    <w:rsid w:val="00820355"/>
    <w:rsid w:val="008203DD"/>
    <w:rsid w:val="00820557"/>
    <w:rsid w:val="00820735"/>
    <w:rsid w:val="00820898"/>
    <w:rsid w:val="0082092B"/>
    <w:rsid w:val="008209C4"/>
    <w:rsid w:val="00820C08"/>
    <w:rsid w:val="00820CC5"/>
    <w:rsid w:val="0082145E"/>
    <w:rsid w:val="008215C7"/>
    <w:rsid w:val="0082232D"/>
    <w:rsid w:val="00822633"/>
    <w:rsid w:val="0082296C"/>
    <w:rsid w:val="00822E3C"/>
    <w:rsid w:val="0082308B"/>
    <w:rsid w:val="008233F7"/>
    <w:rsid w:val="008234CC"/>
    <w:rsid w:val="00823A7C"/>
    <w:rsid w:val="00823C18"/>
    <w:rsid w:val="00823E7D"/>
    <w:rsid w:val="00824454"/>
    <w:rsid w:val="00824487"/>
    <w:rsid w:val="00824636"/>
    <w:rsid w:val="00824893"/>
    <w:rsid w:val="00824A64"/>
    <w:rsid w:val="00824BDF"/>
    <w:rsid w:val="00824C61"/>
    <w:rsid w:val="0082510D"/>
    <w:rsid w:val="00825189"/>
    <w:rsid w:val="00825A9C"/>
    <w:rsid w:val="00825DB6"/>
    <w:rsid w:val="0082609F"/>
    <w:rsid w:val="008260A1"/>
    <w:rsid w:val="00826101"/>
    <w:rsid w:val="00826464"/>
    <w:rsid w:val="008268A3"/>
    <w:rsid w:val="00826BD0"/>
    <w:rsid w:val="00826D34"/>
    <w:rsid w:val="00826E46"/>
    <w:rsid w:val="00826F0E"/>
    <w:rsid w:val="00826F35"/>
    <w:rsid w:val="0082710B"/>
    <w:rsid w:val="0082720F"/>
    <w:rsid w:val="0082739C"/>
    <w:rsid w:val="00827467"/>
    <w:rsid w:val="00827B52"/>
    <w:rsid w:val="00827CA8"/>
    <w:rsid w:val="00827E98"/>
    <w:rsid w:val="00827F47"/>
    <w:rsid w:val="0083004C"/>
    <w:rsid w:val="00830301"/>
    <w:rsid w:val="00830B92"/>
    <w:rsid w:val="00830BB5"/>
    <w:rsid w:val="00831301"/>
    <w:rsid w:val="0083151F"/>
    <w:rsid w:val="0083157C"/>
    <w:rsid w:val="00831729"/>
    <w:rsid w:val="0083186B"/>
    <w:rsid w:val="00831A1F"/>
    <w:rsid w:val="00831F09"/>
    <w:rsid w:val="008320AE"/>
    <w:rsid w:val="00832748"/>
    <w:rsid w:val="008327C0"/>
    <w:rsid w:val="00832A3E"/>
    <w:rsid w:val="00832C48"/>
    <w:rsid w:val="00832C5D"/>
    <w:rsid w:val="00832D87"/>
    <w:rsid w:val="00832FA6"/>
    <w:rsid w:val="00833129"/>
    <w:rsid w:val="008335F2"/>
    <w:rsid w:val="00833815"/>
    <w:rsid w:val="00833A04"/>
    <w:rsid w:val="00833C1B"/>
    <w:rsid w:val="00833E34"/>
    <w:rsid w:val="00834FB6"/>
    <w:rsid w:val="0083510D"/>
    <w:rsid w:val="008351A0"/>
    <w:rsid w:val="008354E7"/>
    <w:rsid w:val="00835552"/>
    <w:rsid w:val="00835EF5"/>
    <w:rsid w:val="00835FF1"/>
    <w:rsid w:val="0083613E"/>
    <w:rsid w:val="008361F8"/>
    <w:rsid w:val="008366A4"/>
    <w:rsid w:val="0083686B"/>
    <w:rsid w:val="00836EA9"/>
    <w:rsid w:val="00837139"/>
    <w:rsid w:val="0083715F"/>
    <w:rsid w:val="00837502"/>
    <w:rsid w:val="00837693"/>
    <w:rsid w:val="00837A7A"/>
    <w:rsid w:val="00837C61"/>
    <w:rsid w:val="00837E93"/>
    <w:rsid w:val="00837F15"/>
    <w:rsid w:val="00837F8E"/>
    <w:rsid w:val="008401C0"/>
    <w:rsid w:val="008401C2"/>
    <w:rsid w:val="00840273"/>
    <w:rsid w:val="008402B7"/>
    <w:rsid w:val="0084099D"/>
    <w:rsid w:val="00840E36"/>
    <w:rsid w:val="0084172F"/>
    <w:rsid w:val="00841864"/>
    <w:rsid w:val="00841C18"/>
    <w:rsid w:val="00841D69"/>
    <w:rsid w:val="00841ECA"/>
    <w:rsid w:val="00841F40"/>
    <w:rsid w:val="0084212C"/>
    <w:rsid w:val="00842289"/>
    <w:rsid w:val="00842318"/>
    <w:rsid w:val="008423EF"/>
    <w:rsid w:val="00842651"/>
    <w:rsid w:val="008429E1"/>
    <w:rsid w:val="00842AE4"/>
    <w:rsid w:val="00842BFC"/>
    <w:rsid w:val="00842D09"/>
    <w:rsid w:val="00843173"/>
    <w:rsid w:val="00843186"/>
    <w:rsid w:val="0084348E"/>
    <w:rsid w:val="008434F5"/>
    <w:rsid w:val="00843522"/>
    <w:rsid w:val="00843819"/>
    <w:rsid w:val="00843B5F"/>
    <w:rsid w:val="00843EE8"/>
    <w:rsid w:val="0084401B"/>
    <w:rsid w:val="00844047"/>
    <w:rsid w:val="0084429D"/>
    <w:rsid w:val="008444B3"/>
    <w:rsid w:val="00844761"/>
    <w:rsid w:val="00844800"/>
    <w:rsid w:val="00844DB9"/>
    <w:rsid w:val="00845090"/>
    <w:rsid w:val="00845265"/>
    <w:rsid w:val="008457B2"/>
    <w:rsid w:val="00845A4D"/>
    <w:rsid w:val="00845ABE"/>
    <w:rsid w:val="00845CBC"/>
    <w:rsid w:val="00845F1B"/>
    <w:rsid w:val="00846194"/>
    <w:rsid w:val="008462C3"/>
    <w:rsid w:val="00846540"/>
    <w:rsid w:val="00846AEE"/>
    <w:rsid w:val="00846C85"/>
    <w:rsid w:val="008472E4"/>
    <w:rsid w:val="0084768A"/>
    <w:rsid w:val="0084793D"/>
    <w:rsid w:val="0084799A"/>
    <w:rsid w:val="0085025A"/>
    <w:rsid w:val="00850B3D"/>
    <w:rsid w:val="00850B4D"/>
    <w:rsid w:val="00850E39"/>
    <w:rsid w:val="00850F89"/>
    <w:rsid w:val="008510CF"/>
    <w:rsid w:val="00851182"/>
    <w:rsid w:val="00851463"/>
    <w:rsid w:val="008514D6"/>
    <w:rsid w:val="008514F9"/>
    <w:rsid w:val="00851C38"/>
    <w:rsid w:val="00851CB4"/>
    <w:rsid w:val="00851CB5"/>
    <w:rsid w:val="00852121"/>
    <w:rsid w:val="00852136"/>
    <w:rsid w:val="008523EA"/>
    <w:rsid w:val="0085243A"/>
    <w:rsid w:val="0085356D"/>
    <w:rsid w:val="0085362E"/>
    <w:rsid w:val="0085376F"/>
    <w:rsid w:val="008537E6"/>
    <w:rsid w:val="00854017"/>
    <w:rsid w:val="008540DF"/>
    <w:rsid w:val="0085447D"/>
    <w:rsid w:val="008546D7"/>
    <w:rsid w:val="0085483E"/>
    <w:rsid w:val="008548BD"/>
    <w:rsid w:val="00854EB3"/>
    <w:rsid w:val="00855050"/>
    <w:rsid w:val="008557DE"/>
    <w:rsid w:val="0085591D"/>
    <w:rsid w:val="00855C39"/>
    <w:rsid w:val="0085705C"/>
    <w:rsid w:val="008570BD"/>
    <w:rsid w:val="008570E5"/>
    <w:rsid w:val="008574C6"/>
    <w:rsid w:val="0085768B"/>
    <w:rsid w:val="008576D9"/>
    <w:rsid w:val="0086058E"/>
    <w:rsid w:val="00860AF7"/>
    <w:rsid w:val="00860DCE"/>
    <w:rsid w:val="0086110C"/>
    <w:rsid w:val="0086149E"/>
    <w:rsid w:val="008614B7"/>
    <w:rsid w:val="0086153A"/>
    <w:rsid w:val="00861AED"/>
    <w:rsid w:val="00861B72"/>
    <w:rsid w:val="00861B7D"/>
    <w:rsid w:val="00861BAF"/>
    <w:rsid w:val="00861D4E"/>
    <w:rsid w:val="00861E0E"/>
    <w:rsid w:val="0086221F"/>
    <w:rsid w:val="008622B0"/>
    <w:rsid w:val="00862BEA"/>
    <w:rsid w:val="00862E9E"/>
    <w:rsid w:val="00863173"/>
    <w:rsid w:val="008634CD"/>
    <w:rsid w:val="008635EB"/>
    <w:rsid w:val="00863FED"/>
    <w:rsid w:val="00864080"/>
    <w:rsid w:val="008640EE"/>
    <w:rsid w:val="00864D2E"/>
    <w:rsid w:val="00864D4C"/>
    <w:rsid w:val="00865237"/>
    <w:rsid w:val="0086558A"/>
    <w:rsid w:val="0086568F"/>
    <w:rsid w:val="00865865"/>
    <w:rsid w:val="00865CD1"/>
    <w:rsid w:val="00865E49"/>
    <w:rsid w:val="00865F0E"/>
    <w:rsid w:val="00866488"/>
    <w:rsid w:val="008665FC"/>
    <w:rsid w:val="0086689D"/>
    <w:rsid w:val="008669D8"/>
    <w:rsid w:val="00866E90"/>
    <w:rsid w:val="00866E93"/>
    <w:rsid w:val="00867313"/>
    <w:rsid w:val="00867680"/>
    <w:rsid w:val="0086797D"/>
    <w:rsid w:val="00867CDD"/>
    <w:rsid w:val="00870100"/>
    <w:rsid w:val="0087013F"/>
    <w:rsid w:val="00870590"/>
    <w:rsid w:val="00870A0E"/>
    <w:rsid w:val="00870CBA"/>
    <w:rsid w:val="00871030"/>
    <w:rsid w:val="0087132C"/>
    <w:rsid w:val="00871603"/>
    <w:rsid w:val="0087175D"/>
    <w:rsid w:val="008718CE"/>
    <w:rsid w:val="00871C7F"/>
    <w:rsid w:val="00872258"/>
    <w:rsid w:val="00872742"/>
    <w:rsid w:val="008727BC"/>
    <w:rsid w:val="00872C30"/>
    <w:rsid w:val="00872D7E"/>
    <w:rsid w:val="0087335D"/>
    <w:rsid w:val="00873485"/>
    <w:rsid w:val="008739B7"/>
    <w:rsid w:val="00873A70"/>
    <w:rsid w:val="00873AD1"/>
    <w:rsid w:val="00873DDA"/>
    <w:rsid w:val="00873FA0"/>
    <w:rsid w:val="0087401D"/>
    <w:rsid w:val="00874493"/>
    <w:rsid w:val="008749EE"/>
    <w:rsid w:val="00874FAC"/>
    <w:rsid w:val="0087551A"/>
    <w:rsid w:val="0087595C"/>
    <w:rsid w:val="00875C95"/>
    <w:rsid w:val="00875DEE"/>
    <w:rsid w:val="0087611C"/>
    <w:rsid w:val="00876395"/>
    <w:rsid w:val="00876749"/>
    <w:rsid w:val="00876817"/>
    <w:rsid w:val="00876A65"/>
    <w:rsid w:val="00877219"/>
    <w:rsid w:val="008775D4"/>
    <w:rsid w:val="00877A55"/>
    <w:rsid w:val="00877AAA"/>
    <w:rsid w:val="00877B4E"/>
    <w:rsid w:val="00877F41"/>
    <w:rsid w:val="0088050F"/>
    <w:rsid w:val="008807BC"/>
    <w:rsid w:val="00880866"/>
    <w:rsid w:val="0088090E"/>
    <w:rsid w:val="00880998"/>
    <w:rsid w:val="008809A9"/>
    <w:rsid w:val="00880BF1"/>
    <w:rsid w:val="00880D77"/>
    <w:rsid w:val="00880F4E"/>
    <w:rsid w:val="00880F8D"/>
    <w:rsid w:val="00880FEA"/>
    <w:rsid w:val="00881472"/>
    <w:rsid w:val="008814FB"/>
    <w:rsid w:val="00881D36"/>
    <w:rsid w:val="008824D1"/>
    <w:rsid w:val="00882DAB"/>
    <w:rsid w:val="00882E9C"/>
    <w:rsid w:val="0088301B"/>
    <w:rsid w:val="008835FF"/>
    <w:rsid w:val="0088391B"/>
    <w:rsid w:val="00883DB8"/>
    <w:rsid w:val="0088408C"/>
    <w:rsid w:val="00884675"/>
    <w:rsid w:val="00884905"/>
    <w:rsid w:val="0088500A"/>
    <w:rsid w:val="0088514C"/>
    <w:rsid w:val="008857D8"/>
    <w:rsid w:val="00885AD0"/>
    <w:rsid w:val="00885B54"/>
    <w:rsid w:val="00885CB1"/>
    <w:rsid w:val="00885E1E"/>
    <w:rsid w:val="008863BA"/>
    <w:rsid w:val="008863C4"/>
    <w:rsid w:val="008864F8"/>
    <w:rsid w:val="00886507"/>
    <w:rsid w:val="008865B9"/>
    <w:rsid w:val="008869AF"/>
    <w:rsid w:val="00886B10"/>
    <w:rsid w:val="00886F56"/>
    <w:rsid w:val="00886F5B"/>
    <w:rsid w:val="0088704B"/>
    <w:rsid w:val="00887190"/>
    <w:rsid w:val="008871B4"/>
    <w:rsid w:val="00887D15"/>
    <w:rsid w:val="00887D43"/>
    <w:rsid w:val="0089016D"/>
    <w:rsid w:val="00890427"/>
    <w:rsid w:val="008905CE"/>
    <w:rsid w:val="00890848"/>
    <w:rsid w:val="00890B3D"/>
    <w:rsid w:val="00891136"/>
    <w:rsid w:val="0089133E"/>
    <w:rsid w:val="008915B7"/>
    <w:rsid w:val="0089167F"/>
    <w:rsid w:val="00891C3D"/>
    <w:rsid w:val="00891C6B"/>
    <w:rsid w:val="0089242F"/>
    <w:rsid w:val="00892481"/>
    <w:rsid w:val="008927B7"/>
    <w:rsid w:val="0089284C"/>
    <w:rsid w:val="00892B0D"/>
    <w:rsid w:val="00892CCA"/>
    <w:rsid w:val="00892D79"/>
    <w:rsid w:val="00892F19"/>
    <w:rsid w:val="0089316A"/>
    <w:rsid w:val="00893220"/>
    <w:rsid w:val="008932AA"/>
    <w:rsid w:val="0089334E"/>
    <w:rsid w:val="0089399D"/>
    <w:rsid w:val="008944B3"/>
    <w:rsid w:val="00894872"/>
    <w:rsid w:val="00894936"/>
    <w:rsid w:val="00894BB6"/>
    <w:rsid w:val="00894C7D"/>
    <w:rsid w:val="00894CAA"/>
    <w:rsid w:val="00894EA4"/>
    <w:rsid w:val="00894F05"/>
    <w:rsid w:val="00894F9A"/>
    <w:rsid w:val="0089581B"/>
    <w:rsid w:val="00895904"/>
    <w:rsid w:val="008959D8"/>
    <w:rsid w:val="00896405"/>
    <w:rsid w:val="008966D9"/>
    <w:rsid w:val="00896864"/>
    <w:rsid w:val="0089692F"/>
    <w:rsid w:val="00896D4C"/>
    <w:rsid w:val="00896EF6"/>
    <w:rsid w:val="0089705B"/>
    <w:rsid w:val="00897140"/>
    <w:rsid w:val="0089777E"/>
    <w:rsid w:val="008977AF"/>
    <w:rsid w:val="00897847"/>
    <w:rsid w:val="008979B1"/>
    <w:rsid w:val="00897A81"/>
    <w:rsid w:val="00897B8A"/>
    <w:rsid w:val="008A000F"/>
    <w:rsid w:val="008A0128"/>
    <w:rsid w:val="008A167B"/>
    <w:rsid w:val="008A20BF"/>
    <w:rsid w:val="008A2113"/>
    <w:rsid w:val="008A22E3"/>
    <w:rsid w:val="008A23E2"/>
    <w:rsid w:val="008A2444"/>
    <w:rsid w:val="008A27F5"/>
    <w:rsid w:val="008A2A6A"/>
    <w:rsid w:val="008A3446"/>
    <w:rsid w:val="008A360C"/>
    <w:rsid w:val="008A38D2"/>
    <w:rsid w:val="008A3C4D"/>
    <w:rsid w:val="008A3CF3"/>
    <w:rsid w:val="008A4667"/>
    <w:rsid w:val="008A4E55"/>
    <w:rsid w:val="008A4E80"/>
    <w:rsid w:val="008A4ED9"/>
    <w:rsid w:val="008A53BC"/>
    <w:rsid w:val="008A5C39"/>
    <w:rsid w:val="008A60D9"/>
    <w:rsid w:val="008A646F"/>
    <w:rsid w:val="008A6575"/>
    <w:rsid w:val="008A6A9D"/>
    <w:rsid w:val="008A6C7D"/>
    <w:rsid w:val="008A72A4"/>
    <w:rsid w:val="008A7327"/>
    <w:rsid w:val="008A7A74"/>
    <w:rsid w:val="008A7E73"/>
    <w:rsid w:val="008A7EF3"/>
    <w:rsid w:val="008B0BB4"/>
    <w:rsid w:val="008B0D90"/>
    <w:rsid w:val="008B133E"/>
    <w:rsid w:val="008B1419"/>
    <w:rsid w:val="008B1486"/>
    <w:rsid w:val="008B178D"/>
    <w:rsid w:val="008B1E05"/>
    <w:rsid w:val="008B1E8C"/>
    <w:rsid w:val="008B2123"/>
    <w:rsid w:val="008B252E"/>
    <w:rsid w:val="008B2608"/>
    <w:rsid w:val="008B260E"/>
    <w:rsid w:val="008B2850"/>
    <w:rsid w:val="008B2D0C"/>
    <w:rsid w:val="008B2E77"/>
    <w:rsid w:val="008B3128"/>
    <w:rsid w:val="008B37D9"/>
    <w:rsid w:val="008B385D"/>
    <w:rsid w:val="008B3A00"/>
    <w:rsid w:val="008B3A58"/>
    <w:rsid w:val="008B3C62"/>
    <w:rsid w:val="008B3E31"/>
    <w:rsid w:val="008B3E6F"/>
    <w:rsid w:val="008B44FD"/>
    <w:rsid w:val="008B4648"/>
    <w:rsid w:val="008B4986"/>
    <w:rsid w:val="008B4A34"/>
    <w:rsid w:val="008B4B60"/>
    <w:rsid w:val="008B4E2F"/>
    <w:rsid w:val="008B51C4"/>
    <w:rsid w:val="008B5410"/>
    <w:rsid w:val="008B5501"/>
    <w:rsid w:val="008B5825"/>
    <w:rsid w:val="008B5A21"/>
    <w:rsid w:val="008B606A"/>
    <w:rsid w:val="008B61E2"/>
    <w:rsid w:val="008B6324"/>
    <w:rsid w:val="008B634E"/>
    <w:rsid w:val="008B653C"/>
    <w:rsid w:val="008B6713"/>
    <w:rsid w:val="008B6986"/>
    <w:rsid w:val="008B6E33"/>
    <w:rsid w:val="008B6E4E"/>
    <w:rsid w:val="008B6FA0"/>
    <w:rsid w:val="008B7D1A"/>
    <w:rsid w:val="008C04FB"/>
    <w:rsid w:val="008C0D1F"/>
    <w:rsid w:val="008C1031"/>
    <w:rsid w:val="008C114B"/>
    <w:rsid w:val="008C11B2"/>
    <w:rsid w:val="008C1709"/>
    <w:rsid w:val="008C1D28"/>
    <w:rsid w:val="008C1ED6"/>
    <w:rsid w:val="008C20A5"/>
    <w:rsid w:val="008C2253"/>
    <w:rsid w:val="008C227A"/>
    <w:rsid w:val="008C2CDB"/>
    <w:rsid w:val="008C2D98"/>
    <w:rsid w:val="008C3699"/>
    <w:rsid w:val="008C3A1E"/>
    <w:rsid w:val="008C3B8F"/>
    <w:rsid w:val="008C3BDB"/>
    <w:rsid w:val="008C3FE7"/>
    <w:rsid w:val="008C410F"/>
    <w:rsid w:val="008C493D"/>
    <w:rsid w:val="008C4BB3"/>
    <w:rsid w:val="008C4C51"/>
    <w:rsid w:val="008C5006"/>
    <w:rsid w:val="008C50A3"/>
    <w:rsid w:val="008C5138"/>
    <w:rsid w:val="008C535C"/>
    <w:rsid w:val="008C54C7"/>
    <w:rsid w:val="008C5586"/>
    <w:rsid w:val="008C5CA3"/>
    <w:rsid w:val="008C5DC8"/>
    <w:rsid w:val="008C6276"/>
    <w:rsid w:val="008C6437"/>
    <w:rsid w:val="008C66B1"/>
    <w:rsid w:val="008C66CA"/>
    <w:rsid w:val="008C6DC5"/>
    <w:rsid w:val="008C6E42"/>
    <w:rsid w:val="008C72FA"/>
    <w:rsid w:val="008C777F"/>
    <w:rsid w:val="008C78A7"/>
    <w:rsid w:val="008C7AC3"/>
    <w:rsid w:val="008C7DE0"/>
    <w:rsid w:val="008C7F59"/>
    <w:rsid w:val="008C7F86"/>
    <w:rsid w:val="008D0778"/>
    <w:rsid w:val="008D09FD"/>
    <w:rsid w:val="008D1134"/>
    <w:rsid w:val="008D1581"/>
    <w:rsid w:val="008D15AE"/>
    <w:rsid w:val="008D18E7"/>
    <w:rsid w:val="008D1981"/>
    <w:rsid w:val="008D1B2D"/>
    <w:rsid w:val="008D2293"/>
    <w:rsid w:val="008D2502"/>
    <w:rsid w:val="008D2607"/>
    <w:rsid w:val="008D26B9"/>
    <w:rsid w:val="008D293D"/>
    <w:rsid w:val="008D29F5"/>
    <w:rsid w:val="008D2BD6"/>
    <w:rsid w:val="008D2C0C"/>
    <w:rsid w:val="008D2D36"/>
    <w:rsid w:val="008D3BDD"/>
    <w:rsid w:val="008D3BF5"/>
    <w:rsid w:val="008D3E6F"/>
    <w:rsid w:val="008D3EA1"/>
    <w:rsid w:val="008D4102"/>
    <w:rsid w:val="008D4386"/>
    <w:rsid w:val="008D4404"/>
    <w:rsid w:val="008D4468"/>
    <w:rsid w:val="008D4A7B"/>
    <w:rsid w:val="008D4F09"/>
    <w:rsid w:val="008D58F1"/>
    <w:rsid w:val="008D5D67"/>
    <w:rsid w:val="008D6266"/>
    <w:rsid w:val="008D6468"/>
    <w:rsid w:val="008D64D1"/>
    <w:rsid w:val="008D663D"/>
    <w:rsid w:val="008D6DCE"/>
    <w:rsid w:val="008D6F44"/>
    <w:rsid w:val="008D73BE"/>
    <w:rsid w:val="008D761F"/>
    <w:rsid w:val="008D77CC"/>
    <w:rsid w:val="008D788F"/>
    <w:rsid w:val="008D78AE"/>
    <w:rsid w:val="008D7AD8"/>
    <w:rsid w:val="008D7EB6"/>
    <w:rsid w:val="008E0102"/>
    <w:rsid w:val="008E0816"/>
    <w:rsid w:val="008E0871"/>
    <w:rsid w:val="008E087E"/>
    <w:rsid w:val="008E0A9C"/>
    <w:rsid w:val="008E0BCB"/>
    <w:rsid w:val="008E0EA2"/>
    <w:rsid w:val="008E0FEE"/>
    <w:rsid w:val="008E10DD"/>
    <w:rsid w:val="008E1226"/>
    <w:rsid w:val="008E12B9"/>
    <w:rsid w:val="008E15DB"/>
    <w:rsid w:val="008E18BF"/>
    <w:rsid w:val="008E1B35"/>
    <w:rsid w:val="008E2043"/>
    <w:rsid w:val="008E2136"/>
    <w:rsid w:val="008E23C7"/>
    <w:rsid w:val="008E2664"/>
    <w:rsid w:val="008E27B7"/>
    <w:rsid w:val="008E27CC"/>
    <w:rsid w:val="008E2870"/>
    <w:rsid w:val="008E2FF4"/>
    <w:rsid w:val="008E36CD"/>
    <w:rsid w:val="008E42E9"/>
    <w:rsid w:val="008E4F32"/>
    <w:rsid w:val="008E5058"/>
    <w:rsid w:val="008E5677"/>
    <w:rsid w:val="008E5B7D"/>
    <w:rsid w:val="008E630D"/>
    <w:rsid w:val="008E654B"/>
    <w:rsid w:val="008E68C7"/>
    <w:rsid w:val="008E69C7"/>
    <w:rsid w:val="008E69E7"/>
    <w:rsid w:val="008E6D2E"/>
    <w:rsid w:val="008E6DDE"/>
    <w:rsid w:val="008E6FAB"/>
    <w:rsid w:val="008E71CF"/>
    <w:rsid w:val="008E7533"/>
    <w:rsid w:val="008E759B"/>
    <w:rsid w:val="008E7D6A"/>
    <w:rsid w:val="008E7EFE"/>
    <w:rsid w:val="008F03AB"/>
    <w:rsid w:val="008F0445"/>
    <w:rsid w:val="008F04FC"/>
    <w:rsid w:val="008F04FD"/>
    <w:rsid w:val="008F06C5"/>
    <w:rsid w:val="008F0863"/>
    <w:rsid w:val="008F0BC6"/>
    <w:rsid w:val="008F15FF"/>
    <w:rsid w:val="008F16D8"/>
    <w:rsid w:val="008F18AA"/>
    <w:rsid w:val="008F1AF3"/>
    <w:rsid w:val="008F24EB"/>
    <w:rsid w:val="008F2726"/>
    <w:rsid w:val="008F27B7"/>
    <w:rsid w:val="008F27F0"/>
    <w:rsid w:val="008F28B0"/>
    <w:rsid w:val="008F2A31"/>
    <w:rsid w:val="008F2DF5"/>
    <w:rsid w:val="008F37B0"/>
    <w:rsid w:val="008F3B50"/>
    <w:rsid w:val="008F3ED8"/>
    <w:rsid w:val="008F41DF"/>
    <w:rsid w:val="008F4631"/>
    <w:rsid w:val="008F46E3"/>
    <w:rsid w:val="008F480C"/>
    <w:rsid w:val="008F495A"/>
    <w:rsid w:val="008F4B18"/>
    <w:rsid w:val="008F4B4B"/>
    <w:rsid w:val="008F4C1D"/>
    <w:rsid w:val="008F4D76"/>
    <w:rsid w:val="008F4E96"/>
    <w:rsid w:val="008F57BB"/>
    <w:rsid w:val="008F6632"/>
    <w:rsid w:val="008F6710"/>
    <w:rsid w:val="008F67B6"/>
    <w:rsid w:val="008F68D1"/>
    <w:rsid w:val="008F6E64"/>
    <w:rsid w:val="008F6E82"/>
    <w:rsid w:val="008F7436"/>
    <w:rsid w:val="008F75E1"/>
    <w:rsid w:val="008F78AD"/>
    <w:rsid w:val="008F78FC"/>
    <w:rsid w:val="008F7940"/>
    <w:rsid w:val="00900022"/>
    <w:rsid w:val="009001E0"/>
    <w:rsid w:val="009003C8"/>
    <w:rsid w:val="009007B1"/>
    <w:rsid w:val="00900890"/>
    <w:rsid w:val="00901035"/>
    <w:rsid w:val="00901489"/>
    <w:rsid w:val="009014A5"/>
    <w:rsid w:val="00901683"/>
    <w:rsid w:val="00901ADB"/>
    <w:rsid w:val="00901BA5"/>
    <w:rsid w:val="00901E91"/>
    <w:rsid w:val="0090208F"/>
    <w:rsid w:val="00902583"/>
    <w:rsid w:val="0090304F"/>
    <w:rsid w:val="00903AF4"/>
    <w:rsid w:val="009042CD"/>
    <w:rsid w:val="009048D1"/>
    <w:rsid w:val="009048E6"/>
    <w:rsid w:val="00905107"/>
    <w:rsid w:val="009054C4"/>
    <w:rsid w:val="0090564E"/>
    <w:rsid w:val="009057A7"/>
    <w:rsid w:val="0090588D"/>
    <w:rsid w:val="0090590F"/>
    <w:rsid w:val="00905D92"/>
    <w:rsid w:val="00905DA0"/>
    <w:rsid w:val="00906E2A"/>
    <w:rsid w:val="009071E5"/>
    <w:rsid w:val="009074E1"/>
    <w:rsid w:val="009100B6"/>
    <w:rsid w:val="00910313"/>
    <w:rsid w:val="009105C2"/>
    <w:rsid w:val="00910B01"/>
    <w:rsid w:val="00910D01"/>
    <w:rsid w:val="009116E1"/>
    <w:rsid w:val="00911956"/>
    <w:rsid w:val="00911D1C"/>
    <w:rsid w:val="00911D3B"/>
    <w:rsid w:val="00912125"/>
    <w:rsid w:val="0091221F"/>
    <w:rsid w:val="00912236"/>
    <w:rsid w:val="009123C5"/>
    <w:rsid w:val="00912652"/>
    <w:rsid w:val="009128B7"/>
    <w:rsid w:val="00912C79"/>
    <w:rsid w:val="00912E8F"/>
    <w:rsid w:val="00913665"/>
    <w:rsid w:val="009136E5"/>
    <w:rsid w:val="0091386F"/>
    <w:rsid w:val="00913870"/>
    <w:rsid w:val="00913914"/>
    <w:rsid w:val="0091395B"/>
    <w:rsid w:val="00913A69"/>
    <w:rsid w:val="00913E99"/>
    <w:rsid w:val="00913F91"/>
    <w:rsid w:val="009140CF"/>
    <w:rsid w:val="0091461E"/>
    <w:rsid w:val="00914A06"/>
    <w:rsid w:val="00914B9C"/>
    <w:rsid w:val="00914CD2"/>
    <w:rsid w:val="00914EDA"/>
    <w:rsid w:val="00915331"/>
    <w:rsid w:val="00915613"/>
    <w:rsid w:val="0091578B"/>
    <w:rsid w:val="00915813"/>
    <w:rsid w:val="00915891"/>
    <w:rsid w:val="00915B6A"/>
    <w:rsid w:val="00915B9F"/>
    <w:rsid w:val="0091624C"/>
    <w:rsid w:val="009162EE"/>
    <w:rsid w:val="00916A38"/>
    <w:rsid w:val="00916A55"/>
    <w:rsid w:val="00916AC9"/>
    <w:rsid w:val="0091734E"/>
    <w:rsid w:val="00917603"/>
    <w:rsid w:val="009178B7"/>
    <w:rsid w:val="00917ADD"/>
    <w:rsid w:val="00917BC1"/>
    <w:rsid w:val="00917C63"/>
    <w:rsid w:val="009201BF"/>
    <w:rsid w:val="009201D4"/>
    <w:rsid w:val="00920820"/>
    <w:rsid w:val="009209EB"/>
    <w:rsid w:val="00920BCB"/>
    <w:rsid w:val="00920C02"/>
    <w:rsid w:val="00920CC6"/>
    <w:rsid w:val="00921034"/>
    <w:rsid w:val="009213D8"/>
    <w:rsid w:val="00921405"/>
    <w:rsid w:val="00921679"/>
    <w:rsid w:val="00921D1F"/>
    <w:rsid w:val="00921DC1"/>
    <w:rsid w:val="009221EE"/>
    <w:rsid w:val="00922821"/>
    <w:rsid w:val="00922E2A"/>
    <w:rsid w:val="00922E4B"/>
    <w:rsid w:val="00922F6C"/>
    <w:rsid w:val="0092304B"/>
    <w:rsid w:val="0092305E"/>
    <w:rsid w:val="00923062"/>
    <w:rsid w:val="009232EF"/>
    <w:rsid w:val="00923AAC"/>
    <w:rsid w:val="00923F43"/>
    <w:rsid w:val="00924007"/>
    <w:rsid w:val="0092456B"/>
    <w:rsid w:val="00924893"/>
    <w:rsid w:val="00924931"/>
    <w:rsid w:val="00924BB5"/>
    <w:rsid w:val="00924E19"/>
    <w:rsid w:val="00924F0D"/>
    <w:rsid w:val="00924F0F"/>
    <w:rsid w:val="0092513D"/>
    <w:rsid w:val="009253C8"/>
    <w:rsid w:val="00925553"/>
    <w:rsid w:val="00925984"/>
    <w:rsid w:val="00925A4E"/>
    <w:rsid w:val="00925E42"/>
    <w:rsid w:val="009260D6"/>
    <w:rsid w:val="00926130"/>
    <w:rsid w:val="009263D7"/>
    <w:rsid w:val="00926C39"/>
    <w:rsid w:val="00926D2C"/>
    <w:rsid w:val="0092726A"/>
    <w:rsid w:val="0092728A"/>
    <w:rsid w:val="00927392"/>
    <w:rsid w:val="009273DC"/>
    <w:rsid w:val="009279D1"/>
    <w:rsid w:val="00927A57"/>
    <w:rsid w:val="00927B51"/>
    <w:rsid w:val="00927C8E"/>
    <w:rsid w:val="00927D4B"/>
    <w:rsid w:val="00930193"/>
    <w:rsid w:val="0093053F"/>
    <w:rsid w:val="00930781"/>
    <w:rsid w:val="00930B07"/>
    <w:rsid w:val="00930B99"/>
    <w:rsid w:val="00930C22"/>
    <w:rsid w:val="00930DC0"/>
    <w:rsid w:val="00931461"/>
    <w:rsid w:val="00931DA4"/>
    <w:rsid w:val="00931F3C"/>
    <w:rsid w:val="0093206D"/>
    <w:rsid w:val="0093207B"/>
    <w:rsid w:val="009321C3"/>
    <w:rsid w:val="0093240E"/>
    <w:rsid w:val="009324EE"/>
    <w:rsid w:val="009327C1"/>
    <w:rsid w:val="00932C74"/>
    <w:rsid w:val="00932CB6"/>
    <w:rsid w:val="00932E57"/>
    <w:rsid w:val="00932F3C"/>
    <w:rsid w:val="009333ED"/>
    <w:rsid w:val="009336CE"/>
    <w:rsid w:val="0093377E"/>
    <w:rsid w:val="00933FB0"/>
    <w:rsid w:val="009341F2"/>
    <w:rsid w:val="009342C3"/>
    <w:rsid w:val="00934619"/>
    <w:rsid w:val="00934730"/>
    <w:rsid w:val="009349B0"/>
    <w:rsid w:val="00934AC1"/>
    <w:rsid w:val="00934BF8"/>
    <w:rsid w:val="00934D0B"/>
    <w:rsid w:val="00934FD4"/>
    <w:rsid w:val="0093536C"/>
    <w:rsid w:val="009358D5"/>
    <w:rsid w:val="00935914"/>
    <w:rsid w:val="00935A24"/>
    <w:rsid w:val="00935E4B"/>
    <w:rsid w:val="0093658A"/>
    <w:rsid w:val="00936AE2"/>
    <w:rsid w:val="00936C26"/>
    <w:rsid w:val="00936F30"/>
    <w:rsid w:val="00937515"/>
    <w:rsid w:val="0093752D"/>
    <w:rsid w:val="00937596"/>
    <w:rsid w:val="0093780C"/>
    <w:rsid w:val="009378B8"/>
    <w:rsid w:val="00937C68"/>
    <w:rsid w:val="00937D50"/>
    <w:rsid w:val="0094006D"/>
    <w:rsid w:val="0094014E"/>
    <w:rsid w:val="0094045D"/>
    <w:rsid w:val="00940884"/>
    <w:rsid w:val="00940887"/>
    <w:rsid w:val="00940D04"/>
    <w:rsid w:val="00940DD1"/>
    <w:rsid w:val="00940E6F"/>
    <w:rsid w:val="00941269"/>
    <w:rsid w:val="0094194E"/>
    <w:rsid w:val="00941F71"/>
    <w:rsid w:val="00942227"/>
    <w:rsid w:val="00942600"/>
    <w:rsid w:val="00942694"/>
    <w:rsid w:val="009428F3"/>
    <w:rsid w:val="00942FAE"/>
    <w:rsid w:val="00943107"/>
    <w:rsid w:val="009431A7"/>
    <w:rsid w:val="00943311"/>
    <w:rsid w:val="0094360D"/>
    <w:rsid w:val="00943782"/>
    <w:rsid w:val="0094387E"/>
    <w:rsid w:val="009438C1"/>
    <w:rsid w:val="009438D0"/>
    <w:rsid w:val="0094392C"/>
    <w:rsid w:val="00943CA1"/>
    <w:rsid w:val="00943CE6"/>
    <w:rsid w:val="00943DDF"/>
    <w:rsid w:val="00944114"/>
    <w:rsid w:val="009443AB"/>
    <w:rsid w:val="009444A8"/>
    <w:rsid w:val="00945156"/>
    <w:rsid w:val="00945246"/>
    <w:rsid w:val="00945533"/>
    <w:rsid w:val="00945DF1"/>
    <w:rsid w:val="00945FB4"/>
    <w:rsid w:val="009460A5"/>
    <w:rsid w:val="0094615E"/>
    <w:rsid w:val="009463E5"/>
    <w:rsid w:val="00946472"/>
    <w:rsid w:val="0094653D"/>
    <w:rsid w:val="00946575"/>
    <w:rsid w:val="00946650"/>
    <w:rsid w:val="009467EB"/>
    <w:rsid w:val="00946C65"/>
    <w:rsid w:val="0094784A"/>
    <w:rsid w:val="00947931"/>
    <w:rsid w:val="00947A35"/>
    <w:rsid w:val="00947AEF"/>
    <w:rsid w:val="009503D6"/>
    <w:rsid w:val="0095051D"/>
    <w:rsid w:val="00950658"/>
    <w:rsid w:val="00950825"/>
    <w:rsid w:val="00950B45"/>
    <w:rsid w:val="00950BEB"/>
    <w:rsid w:val="0095150A"/>
    <w:rsid w:val="00951A31"/>
    <w:rsid w:val="00951C3C"/>
    <w:rsid w:val="00951C42"/>
    <w:rsid w:val="00951C53"/>
    <w:rsid w:val="00951D72"/>
    <w:rsid w:val="00951EB5"/>
    <w:rsid w:val="00952359"/>
    <w:rsid w:val="00952542"/>
    <w:rsid w:val="0095280D"/>
    <w:rsid w:val="00952B88"/>
    <w:rsid w:val="00952C79"/>
    <w:rsid w:val="0095338B"/>
    <w:rsid w:val="0095341D"/>
    <w:rsid w:val="00953475"/>
    <w:rsid w:val="009534BE"/>
    <w:rsid w:val="00953A5E"/>
    <w:rsid w:val="00953E1B"/>
    <w:rsid w:val="0095406D"/>
    <w:rsid w:val="00954334"/>
    <w:rsid w:val="00954340"/>
    <w:rsid w:val="0095463B"/>
    <w:rsid w:val="009549E1"/>
    <w:rsid w:val="00954A19"/>
    <w:rsid w:val="00954B29"/>
    <w:rsid w:val="00954BA6"/>
    <w:rsid w:val="00954E39"/>
    <w:rsid w:val="00955109"/>
    <w:rsid w:val="00955601"/>
    <w:rsid w:val="00955662"/>
    <w:rsid w:val="009559FD"/>
    <w:rsid w:val="00955CCA"/>
    <w:rsid w:val="00955D84"/>
    <w:rsid w:val="00955E71"/>
    <w:rsid w:val="00956897"/>
    <w:rsid w:val="009568FF"/>
    <w:rsid w:val="00956A97"/>
    <w:rsid w:val="009572F5"/>
    <w:rsid w:val="009573CB"/>
    <w:rsid w:val="00957E3D"/>
    <w:rsid w:val="00957F72"/>
    <w:rsid w:val="00960177"/>
    <w:rsid w:val="0096033E"/>
    <w:rsid w:val="009607E7"/>
    <w:rsid w:val="00960C27"/>
    <w:rsid w:val="00960E1C"/>
    <w:rsid w:val="00960EF0"/>
    <w:rsid w:val="00961430"/>
    <w:rsid w:val="00962193"/>
    <w:rsid w:val="00962566"/>
    <w:rsid w:val="009625AF"/>
    <w:rsid w:val="0096261D"/>
    <w:rsid w:val="00962717"/>
    <w:rsid w:val="009627BF"/>
    <w:rsid w:val="0096303A"/>
    <w:rsid w:val="0096320C"/>
    <w:rsid w:val="0096323B"/>
    <w:rsid w:val="009634A0"/>
    <w:rsid w:val="00963B7F"/>
    <w:rsid w:val="00963E44"/>
    <w:rsid w:val="00963E68"/>
    <w:rsid w:val="00963EA2"/>
    <w:rsid w:val="00963FAB"/>
    <w:rsid w:val="00963FFE"/>
    <w:rsid w:val="00964163"/>
    <w:rsid w:val="009644A0"/>
    <w:rsid w:val="009646F9"/>
    <w:rsid w:val="00965249"/>
    <w:rsid w:val="00965648"/>
    <w:rsid w:val="009656D0"/>
    <w:rsid w:val="00965A84"/>
    <w:rsid w:val="0096606D"/>
    <w:rsid w:val="00966238"/>
    <w:rsid w:val="00966D44"/>
    <w:rsid w:val="00966D53"/>
    <w:rsid w:val="00966F73"/>
    <w:rsid w:val="0096705B"/>
    <w:rsid w:val="009677B8"/>
    <w:rsid w:val="0096784A"/>
    <w:rsid w:val="009679F4"/>
    <w:rsid w:val="00967B96"/>
    <w:rsid w:val="00967ECF"/>
    <w:rsid w:val="00967EEF"/>
    <w:rsid w:val="00970611"/>
    <w:rsid w:val="00970AA3"/>
    <w:rsid w:val="0097111E"/>
    <w:rsid w:val="009711EC"/>
    <w:rsid w:val="0097195A"/>
    <w:rsid w:val="00971BAA"/>
    <w:rsid w:val="00971DE0"/>
    <w:rsid w:val="009720B1"/>
    <w:rsid w:val="00972136"/>
    <w:rsid w:val="00972505"/>
    <w:rsid w:val="00972745"/>
    <w:rsid w:val="00973104"/>
    <w:rsid w:val="00973353"/>
    <w:rsid w:val="009733D8"/>
    <w:rsid w:val="009734E0"/>
    <w:rsid w:val="009734F0"/>
    <w:rsid w:val="0097356F"/>
    <w:rsid w:val="009737F3"/>
    <w:rsid w:val="00973898"/>
    <w:rsid w:val="009738BA"/>
    <w:rsid w:val="0097415A"/>
    <w:rsid w:val="009742B1"/>
    <w:rsid w:val="0097437F"/>
    <w:rsid w:val="0097493B"/>
    <w:rsid w:val="00974EB1"/>
    <w:rsid w:val="00975AE1"/>
    <w:rsid w:val="00975E60"/>
    <w:rsid w:val="009764C3"/>
    <w:rsid w:val="00976752"/>
    <w:rsid w:val="00976AD7"/>
    <w:rsid w:val="00976B04"/>
    <w:rsid w:val="00976D24"/>
    <w:rsid w:val="00976DB7"/>
    <w:rsid w:val="00976E82"/>
    <w:rsid w:val="00977143"/>
    <w:rsid w:val="00977245"/>
    <w:rsid w:val="0097730A"/>
    <w:rsid w:val="009777C4"/>
    <w:rsid w:val="00977917"/>
    <w:rsid w:val="00977984"/>
    <w:rsid w:val="009779FD"/>
    <w:rsid w:val="00977A58"/>
    <w:rsid w:val="00977C34"/>
    <w:rsid w:val="00977F3A"/>
    <w:rsid w:val="00977FF1"/>
    <w:rsid w:val="00980144"/>
    <w:rsid w:val="009801C8"/>
    <w:rsid w:val="009805AA"/>
    <w:rsid w:val="0098070B"/>
    <w:rsid w:val="00980B3B"/>
    <w:rsid w:val="00980B4B"/>
    <w:rsid w:val="00980BA0"/>
    <w:rsid w:val="009810A3"/>
    <w:rsid w:val="009811D1"/>
    <w:rsid w:val="0098136A"/>
    <w:rsid w:val="0098191B"/>
    <w:rsid w:val="00981AA5"/>
    <w:rsid w:val="00981CDC"/>
    <w:rsid w:val="00982640"/>
    <w:rsid w:val="00982E01"/>
    <w:rsid w:val="00982E3C"/>
    <w:rsid w:val="009833D5"/>
    <w:rsid w:val="00983442"/>
    <w:rsid w:val="009835FD"/>
    <w:rsid w:val="00983635"/>
    <w:rsid w:val="00983D15"/>
    <w:rsid w:val="00983E1E"/>
    <w:rsid w:val="00983EA9"/>
    <w:rsid w:val="009844B7"/>
    <w:rsid w:val="009845B0"/>
    <w:rsid w:val="009848F1"/>
    <w:rsid w:val="00984917"/>
    <w:rsid w:val="00985127"/>
    <w:rsid w:val="009854A3"/>
    <w:rsid w:val="009856DA"/>
    <w:rsid w:val="00985C6C"/>
    <w:rsid w:val="00985DEA"/>
    <w:rsid w:val="00985FFE"/>
    <w:rsid w:val="0098601C"/>
    <w:rsid w:val="0098614E"/>
    <w:rsid w:val="00986B55"/>
    <w:rsid w:val="00986C48"/>
    <w:rsid w:val="00986CDC"/>
    <w:rsid w:val="00986EEB"/>
    <w:rsid w:val="0098709E"/>
    <w:rsid w:val="00987262"/>
    <w:rsid w:val="00987854"/>
    <w:rsid w:val="00987AF3"/>
    <w:rsid w:val="00987C95"/>
    <w:rsid w:val="009903A2"/>
    <w:rsid w:val="00990468"/>
    <w:rsid w:val="00990615"/>
    <w:rsid w:val="00990A26"/>
    <w:rsid w:val="009910BD"/>
    <w:rsid w:val="0099122D"/>
    <w:rsid w:val="00991554"/>
    <w:rsid w:val="0099166A"/>
    <w:rsid w:val="00991777"/>
    <w:rsid w:val="00991AD3"/>
    <w:rsid w:val="00992026"/>
    <w:rsid w:val="00992141"/>
    <w:rsid w:val="009921F6"/>
    <w:rsid w:val="009928D3"/>
    <w:rsid w:val="00992914"/>
    <w:rsid w:val="00992C5E"/>
    <w:rsid w:val="00992CE5"/>
    <w:rsid w:val="00992D03"/>
    <w:rsid w:val="00992E0D"/>
    <w:rsid w:val="00992EE0"/>
    <w:rsid w:val="009934F8"/>
    <w:rsid w:val="00993530"/>
    <w:rsid w:val="009938AC"/>
    <w:rsid w:val="00993E85"/>
    <w:rsid w:val="00993F73"/>
    <w:rsid w:val="00994132"/>
    <w:rsid w:val="00994513"/>
    <w:rsid w:val="009945F0"/>
    <w:rsid w:val="00994AC8"/>
    <w:rsid w:val="00994B8A"/>
    <w:rsid w:val="00994D82"/>
    <w:rsid w:val="00994DD7"/>
    <w:rsid w:val="00995107"/>
    <w:rsid w:val="0099518D"/>
    <w:rsid w:val="009955D8"/>
    <w:rsid w:val="00995B5A"/>
    <w:rsid w:val="00995B82"/>
    <w:rsid w:val="00995BB6"/>
    <w:rsid w:val="00995BF6"/>
    <w:rsid w:val="00995C62"/>
    <w:rsid w:val="00995C93"/>
    <w:rsid w:val="009961B4"/>
    <w:rsid w:val="009966B6"/>
    <w:rsid w:val="00996A36"/>
    <w:rsid w:val="00996D7A"/>
    <w:rsid w:val="00996FC7"/>
    <w:rsid w:val="00997010"/>
    <w:rsid w:val="009970A4"/>
    <w:rsid w:val="009971C6"/>
    <w:rsid w:val="009972F8"/>
    <w:rsid w:val="00997312"/>
    <w:rsid w:val="0099750C"/>
    <w:rsid w:val="0099765D"/>
    <w:rsid w:val="00997B01"/>
    <w:rsid w:val="009A01A5"/>
    <w:rsid w:val="009A04BE"/>
    <w:rsid w:val="009A0749"/>
    <w:rsid w:val="009A094C"/>
    <w:rsid w:val="009A0C0C"/>
    <w:rsid w:val="009A0EA5"/>
    <w:rsid w:val="009A0ED3"/>
    <w:rsid w:val="009A0EED"/>
    <w:rsid w:val="009A10B3"/>
    <w:rsid w:val="009A11DF"/>
    <w:rsid w:val="009A1369"/>
    <w:rsid w:val="009A1385"/>
    <w:rsid w:val="009A147F"/>
    <w:rsid w:val="009A1626"/>
    <w:rsid w:val="009A17BB"/>
    <w:rsid w:val="009A189F"/>
    <w:rsid w:val="009A18F7"/>
    <w:rsid w:val="009A1CF7"/>
    <w:rsid w:val="009A2432"/>
    <w:rsid w:val="009A267A"/>
    <w:rsid w:val="009A2703"/>
    <w:rsid w:val="009A2889"/>
    <w:rsid w:val="009A2C9E"/>
    <w:rsid w:val="009A345B"/>
    <w:rsid w:val="009A3E75"/>
    <w:rsid w:val="009A40BF"/>
    <w:rsid w:val="009A4239"/>
    <w:rsid w:val="009A47A1"/>
    <w:rsid w:val="009A4EAB"/>
    <w:rsid w:val="009A4EC4"/>
    <w:rsid w:val="009A5536"/>
    <w:rsid w:val="009A5DF3"/>
    <w:rsid w:val="009A60FD"/>
    <w:rsid w:val="009A62F7"/>
    <w:rsid w:val="009A63F9"/>
    <w:rsid w:val="009A6727"/>
    <w:rsid w:val="009A6993"/>
    <w:rsid w:val="009A6BB5"/>
    <w:rsid w:val="009A6F84"/>
    <w:rsid w:val="009A7528"/>
    <w:rsid w:val="009A77FD"/>
    <w:rsid w:val="009A7CFB"/>
    <w:rsid w:val="009B016E"/>
    <w:rsid w:val="009B02D6"/>
    <w:rsid w:val="009B09E2"/>
    <w:rsid w:val="009B0F00"/>
    <w:rsid w:val="009B106D"/>
    <w:rsid w:val="009B12B7"/>
    <w:rsid w:val="009B1655"/>
    <w:rsid w:val="009B1D0A"/>
    <w:rsid w:val="009B2182"/>
    <w:rsid w:val="009B224E"/>
    <w:rsid w:val="009B249B"/>
    <w:rsid w:val="009B27C8"/>
    <w:rsid w:val="009B2E35"/>
    <w:rsid w:val="009B2F45"/>
    <w:rsid w:val="009B3066"/>
    <w:rsid w:val="009B3154"/>
    <w:rsid w:val="009B31A4"/>
    <w:rsid w:val="009B363C"/>
    <w:rsid w:val="009B387B"/>
    <w:rsid w:val="009B3BF4"/>
    <w:rsid w:val="009B3C3F"/>
    <w:rsid w:val="009B3E3A"/>
    <w:rsid w:val="009B42B7"/>
    <w:rsid w:val="009B4415"/>
    <w:rsid w:val="009B44B6"/>
    <w:rsid w:val="009B45E1"/>
    <w:rsid w:val="009B47AF"/>
    <w:rsid w:val="009B47D2"/>
    <w:rsid w:val="009B47FE"/>
    <w:rsid w:val="009B4930"/>
    <w:rsid w:val="009B49F3"/>
    <w:rsid w:val="009B4A03"/>
    <w:rsid w:val="009B4C58"/>
    <w:rsid w:val="009B4C5A"/>
    <w:rsid w:val="009B5374"/>
    <w:rsid w:val="009B5760"/>
    <w:rsid w:val="009B5AD8"/>
    <w:rsid w:val="009B5AF8"/>
    <w:rsid w:val="009B5E9F"/>
    <w:rsid w:val="009B6028"/>
    <w:rsid w:val="009B6198"/>
    <w:rsid w:val="009B6500"/>
    <w:rsid w:val="009B661F"/>
    <w:rsid w:val="009B68C6"/>
    <w:rsid w:val="009B6BA3"/>
    <w:rsid w:val="009B6BE8"/>
    <w:rsid w:val="009B6D92"/>
    <w:rsid w:val="009B76B7"/>
    <w:rsid w:val="009B799B"/>
    <w:rsid w:val="009C0A32"/>
    <w:rsid w:val="009C0B75"/>
    <w:rsid w:val="009C0BEF"/>
    <w:rsid w:val="009C10EF"/>
    <w:rsid w:val="009C130E"/>
    <w:rsid w:val="009C19E5"/>
    <w:rsid w:val="009C1DB1"/>
    <w:rsid w:val="009C2321"/>
    <w:rsid w:val="009C2B59"/>
    <w:rsid w:val="009C2C68"/>
    <w:rsid w:val="009C2CD8"/>
    <w:rsid w:val="009C2EF6"/>
    <w:rsid w:val="009C2FF5"/>
    <w:rsid w:val="009C3490"/>
    <w:rsid w:val="009C3586"/>
    <w:rsid w:val="009C35DD"/>
    <w:rsid w:val="009C35ED"/>
    <w:rsid w:val="009C3BFA"/>
    <w:rsid w:val="009C41AF"/>
    <w:rsid w:val="009C4411"/>
    <w:rsid w:val="009C44C2"/>
    <w:rsid w:val="009C4CEE"/>
    <w:rsid w:val="009C50C7"/>
    <w:rsid w:val="009C5F3C"/>
    <w:rsid w:val="009C654A"/>
    <w:rsid w:val="009C678C"/>
    <w:rsid w:val="009C6855"/>
    <w:rsid w:val="009C6A15"/>
    <w:rsid w:val="009C6B5E"/>
    <w:rsid w:val="009C71D4"/>
    <w:rsid w:val="009C783F"/>
    <w:rsid w:val="009C7D40"/>
    <w:rsid w:val="009C7E7A"/>
    <w:rsid w:val="009D0059"/>
    <w:rsid w:val="009D07B0"/>
    <w:rsid w:val="009D09DA"/>
    <w:rsid w:val="009D0D75"/>
    <w:rsid w:val="009D0ED8"/>
    <w:rsid w:val="009D1284"/>
    <w:rsid w:val="009D1AD0"/>
    <w:rsid w:val="009D1CAE"/>
    <w:rsid w:val="009D201C"/>
    <w:rsid w:val="009D20AB"/>
    <w:rsid w:val="009D23ED"/>
    <w:rsid w:val="009D29F1"/>
    <w:rsid w:val="009D2B2F"/>
    <w:rsid w:val="009D2D68"/>
    <w:rsid w:val="009D2FE5"/>
    <w:rsid w:val="009D30CD"/>
    <w:rsid w:val="009D3252"/>
    <w:rsid w:val="009D39EB"/>
    <w:rsid w:val="009D3BF6"/>
    <w:rsid w:val="009D3CAD"/>
    <w:rsid w:val="009D3DF0"/>
    <w:rsid w:val="009D3F7C"/>
    <w:rsid w:val="009D4285"/>
    <w:rsid w:val="009D44AA"/>
    <w:rsid w:val="009D44B8"/>
    <w:rsid w:val="009D46AD"/>
    <w:rsid w:val="009D47A9"/>
    <w:rsid w:val="009D484F"/>
    <w:rsid w:val="009D4903"/>
    <w:rsid w:val="009D4B56"/>
    <w:rsid w:val="009D4FFD"/>
    <w:rsid w:val="009D5075"/>
    <w:rsid w:val="009D5119"/>
    <w:rsid w:val="009D575E"/>
    <w:rsid w:val="009D5B9C"/>
    <w:rsid w:val="009D6B72"/>
    <w:rsid w:val="009D6C12"/>
    <w:rsid w:val="009D7065"/>
    <w:rsid w:val="009D7389"/>
    <w:rsid w:val="009D7565"/>
    <w:rsid w:val="009D75CC"/>
    <w:rsid w:val="009D76FF"/>
    <w:rsid w:val="009D7895"/>
    <w:rsid w:val="009D79DC"/>
    <w:rsid w:val="009D7EAC"/>
    <w:rsid w:val="009D7EB6"/>
    <w:rsid w:val="009D7FED"/>
    <w:rsid w:val="009E0238"/>
    <w:rsid w:val="009E03F6"/>
    <w:rsid w:val="009E05AC"/>
    <w:rsid w:val="009E062D"/>
    <w:rsid w:val="009E0661"/>
    <w:rsid w:val="009E0CB1"/>
    <w:rsid w:val="009E0E7D"/>
    <w:rsid w:val="009E10D2"/>
    <w:rsid w:val="009E11BE"/>
    <w:rsid w:val="009E1508"/>
    <w:rsid w:val="009E1A11"/>
    <w:rsid w:val="009E1CF6"/>
    <w:rsid w:val="009E1DAC"/>
    <w:rsid w:val="009E211C"/>
    <w:rsid w:val="009E2388"/>
    <w:rsid w:val="009E3021"/>
    <w:rsid w:val="009E3272"/>
    <w:rsid w:val="009E3E2D"/>
    <w:rsid w:val="009E419D"/>
    <w:rsid w:val="009E4231"/>
    <w:rsid w:val="009E45BD"/>
    <w:rsid w:val="009E4634"/>
    <w:rsid w:val="009E4683"/>
    <w:rsid w:val="009E4AE1"/>
    <w:rsid w:val="009E4C86"/>
    <w:rsid w:val="009E518A"/>
    <w:rsid w:val="009E5515"/>
    <w:rsid w:val="009E55EE"/>
    <w:rsid w:val="009E5735"/>
    <w:rsid w:val="009E5762"/>
    <w:rsid w:val="009E590D"/>
    <w:rsid w:val="009E5AA9"/>
    <w:rsid w:val="009E5AAA"/>
    <w:rsid w:val="009E5CC3"/>
    <w:rsid w:val="009E5E27"/>
    <w:rsid w:val="009E60FA"/>
    <w:rsid w:val="009E62CD"/>
    <w:rsid w:val="009E64D5"/>
    <w:rsid w:val="009E6608"/>
    <w:rsid w:val="009E6D56"/>
    <w:rsid w:val="009E6E04"/>
    <w:rsid w:val="009E74D4"/>
    <w:rsid w:val="009E75BD"/>
    <w:rsid w:val="009F0312"/>
    <w:rsid w:val="009F06C5"/>
    <w:rsid w:val="009F0A49"/>
    <w:rsid w:val="009F0F15"/>
    <w:rsid w:val="009F110D"/>
    <w:rsid w:val="009F1142"/>
    <w:rsid w:val="009F1192"/>
    <w:rsid w:val="009F11C0"/>
    <w:rsid w:val="009F1294"/>
    <w:rsid w:val="009F18D2"/>
    <w:rsid w:val="009F192E"/>
    <w:rsid w:val="009F282B"/>
    <w:rsid w:val="009F2AF0"/>
    <w:rsid w:val="009F2CFF"/>
    <w:rsid w:val="009F2DDB"/>
    <w:rsid w:val="009F33C6"/>
    <w:rsid w:val="009F3601"/>
    <w:rsid w:val="009F36E1"/>
    <w:rsid w:val="009F378B"/>
    <w:rsid w:val="009F3803"/>
    <w:rsid w:val="009F3B3A"/>
    <w:rsid w:val="009F4342"/>
    <w:rsid w:val="009F4370"/>
    <w:rsid w:val="009F4642"/>
    <w:rsid w:val="009F4728"/>
    <w:rsid w:val="009F47D3"/>
    <w:rsid w:val="009F48B8"/>
    <w:rsid w:val="009F4B17"/>
    <w:rsid w:val="009F4FFC"/>
    <w:rsid w:val="009F507C"/>
    <w:rsid w:val="009F631F"/>
    <w:rsid w:val="009F65FC"/>
    <w:rsid w:val="009F68CE"/>
    <w:rsid w:val="009F6D54"/>
    <w:rsid w:val="009F6FD4"/>
    <w:rsid w:val="009F710C"/>
    <w:rsid w:val="009F7972"/>
    <w:rsid w:val="009F799D"/>
    <w:rsid w:val="009F7A9D"/>
    <w:rsid w:val="009F7DAE"/>
    <w:rsid w:val="009F7DEA"/>
    <w:rsid w:val="00A00235"/>
    <w:rsid w:val="00A00915"/>
    <w:rsid w:val="00A00F34"/>
    <w:rsid w:val="00A01049"/>
    <w:rsid w:val="00A011E3"/>
    <w:rsid w:val="00A015D0"/>
    <w:rsid w:val="00A01690"/>
    <w:rsid w:val="00A01BD5"/>
    <w:rsid w:val="00A01D83"/>
    <w:rsid w:val="00A01D8A"/>
    <w:rsid w:val="00A01E06"/>
    <w:rsid w:val="00A02112"/>
    <w:rsid w:val="00A02144"/>
    <w:rsid w:val="00A023FA"/>
    <w:rsid w:val="00A0256F"/>
    <w:rsid w:val="00A025C9"/>
    <w:rsid w:val="00A02715"/>
    <w:rsid w:val="00A029CD"/>
    <w:rsid w:val="00A02AAD"/>
    <w:rsid w:val="00A03263"/>
    <w:rsid w:val="00A0350E"/>
    <w:rsid w:val="00A03B76"/>
    <w:rsid w:val="00A047F2"/>
    <w:rsid w:val="00A04899"/>
    <w:rsid w:val="00A04BB7"/>
    <w:rsid w:val="00A04D59"/>
    <w:rsid w:val="00A05377"/>
    <w:rsid w:val="00A0570A"/>
    <w:rsid w:val="00A058E6"/>
    <w:rsid w:val="00A05B85"/>
    <w:rsid w:val="00A05CB4"/>
    <w:rsid w:val="00A05D77"/>
    <w:rsid w:val="00A05DAA"/>
    <w:rsid w:val="00A05DDE"/>
    <w:rsid w:val="00A0638E"/>
    <w:rsid w:val="00A06A83"/>
    <w:rsid w:val="00A06ABE"/>
    <w:rsid w:val="00A06E5E"/>
    <w:rsid w:val="00A06FD1"/>
    <w:rsid w:val="00A07046"/>
    <w:rsid w:val="00A072D4"/>
    <w:rsid w:val="00A0751A"/>
    <w:rsid w:val="00A07675"/>
    <w:rsid w:val="00A07DF3"/>
    <w:rsid w:val="00A10B81"/>
    <w:rsid w:val="00A10FF8"/>
    <w:rsid w:val="00A11305"/>
    <w:rsid w:val="00A117C3"/>
    <w:rsid w:val="00A11AEF"/>
    <w:rsid w:val="00A11C09"/>
    <w:rsid w:val="00A11CDC"/>
    <w:rsid w:val="00A11FB6"/>
    <w:rsid w:val="00A12359"/>
    <w:rsid w:val="00A12682"/>
    <w:rsid w:val="00A1279C"/>
    <w:rsid w:val="00A127DC"/>
    <w:rsid w:val="00A12966"/>
    <w:rsid w:val="00A12A6B"/>
    <w:rsid w:val="00A12DA4"/>
    <w:rsid w:val="00A12DC2"/>
    <w:rsid w:val="00A12F33"/>
    <w:rsid w:val="00A13295"/>
    <w:rsid w:val="00A1348E"/>
    <w:rsid w:val="00A134E2"/>
    <w:rsid w:val="00A1408F"/>
    <w:rsid w:val="00A144BA"/>
    <w:rsid w:val="00A145E3"/>
    <w:rsid w:val="00A147AD"/>
    <w:rsid w:val="00A148B4"/>
    <w:rsid w:val="00A14946"/>
    <w:rsid w:val="00A14A9B"/>
    <w:rsid w:val="00A14D0D"/>
    <w:rsid w:val="00A1519B"/>
    <w:rsid w:val="00A1525E"/>
    <w:rsid w:val="00A156C2"/>
    <w:rsid w:val="00A15EFD"/>
    <w:rsid w:val="00A16296"/>
    <w:rsid w:val="00A162C5"/>
    <w:rsid w:val="00A16401"/>
    <w:rsid w:val="00A16500"/>
    <w:rsid w:val="00A168AB"/>
    <w:rsid w:val="00A168C8"/>
    <w:rsid w:val="00A16929"/>
    <w:rsid w:val="00A16B2E"/>
    <w:rsid w:val="00A173C1"/>
    <w:rsid w:val="00A17C1B"/>
    <w:rsid w:val="00A17D4B"/>
    <w:rsid w:val="00A20156"/>
    <w:rsid w:val="00A201BF"/>
    <w:rsid w:val="00A203A4"/>
    <w:rsid w:val="00A203AF"/>
    <w:rsid w:val="00A207FF"/>
    <w:rsid w:val="00A20A85"/>
    <w:rsid w:val="00A20E69"/>
    <w:rsid w:val="00A210D1"/>
    <w:rsid w:val="00A21113"/>
    <w:rsid w:val="00A21253"/>
    <w:rsid w:val="00A215A5"/>
    <w:rsid w:val="00A21DEB"/>
    <w:rsid w:val="00A21FC0"/>
    <w:rsid w:val="00A2204C"/>
    <w:rsid w:val="00A22073"/>
    <w:rsid w:val="00A224CD"/>
    <w:rsid w:val="00A22AFA"/>
    <w:rsid w:val="00A2303D"/>
    <w:rsid w:val="00A2312E"/>
    <w:rsid w:val="00A23417"/>
    <w:rsid w:val="00A236A2"/>
    <w:rsid w:val="00A236C0"/>
    <w:rsid w:val="00A236FE"/>
    <w:rsid w:val="00A238B1"/>
    <w:rsid w:val="00A238CB"/>
    <w:rsid w:val="00A23BDC"/>
    <w:rsid w:val="00A23F9C"/>
    <w:rsid w:val="00A23FBC"/>
    <w:rsid w:val="00A2407D"/>
    <w:rsid w:val="00A246FF"/>
    <w:rsid w:val="00A249D1"/>
    <w:rsid w:val="00A24C8B"/>
    <w:rsid w:val="00A24CC2"/>
    <w:rsid w:val="00A24E6E"/>
    <w:rsid w:val="00A255CC"/>
    <w:rsid w:val="00A2563A"/>
    <w:rsid w:val="00A2564A"/>
    <w:rsid w:val="00A256BF"/>
    <w:rsid w:val="00A25708"/>
    <w:rsid w:val="00A25922"/>
    <w:rsid w:val="00A264E3"/>
    <w:rsid w:val="00A26A5D"/>
    <w:rsid w:val="00A26B22"/>
    <w:rsid w:val="00A2734D"/>
    <w:rsid w:val="00A275C7"/>
    <w:rsid w:val="00A2774E"/>
    <w:rsid w:val="00A278F1"/>
    <w:rsid w:val="00A27A24"/>
    <w:rsid w:val="00A27BF2"/>
    <w:rsid w:val="00A27D66"/>
    <w:rsid w:val="00A27E0D"/>
    <w:rsid w:val="00A27E0F"/>
    <w:rsid w:val="00A27F62"/>
    <w:rsid w:val="00A30DA1"/>
    <w:rsid w:val="00A30DC1"/>
    <w:rsid w:val="00A31169"/>
    <w:rsid w:val="00A3156C"/>
    <w:rsid w:val="00A316FC"/>
    <w:rsid w:val="00A3171C"/>
    <w:rsid w:val="00A31793"/>
    <w:rsid w:val="00A31992"/>
    <w:rsid w:val="00A31A39"/>
    <w:rsid w:val="00A32386"/>
    <w:rsid w:val="00A3284B"/>
    <w:rsid w:val="00A32859"/>
    <w:rsid w:val="00A32D84"/>
    <w:rsid w:val="00A32E60"/>
    <w:rsid w:val="00A32F11"/>
    <w:rsid w:val="00A336D4"/>
    <w:rsid w:val="00A345D3"/>
    <w:rsid w:val="00A34F05"/>
    <w:rsid w:val="00A351B4"/>
    <w:rsid w:val="00A354DC"/>
    <w:rsid w:val="00A355FF"/>
    <w:rsid w:val="00A358C9"/>
    <w:rsid w:val="00A360F8"/>
    <w:rsid w:val="00A366D4"/>
    <w:rsid w:val="00A368A5"/>
    <w:rsid w:val="00A36946"/>
    <w:rsid w:val="00A36DDD"/>
    <w:rsid w:val="00A37048"/>
    <w:rsid w:val="00A37841"/>
    <w:rsid w:val="00A37B80"/>
    <w:rsid w:val="00A37BC9"/>
    <w:rsid w:val="00A37C27"/>
    <w:rsid w:val="00A4075B"/>
    <w:rsid w:val="00A4142D"/>
    <w:rsid w:val="00A416F7"/>
    <w:rsid w:val="00A41969"/>
    <w:rsid w:val="00A419B6"/>
    <w:rsid w:val="00A4219B"/>
    <w:rsid w:val="00A421A1"/>
    <w:rsid w:val="00A42204"/>
    <w:rsid w:val="00A42273"/>
    <w:rsid w:val="00A42407"/>
    <w:rsid w:val="00A425D9"/>
    <w:rsid w:val="00A42783"/>
    <w:rsid w:val="00A428BA"/>
    <w:rsid w:val="00A42904"/>
    <w:rsid w:val="00A42E4D"/>
    <w:rsid w:val="00A42E68"/>
    <w:rsid w:val="00A43415"/>
    <w:rsid w:val="00A43B00"/>
    <w:rsid w:val="00A43D7F"/>
    <w:rsid w:val="00A44187"/>
    <w:rsid w:val="00A44360"/>
    <w:rsid w:val="00A445AD"/>
    <w:rsid w:val="00A4472A"/>
    <w:rsid w:val="00A44A63"/>
    <w:rsid w:val="00A44A64"/>
    <w:rsid w:val="00A44C35"/>
    <w:rsid w:val="00A44DBF"/>
    <w:rsid w:val="00A44E1E"/>
    <w:rsid w:val="00A4547E"/>
    <w:rsid w:val="00A457DC"/>
    <w:rsid w:val="00A45C44"/>
    <w:rsid w:val="00A45CA8"/>
    <w:rsid w:val="00A45D82"/>
    <w:rsid w:val="00A45F69"/>
    <w:rsid w:val="00A45FC7"/>
    <w:rsid w:val="00A460D1"/>
    <w:rsid w:val="00A4676F"/>
    <w:rsid w:val="00A46C61"/>
    <w:rsid w:val="00A46FF6"/>
    <w:rsid w:val="00A47217"/>
    <w:rsid w:val="00A474D2"/>
    <w:rsid w:val="00A47559"/>
    <w:rsid w:val="00A476A7"/>
    <w:rsid w:val="00A4797D"/>
    <w:rsid w:val="00A479B8"/>
    <w:rsid w:val="00A50055"/>
    <w:rsid w:val="00A501F0"/>
    <w:rsid w:val="00A5087A"/>
    <w:rsid w:val="00A50B63"/>
    <w:rsid w:val="00A510D6"/>
    <w:rsid w:val="00A51524"/>
    <w:rsid w:val="00A51D91"/>
    <w:rsid w:val="00A51F35"/>
    <w:rsid w:val="00A5259E"/>
    <w:rsid w:val="00A528A2"/>
    <w:rsid w:val="00A5293D"/>
    <w:rsid w:val="00A529DF"/>
    <w:rsid w:val="00A52A48"/>
    <w:rsid w:val="00A52B02"/>
    <w:rsid w:val="00A52B7E"/>
    <w:rsid w:val="00A52C15"/>
    <w:rsid w:val="00A52DDE"/>
    <w:rsid w:val="00A53232"/>
    <w:rsid w:val="00A537C9"/>
    <w:rsid w:val="00A53810"/>
    <w:rsid w:val="00A53A9A"/>
    <w:rsid w:val="00A53FBB"/>
    <w:rsid w:val="00A5402A"/>
    <w:rsid w:val="00A540A4"/>
    <w:rsid w:val="00A545BD"/>
    <w:rsid w:val="00A5462A"/>
    <w:rsid w:val="00A546F1"/>
    <w:rsid w:val="00A547CD"/>
    <w:rsid w:val="00A54BD4"/>
    <w:rsid w:val="00A54CB7"/>
    <w:rsid w:val="00A54F45"/>
    <w:rsid w:val="00A5514D"/>
    <w:rsid w:val="00A556A0"/>
    <w:rsid w:val="00A559A4"/>
    <w:rsid w:val="00A55C7B"/>
    <w:rsid w:val="00A55E59"/>
    <w:rsid w:val="00A56135"/>
    <w:rsid w:val="00A5629E"/>
    <w:rsid w:val="00A56802"/>
    <w:rsid w:val="00A56978"/>
    <w:rsid w:val="00A569EC"/>
    <w:rsid w:val="00A56A27"/>
    <w:rsid w:val="00A56DD7"/>
    <w:rsid w:val="00A56E50"/>
    <w:rsid w:val="00A56FEA"/>
    <w:rsid w:val="00A574FF"/>
    <w:rsid w:val="00A57797"/>
    <w:rsid w:val="00A57800"/>
    <w:rsid w:val="00A5785C"/>
    <w:rsid w:val="00A57A0B"/>
    <w:rsid w:val="00A57AF4"/>
    <w:rsid w:val="00A57B66"/>
    <w:rsid w:val="00A57E5B"/>
    <w:rsid w:val="00A57F6C"/>
    <w:rsid w:val="00A603F0"/>
    <w:rsid w:val="00A609CC"/>
    <w:rsid w:val="00A61295"/>
    <w:rsid w:val="00A6132D"/>
    <w:rsid w:val="00A61342"/>
    <w:rsid w:val="00A61353"/>
    <w:rsid w:val="00A62909"/>
    <w:rsid w:val="00A62E10"/>
    <w:rsid w:val="00A63010"/>
    <w:rsid w:val="00A633F2"/>
    <w:rsid w:val="00A63433"/>
    <w:rsid w:val="00A63951"/>
    <w:rsid w:val="00A63AB2"/>
    <w:rsid w:val="00A63BBA"/>
    <w:rsid w:val="00A6465E"/>
    <w:rsid w:val="00A646D1"/>
    <w:rsid w:val="00A64FE8"/>
    <w:rsid w:val="00A65801"/>
    <w:rsid w:val="00A65C5E"/>
    <w:rsid w:val="00A65C91"/>
    <w:rsid w:val="00A65F44"/>
    <w:rsid w:val="00A6656B"/>
    <w:rsid w:val="00A666E1"/>
    <w:rsid w:val="00A668F4"/>
    <w:rsid w:val="00A66A54"/>
    <w:rsid w:val="00A66CC5"/>
    <w:rsid w:val="00A66D14"/>
    <w:rsid w:val="00A66DDD"/>
    <w:rsid w:val="00A66E21"/>
    <w:rsid w:val="00A67762"/>
    <w:rsid w:val="00A678A7"/>
    <w:rsid w:val="00A67A0F"/>
    <w:rsid w:val="00A67A38"/>
    <w:rsid w:val="00A67CFC"/>
    <w:rsid w:val="00A67E60"/>
    <w:rsid w:val="00A67F04"/>
    <w:rsid w:val="00A700D6"/>
    <w:rsid w:val="00A707A5"/>
    <w:rsid w:val="00A707AA"/>
    <w:rsid w:val="00A70923"/>
    <w:rsid w:val="00A7099C"/>
    <w:rsid w:val="00A70A1F"/>
    <w:rsid w:val="00A70CEF"/>
    <w:rsid w:val="00A70EA9"/>
    <w:rsid w:val="00A712A2"/>
    <w:rsid w:val="00A71442"/>
    <w:rsid w:val="00A718F6"/>
    <w:rsid w:val="00A71A30"/>
    <w:rsid w:val="00A71F06"/>
    <w:rsid w:val="00A720BF"/>
    <w:rsid w:val="00A7217D"/>
    <w:rsid w:val="00A725D8"/>
    <w:rsid w:val="00A728DC"/>
    <w:rsid w:val="00A72AE7"/>
    <w:rsid w:val="00A72B27"/>
    <w:rsid w:val="00A72EC2"/>
    <w:rsid w:val="00A73442"/>
    <w:rsid w:val="00A73563"/>
    <w:rsid w:val="00A735A4"/>
    <w:rsid w:val="00A73672"/>
    <w:rsid w:val="00A737E4"/>
    <w:rsid w:val="00A73A98"/>
    <w:rsid w:val="00A73BEB"/>
    <w:rsid w:val="00A73E5A"/>
    <w:rsid w:val="00A74D69"/>
    <w:rsid w:val="00A75206"/>
    <w:rsid w:val="00A75323"/>
    <w:rsid w:val="00A75B95"/>
    <w:rsid w:val="00A75CFE"/>
    <w:rsid w:val="00A76137"/>
    <w:rsid w:val="00A76141"/>
    <w:rsid w:val="00A76164"/>
    <w:rsid w:val="00A7617D"/>
    <w:rsid w:val="00A76CD3"/>
    <w:rsid w:val="00A76EBF"/>
    <w:rsid w:val="00A7704A"/>
    <w:rsid w:val="00A7704C"/>
    <w:rsid w:val="00A7720B"/>
    <w:rsid w:val="00A77479"/>
    <w:rsid w:val="00A77A00"/>
    <w:rsid w:val="00A77AD7"/>
    <w:rsid w:val="00A77F2A"/>
    <w:rsid w:val="00A800F5"/>
    <w:rsid w:val="00A80B35"/>
    <w:rsid w:val="00A80CD2"/>
    <w:rsid w:val="00A8116F"/>
    <w:rsid w:val="00A8193C"/>
    <w:rsid w:val="00A822A3"/>
    <w:rsid w:val="00A8243D"/>
    <w:rsid w:val="00A82595"/>
    <w:rsid w:val="00A827D3"/>
    <w:rsid w:val="00A827EE"/>
    <w:rsid w:val="00A828F8"/>
    <w:rsid w:val="00A82940"/>
    <w:rsid w:val="00A82AAF"/>
    <w:rsid w:val="00A82C36"/>
    <w:rsid w:val="00A83569"/>
    <w:rsid w:val="00A835F6"/>
    <w:rsid w:val="00A8366B"/>
    <w:rsid w:val="00A83C23"/>
    <w:rsid w:val="00A83CB6"/>
    <w:rsid w:val="00A83E12"/>
    <w:rsid w:val="00A83E84"/>
    <w:rsid w:val="00A841FD"/>
    <w:rsid w:val="00A84655"/>
    <w:rsid w:val="00A84676"/>
    <w:rsid w:val="00A84691"/>
    <w:rsid w:val="00A846FB"/>
    <w:rsid w:val="00A84771"/>
    <w:rsid w:val="00A84859"/>
    <w:rsid w:val="00A84863"/>
    <w:rsid w:val="00A84F27"/>
    <w:rsid w:val="00A84F67"/>
    <w:rsid w:val="00A85535"/>
    <w:rsid w:val="00A857EC"/>
    <w:rsid w:val="00A85B35"/>
    <w:rsid w:val="00A85E3A"/>
    <w:rsid w:val="00A85E57"/>
    <w:rsid w:val="00A8630E"/>
    <w:rsid w:val="00A86BAE"/>
    <w:rsid w:val="00A86C49"/>
    <w:rsid w:val="00A8794A"/>
    <w:rsid w:val="00A87D0B"/>
    <w:rsid w:val="00A87DB4"/>
    <w:rsid w:val="00A90073"/>
    <w:rsid w:val="00A9010E"/>
    <w:rsid w:val="00A904CB"/>
    <w:rsid w:val="00A90F32"/>
    <w:rsid w:val="00A91001"/>
    <w:rsid w:val="00A911C6"/>
    <w:rsid w:val="00A91957"/>
    <w:rsid w:val="00A91AF8"/>
    <w:rsid w:val="00A91BD3"/>
    <w:rsid w:val="00A91BF1"/>
    <w:rsid w:val="00A9224C"/>
    <w:rsid w:val="00A925B1"/>
    <w:rsid w:val="00A9289C"/>
    <w:rsid w:val="00A92A8A"/>
    <w:rsid w:val="00A92CA9"/>
    <w:rsid w:val="00A9335F"/>
    <w:rsid w:val="00A9376B"/>
    <w:rsid w:val="00A93BAD"/>
    <w:rsid w:val="00A941DF"/>
    <w:rsid w:val="00A943DC"/>
    <w:rsid w:val="00A94664"/>
    <w:rsid w:val="00A947D1"/>
    <w:rsid w:val="00A948FF"/>
    <w:rsid w:val="00A94A37"/>
    <w:rsid w:val="00A950E5"/>
    <w:rsid w:val="00A95600"/>
    <w:rsid w:val="00A95C01"/>
    <w:rsid w:val="00A95DD7"/>
    <w:rsid w:val="00A95FA6"/>
    <w:rsid w:val="00A963B5"/>
    <w:rsid w:val="00A9656E"/>
    <w:rsid w:val="00A96576"/>
    <w:rsid w:val="00A96597"/>
    <w:rsid w:val="00A96B7F"/>
    <w:rsid w:val="00A96EA3"/>
    <w:rsid w:val="00A96EAF"/>
    <w:rsid w:val="00A9713F"/>
    <w:rsid w:val="00A97243"/>
    <w:rsid w:val="00A9751A"/>
    <w:rsid w:val="00A97749"/>
    <w:rsid w:val="00A97814"/>
    <w:rsid w:val="00A97966"/>
    <w:rsid w:val="00A97E48"/>
    <w:rsid w:val="00A97E89"/>
    <w:rsid w:val="00AA05FB"/>
    <w:rsid w:val="00AA084C"/>
    <w:rsid w:val="00AA0BC7"/>
    <w:rsid w:val="00AA0D89"/>
    <w:rsid w:val="00AA0D96"/>
    <w:rsid w:val="00AA1090"/>
    <w:rsid w:val="00AA153A"/>
    <w:rsid w:val="00AA1A55"/>
    <w:rsid w:val="00AA1AF3"/>
    <w:rsid w:val="00AA1FB0"/>
    <w:rsid w:val="00AA209B"/>
    <w:rsid w:val="00AA2353"/>
    <w:rsid w:val="00AA2783"/>
    <w:rsid w:val="00AA28B4"/>
    <w:rsid w:val="00AA29FB"/>
    <w:rsid w:val="00AA2B0F"/>
    <w:rsid w:val="00AA2C41"/>
    <w:rsid w:val="00AA2F77"/>
    <w:rsid w:val="00AA31DA"/>
    <w:rsid w:val="00AA3572"/>
    <w:rsid w:val="00AA37A3"/>
    <w:rsid w:val="00AA397E"/>
    <w:rsid w:val="00AA3CC6"/>
    <w:rsid w:val="00AA3CF2"/>
    <w:rsid w:val="00AA3E7D"/>
    <w:rsid w:val="00AA4057"/>
    <w:rsid w:val="00AA4281"/>
    <w:rsid w:val="00AA4475"/>
    <w:rsid w:val="00AA484F"/>
    <w:rsid w:val="00AA4CBE"/>
    <w:rsid w:val="00AA5407"/>
    <w:rsid w:val="00AA5657"/>
    <w:rsid w:val="00AA5DAB"/>
    <w:rsid w:val="00AA5EC1"/>
    <w:rsid w:val="00AA622F"/>
    <w:rsid w:val="00AA665E"/>
    <w:rsid w:val="00AA6C9C"/>
    <w:rsid w:val="00AA6E91"/>
    <w:rsid w:val="00AA70AE"/>
    <w:rsid w:val="00AA71AE"/>
    <w:rsid w:val="00AA73E4"/>
    <w:rsid w:val="00AA75E6"/>
    <w:rsid w:val="00AA75EF"/>
    <w:rsid w:val="00AA764B"/>
    <w:rsid w:val="00AA7921"/>
    <w:rsid w:val="00AA7BC3"/>
    <w:rsid w:val="00AA7C97"/>
    <w:rsid w:val="00AA7FFD"/>
    <w:rsid w:val="00AB0890"/>
    <w:rsid w:val="00AB0D54"/>
    <w:rsid w:val="00AB0E03"/>
    <w:rsid w:val="00AB0F1C"/>
    <w:rsid w:val="00AB11E1"/>
    <w:rsid w:val="00AB1255"/>
    <w:rsid w:val="00AB1477"/>
    <w:rsid w:val="00AB15F1"/>
    <w:rsid w:val="00AB1687"/>
    <w:rsid w:val="00AB18AB"/>
    <w:rsid w:val="00AB20EA"/>
    <w:rsid w:val="00AB242C"/>
    <w:rsid w:val="00AB2577"/>
    <w:rsid w:val="00AB259F"/>
    <w:rsid w:val="00AB26C1"/>
    <w:rsid w:val="00AB2B13"/>
    <w:rsid w:val="00AB2EA6"/>
    <w:rsid w:val="00AB3163"/>
    <w:rsid w:val="00AB332A"/>
    <w:rsid w:val="00AB35F6"/>
    <w:rsid w:val="00AB37FF"/>
    <w:rsid w:val="00AB3803"/>
    <w:rsid w:val="00AB3CC1"/>
    <w:rsid w:val="00AB3ED8"/>
    <w:rsid w:val="00AB4CA0"/>
    <w:rsid w:val="00AB4EA8"/>
    <w:rsid w:val="00AB51E3"/>
    <w:rsid w:val="00AB54B8"/>
    <w:rsid w:val="00AB54C2"/>
    <w:rsid w:val="00AB584C"/>
    <w:rsid w:val="00AB5AF3"/>
    <w:rsid w:val="00AB5B5B"/>
    <w:rsid w:val="00AB6339"/>
    <w:rsid w:val="00AB6792"/>
    <w:rsid w:val="00AB6D14"/>
    <w:rsid w:val="00AB7007"/>
    <w:rsid w:val="00AB7090"/>
    <w:rsid w:val="00AB718A"/>
    <w:rsid w:val="00AB755B"/>
    <w:rsid w:val="00AB7943"/>
    <w:rsid w:val="00AC011E"/>
    <w:rsid w:val="00AC0223"/>
    <w:rsid w:val="00AC0491"/>
    <w:rsid w:val="00AC0662"/>
    <w:rsid w:val="00AC09C7"/>
    <w:rsid w:val="00AC09D6"/>
    <w:rsid w:val="00AC0CE1"/>
    <w:rsid w:val="00AC1342"/>
    <w:rsid w:val="00AC1404"/>
    <w:rsid w:val="00AC1581"/>
    <w:rsid w:val="00AC161F"/>
    <w:rsid w:val="00AC1BAA"/>
    <w:rsid w:val="00AC1CF9"/>
    <w:rsid w:val="00AC1D6F"/>
    <w:rsid w:val="00AC221F"/>
    <w:rsid w:val="00AC25BF"/>
    <w:rsid w:val="00AC269E"/>
    <w:rsid w:val="00AC298F"/>
    <w:rsid w:val="00AC2C3A"/>
    <w:rsid w:val="00AC2DD6"/>
    <w:rsid w:val="00AC33DE"/>
    <w:rsid w:val="00AC3499"/>
    <w:rsid w:val="00AC35F7"/>
    <w:rsid w:val="00AC3AE7"/>
    <w:rsid w:val="00AC3D42"/>
    <w:rsid w:val="00AC3FB3"/>
    <w:rsid w:val="00AC3FB5"/>
    <w:rsid w:val="00AC4370"/>
    <w:rsid w:val="00AC455D"/>
    <w:rsid w:val="00AC46B9"/>
    <w:rsid w:val="00AC4A0C"/>
    <w:rsid w:val="00AC4D69"/>
    <w:rsid w:val="00AC4DBD"/>
    <w:rsid w:val="00AC4DC8"/>
    <w:rsid w:val="00AC5342"/>
    <w:rsid w:val="00AC5E4C"/>
    <w:rsid w:val="00AC60CE"/>
    <w:rsid w:val="00AC67B8"/>
    <w:rsid w:val="00AC6EA2"/>
    <w:rsid w:val="00AC7598"/>
    <w:rsid w:val="00AC768E"/>
    <w:rsid w:val="00AC7B72"/>
    <w:rsid w:val="00AC7C88"/>
    <w:rsid w:val="00AC7E49"/>
    <w:rsid w:val="00AC7EBB"/>
    <w:rsid w:val="00AD01A7"/>
    <w:rsid w:val="00AD03F4"/>
    <w:rsid w:val="00AD054B"/>
    <w:rsid w:val="00AD0979"/>
    <w:rsid w:val="00AD0B41"/>
    <w:rsid w:val="00AD0C7D"/>
    <w:rsid w:val="00AD0D6F"/>
    <w:rsid w:val="00AD1158"/>
    <w:rsid w:val="00AD123D"/>
    <w:rsid w:val="00AD142F"/>
    <w:rsid w:val="00AD14AB"/>
    <w:rsid w:val="00AD15BA"/>
    <w:rsid w:val="00AD1A83"/>
    <w:rsid w:val="00AD1B86"/>
    <w:rsid w:val="00AD1C3D"/>
    <w:rsid w:val="00AD1E85"/>
    <w:rsid w:val="00AD246E"/>
    <w:rsid w:val="00AD266B"/>
    <w:rsid w:val="00AD2CE3"/>
    <w:rsid w:val="00AD306A"/>
    <w:rsid w:val="00AD3468"/>
    <w:rsid w:val="00AD35A3"/>
    <w:rsid w:val="00AD3747"/>
    <w:rsid w:val="00AD3BC3"/>
    <w:rsid w:val="00AD3E77"/>
    <w:rsid w:val="00AD476D"/>
    <w:rsid w:val="00AD4931"/>
    <w:rsid w:val="00AD4C57"/>
    <w:rsid w:val="00AD4C7C"/>
    <w:rsid w:val="00AD4D1C"/>
    <w:rsid w:val="00AD4DA7"/>
    <w:rsid w:val="00AD51CE"/>
    <w:rsid w:val="00AD55FA"/>
    <w:rsid w:val="00AD56B2"/>
    <w:rsid w:val="00AD5790"/>
    <w:rsid w:val="00AD5881"/>
    <w:rsid w:val="00AD58DE"/>
    <w:rsid w:val="00AD5ADB"/>
    <w:rsid w:val="00AD5E76"/>
    <w:rsid w:val="00AD5F25"/>
    <w:rsid w:val="00AD666F"/>
    <w:rsid w:val="00AD687D"/>
    <w:rsid w:val="00AD6993"/>
    <w:rsid w:val="00AD69DB"/>
    <w:rsid w:val="00AD6A19"/>
    <w:rsid w:val="00AD6A5F"/>
    <w:rsid w:val="00AD6F29"/>
    <w:rsid w:val="00AD75AD"/>
    <w:rsid w:val="00AD7621"/>
    <w:rsid w:val="00AD7AEA"/>
    <w:rsid w:val="00AD7C6E"/>
    <w:rsid w:val="00AD7DBC"/>
    <w:rsid w:val="00AE02EF"/>
    <w:rsid w:val="00AE0315"/>
    <w:rsid w:val="00AE0342"/>
    <w:rsid w:val="00AE0598"/>
    <w:rsid w:val="00AE0636"/>
    <w:rsid w:val="00AE0E3B"/>
    <w:rsid w:val="00AE1034"/>
    <w:rsid w:val="00AE12A1"/>
    <w:rsid w:val="00AE1363"/>
    <w:rsid w:val="00AE16C6"/>
    <w:rsid w:val="00AE1922"/>
    <w:rsid w:val="00AE1A35"/>
    <w:rsid w:val="00AE1EDB"/>
    <w:rsid w:val="00AE1FDD"/>
    <w:rsid w:val="00AE200B"/>
    <w:rsid w:val="00AE23EC"/>
    <w:rsid w:val="00AE25CE"/>
    <w:rsid w:val="00AE25F3"/>
    <w:rsid w:val="00AE26CE"/>
    <w:rsid w:val="00AE2798"/>
    <w:rsid w:val="00AE2A12"/>
    <w:rsid w:val="00AE2ACB"/>
    <w:rsid w:val="00AE2BB5"/>
    <w:rsid w:val="00AE2E95"/>
    <w:rsid w:val="00AE3166"/>
    <w:rsid w:val="00AE3312"/>
    <w:rsid w:val="00AE37EA"/>
    <w:rsid w:val="00AE3964"/>
    <w:rsid w:val="00AE3CB2"/>
    <w:rsid w:val="00AE3FAE"/>
    <w:rsid w:val="00AE4170"/>
    <w:rsid w:val="00AE43F7"/>
    <w:rsid w:val="00AE45A3"/>
    <w:rsid w:val="00AE4680"/>
    <w:rsid w:val="00AE4937"/>
    <w:rsid w:val="00AE496B"/>
    <w:rsid w:val="00AE4AA4"/>
    <w:rsid w:val="00AE4C6D"/>
    <w:rsid w:val="00AE4D72"/>
    <w:rsid w:val="00AE4F6F"/>
    <w:rsid w:val="00AE5026"/>
    <w:rsid w:val="00AE50B2"/>
    <w:rsid w:val="00AE50F7"/>
    <w:rsid w:val="00AE5155"/>
    <w:rsid w:val="00AE5EA5"/>
    <w:rsid w:val="00AE5FA3"/>
    <w:rsid w:val="00AE60F2"/>
    <w:rsid w:val="00AE6426"/>
    <w:rsid w:val="00AE64AC"/>
    <w:rsid w:val="00AE7129"/>
    <w:rsid w:val="00AE7A50"/>
    <w:rsid w:val="00AE7F54"/>
    <w:rsid w:val="00AF0769"/>
    <w:rsid w:val="00AF09AE"/>
    <w:rsid w:val="00AF0A41"/>
    <w:rsid w:val="00AF0C6A"/>
    <w:rsid w:val="00AF1164"/>
    <w:rsid w:val="00AF16FD"/>
    <w:rsid w:val="00AF189A"/>
    <w:rsid w:val="00AF25C9"/>
    <w:rsid w:val="00AF26A3"/>
    <w:rsid w:val="00AF272C"/>
    <w:rsid w:val="00AF28F9"/>
    <w:rsid w:val="00AF2C68"/>
    <w:rsid w:val="00AF2D62"/>
    <w:rsid w:val="00AF35B6"/>
    <w:rsid w:val="00AF37B8"/>
    <w:rsid w:val="00AF37E6"/>
    <w:rsid w:val="00AF3B49"/>
    <w:rsid w:val="00AF3EC4"/>
    <w:rsid w:val="00AF4011"/>
    <w:rsid w:val="00AF40E2"/>
    <w:rsid w:val="00AF43A3"/>
    <w:rsid w:val="00AF4677"/>
    <w:rsid w:val="00AF4C5B"/>
    <w:rsid w:val="00AF4D7F"/>
    <w:rsid w:val="00AF4FC5"/>
    <w:rsid w:val="00AF530F"/>
    <w:rsid w:val="00AF582B"/>
    <w:rsid w:val="00AF5A87"/>
    <w:rsid w:val="00AF5B59"/>
    <w:rsid w:val="00AF5BDC"/>
    <w:rsid w:val="00AF5C0A"/>
    <w:rsid w:val="00AF5E41"/>
    <w:rsid w:val="00AF602F"/>
    <w:rsid w:val="00AF6140"/>
    <w:rsid w:val="00AF6794"/>
    <w:rsid w:val="00AF696D"/>
    <w:rsid w:val="00AF6A57"/>
    <w:rsid w:val="00AF6A8B"/>
    <w:rsid w:val="00AF6D02"/>
    <w:rsid w:val="00AF72F4"/>
    <w:rsid w:val="00AF7B00"/>
    <w:rsid w:val="00AF7C75"/>
    <w:rsid w:val="00B0014D"/>
    <w:rsid w:val="00B00221"/>
    <w:rsid w:val="00B00331"/>
    <w:rsid w:val="00B00464"/>
    <w:rsid w:val="00B005B4"/>
    <w:rsid w:val="00B006B4"/>
    <w:rsid w:val="00B009AC"/>
    <w:rsid w:val="00B013C8"/>
    <w:rsid w:val="00B017BB"/>
    <w:rsid w:val="00B02235"/>
    <w:rsid w:val="00B02247"/>
    <w:rsid w:val="00B022C2"/>
    <w:rsid w:val="00B02783"/>
    <w:rsid w:val="00B02982"/>
    <w:rsid w:val="00B03479"/>
    <w:rsid w:val="00B0380B"/>
    <w:rsid w:val="00B038D0"/>
    <w:rsid w:val="00B03A11"/>
    <w:rsid w:val="00B041CE"/>
    <w:rsid w:val="00B04301"/>
    <w:rsid w:val="00B04CF9"/>
    <w:rsid w:val="00B04D24"/>
    <w:rsid w:val="00B0524E"/>
    <w:rsid w:val="00B061B4"/>
    <w:rsid w:val="00B06404"/>
    <w:rsid w:val="00B06CFC"/>
    <w:rsid w:val="00B06E28"/>
    <w:rsid w:val="00B06F50"/>
    <w:rsid w:val="00B06FBA"/>
    <w:rsid w:val="00B070AD"/>
    <w:rsid w:val="00B0716A"/>
    <w:rsid w:val="00B073D0"/>
    <w:rsid w:val="00B076F2"/>
    <w:rsid w:val="00B07AB7"/>
    <w:rsid w:val="00B07C73"/>
    <w:rsid w:val="00B07F68"/>
    <w:rsid w:val="00B1010B"/>
    <w:rsid w:val="00B101EF"/>
    <w:rsid w:val="00B105BD"/>
    <w:rsid w:val="00B1095A"/>
    <w:rsid w:val="00B11541"/>
    <w:rsid w:val="00B1228F"/>
    <w:rsid w:val="00B12703"/>
    <w:rsid w:val="00B128F1"/>
    <w:rsid w:val="00B132A1"/>
    <w:rsid w:val="00B134C9"/>
    <w:rsid w:val="00B13647"/>
    <w:rsid w:val="00B138EF"/>
    <w:rsid w:val="00B13CA4"/>
    <w:rsid w:val="00B13D3A"/>
    <w:rsid w:val="00B13F6F"/>
    <w:rsid w:val="00B14022"/>
    <w:rsid w:val="00B14075"/>
    <w:rsid w:val="00B14657"/>
    <w:rsid w:val="00B14824"/>
    <w:rsid w:val="00B14CFC"/>
    <w:rsid w:val="00B14D0D"/>
    <w:rsid w:val="00B14E9C"/>
    <w:rsid w:val="00B14FE5"/>
    <w:rsid w:val="00B1577F"/>
    <w:rsid w:val="00B15C10"/>
    <w:rsid w:val="00B15EDD"/>
    <w:rsid w:val="00B16036"/>
    <w:rsid w:val="00B16529"/>
    <w:rsid w:val="00B16B7E"/>
    <w:rsid w:val="00B16C8C"/>
    <w:rsid w:val="00B16F69"/>
    <w:rsid w:val="00B1740A"/>
    <w:rsid w:val="00B17CBD"/>
    <w:rsid w:val="00B17D51"/>
    <w:rsid w:val="00B20033"/>
    <w:rsid w:val="00B204B1"/>
    <w:rsid w:val="00B20A3F"/>
    <w:rsid w:val="00B20AE4"/>
    <w:rsid w:val="00B20E10"/>
    <w:rsid w:val="00B20E62"/>
    <w:rsid w:val="00B2129B"/>
    <w:rsid w:val="00B213F8"/>
    <w:rsid w:val="00B216C8"/>
    <w:rsid w:val="00B2176F"/>
    <w:rsid w:val="00B21817"/>
    <w:rsid w:val="00B2184F"/>
    <w:rsid w:val="00B21B9D"/>
    <w:rsid w:val="00B21EFA"/>
    <w:rsid w:val="00B22125"/>
    <w:rsid w:val="00B224A8"/>
    <w:rsid w:val="00B22753"/>
    <w:rsid w:val="00B22A8E"/>
    <w:rsid w:val="00B231CC"/>
    <w:rsid w:val="00B235CF"/>
    <w:rsid w:val="00B2382C"/>
    <w:rsid w:val="00B23D04"/>
    <w:rsid w:val="00B24116"/>
    <w:rsid w:val="00B2428F"/>
    <w:rsid w:val="00B2440D"/>
    <w:rsid w:val="00B24413"/>
    <w:rsid w:val="00B24A24"/>
    <w:rsid w:val="00B24C2D"/>
    <w:rsid w:val="00B24F63"/>
    <w:rsid w:val="00B251FA"/>
    <w:rsid w:val="00B25420"/>
    <w:rsid w:val="00B255F2"/>
    <w:rsid w:val="00B25B7C"/>
    <w:rsid w:val="00B25DDB"/>
    <w:rsid w:val="00B25DEF"/>
    <w:rsid w:val="00B25EB2"/>
    <w:rsid w:val="00B25F0F"/>
    <w:rsid w:val="00B260A4"/>
    <w:rsid w:val="00B26388"/>
    <w:rsid w:val="00B264EE"/>
    <w:rsid w:val="00B267B7"/>
    <w:rsid w:val="00B26861"/>
    <w:rsid w:val="00B26A4D"/>
    <w:rsid w:val="00B26D12"/>
    <w:rsid w:val="00B26E5F"/>
    <w:rsid w:val="00B26F5C"/>
    <w:rsid w:val="00B26FE8"/>
    <w:rsid w:val="00B27150"/>
    <w:rsid w:val="00B27294"/>
    <w:rsid w:val="00B277D4"/>
    <w:rsid w:val="00B27AB3"/>
    <w:rsid w:val="00B27D3F"/>
    <w:rsid w:val="00B27E42"/>
    <w:rsid w:val="00B27FB2"/>
    <w:rsid w:val="00B30709"/>
    <w:rsid w:val="00B30A03"/>
    <w:rsid w:val="00B30A0E"/>
    <w:rsid w:val="00B30B49"/>
    <w:rsid w:val="00B30C5A"/>
    <w:rsid w:val="00B30EA5"/>
    <w:rsid w:val="00B30F05"/>
    <w:rsid w:val="00B310A0"/>
    <w:rsid w:val="00B31843"/>
    <w:rsid w:val="00B323F8"/>
    <w:rsid w:val="00B32701"/>
    <w:rsid w:val="00B3293F"/>
    <w:rsid w:val="00B32A0E"/>
    <w:rsid w:val="00B32A81"/>
    <w:rsid w:val="00B32F27"/>
    <w:rsid w:val="00B334C5"/>
    <w:rsid w:val="00B33539"/>
    <w:rsid w:val="00B3377E"/>
    <w:rsid w:val="00B33780"/>
    <w:rsid w:val="00B3383B"/>
    <w:rsid w:val="00B338E8"/>
    <w:rsid w:val="00B33BB3"/>
    <w:rsid w:val="00B33EF6"/>
    <w:rsid w:val="00B33FB4"/>
    <w:rsid w:val="00B3403D"/>
    <w:rsid w:val="00B342FA"/>
    <w:rsid w:val="00B34347"/>
    <w:rsid w:val="00B347A0"/>
    <w:rsid w:val="00B34B07"/>
    <w:rsid w:val="00B34CB0"/>
    <w:rsid w:val="00B35235"/>
    <w:rsid w:val="00B35262"/>
    <w:rsid w:val="00B35AFB"/>
    <w:rsid w:val="00B35B9F"/>
    <w:rsid w:val="00B35D29"/>
    <w:rsid w:val="00B3608F"/>
    <w:rsid w:val="00B363A5"/>
    <w:rsid w:val="00B36520"/>
    <w:rsid w:val="00B36AB2"/>
    <w:rsid w:val="00B36ABC"/>
    <w:rsid w:val="00B37137"/>
    <w:rsid w:val="00B3769D"/>
    <w:rsid w:val="00B376B7"/>
    <w:rsid w:val="00B37A50"/>
    <w:rsid w:val="00B37D9B"/>
    <w:rsid w:val="00B4067E"/>
    <w:rsid w:val="00B40CDB"/>
    <w:rsid w:val="00B41119"/>
    <w:rsid w:val="00B41240"/>
    <w:rsid w:val="00B415FA"/>
    <w:rsid w:val="00B417BC"/>
    <w:rsid w:val="00B4192B"/>
    <w:rsid w:val="00B4194A"/>
    <w:rsid w:val="00B41FBE"/>
    <w:rsid w:val="00B42089"/>
    <w:rsid w:val="00B42903"/>
    <w:rsid w:val="00B429AF"/>
    <w:rsid w:val="00B42A87"/>
    <w:rsid w:val="00B42EB8"/>
    <w:rsid w:val="00B4304D"/>
    <w:rsid w:val="00B4346E"/>
    <w:rsid w:val="00B434D0"/>
    <w:rsid w:val="00B439D4"/>
    <w:rsid w:val="00B43C4B"/>
    <w:rsid w:val="00B43E03"/>
    <w:rsid w:val="00B44023"/>
    <w:rsid w:val="00B44245"/>
    <w:rsid w:val="00B442DF"/>
    <w:rsid w:val="00B4434F"/>
    <w:rsid w:val="00B4482D"/>
    <w:rsid w:val="00B44835"/>
    <w:rsid w:val="00B4494C"/>
    <w:rsid w:val="00B44A87"/>
    <w:rsid w:val="00B44CE7"/>
    <w:rsid w:val="00B44F65"/>
    <w:rsid w:val="00B45411"/>
    <w:rsid w:val="00B45A67"/>
    <w:rsid w:val="00B45AD4"/>
    <w:rsid w:val="00B45D7C"/>
    <w:rsid w:val="00B45DE6"/>
    <w:rsid w:val="00B46663"/>
    <w:rsid w:val="00B4669F"/>
    <w:rsid w:val="00B467BB"/>
    <w:rsid w:val="00B46959"/>
    <w:rsid w:val="00B469FE"/>
    <w:rsid w:val="00B46A0A"/>
    <w:rsid w:val="00B46EAB"/>
    <w:rsid w:val="00B46F64"/>
    <w:rsid w:val="00B470A4"/>
    <w:rsid w:val="00B4721D"/>
    <w:rsid w:val="00B472C9"/>
    <w:rsid w:val="00B476B5"/>
    <w:rsid w:val="00B4775C"/>
    <w:rsid w:val="00B479E5"/>
    <w:rsid w:val="00B47EF1"/>
    <w:rsid w:val="00B47FF3"/>
    <w:rsid w:val="00B50099"/>
    <w:rsid w:val="00B500E0"/>
    <w:rsid w:val="00B500E9"/>
    <w:rsid w:val="00B5017B"/>
    <w:rsid w:val="00B502F7"/>
    <w:rsid w:val="00B50D80"/>
    <w:rsid w:val="00B50F30"/>
    <w:rsid w:val="00B514A2"/>
    <w:rsid w:val="00B51684"/>
    <w:rsid w:val="00B51B87"/>
    <w:rsid w:val="00B51DE7"/>
    <w:rsid w:val="00B51EC5"/>
    <w:rsid w:val="00B51F84"/>
    <w:rsid w:val="00B52904"/>
    <w:rsid w:val="00B52BA3"/>
    <w:rsid w:val="00B53485"/>
    <w:rsid w:val="00B53B53"/>
    <w:rsid w:val="00B53E17"/>
    <w:rsid w:val="00B53EC6"/>
    <w:rsid w:val="00B54001"/>
    <w:rsid w:val="00B54079"/>
    <w:rsid w:val="00B5447C"/>
    <w:rsid w:val="00B547E6"/>
    <w:rsid w:val="00B549AB"/>
    <w:rsid w:val="00B54A0B"/>
    <w:rsid w:val="00B54D9F"/>
    <w:rsid w:val="00B55017"/>
    <w:rsid w:val="00B5547F"/>
    <w:rsid w:val="00B55560"/>
    <w:rsid w:val="00B555F7"/>
    <w:rsid w:val="00B55A8C"/>
    <w:rsid w:val="00B55AB0"/>
    <w:rsid w:val="00B55AF7"/>
    <w:rsid w:val="00B563FF"/>
    <w:rsid w:val="00B56494"/>
    <w:rsid w:val="00B564B7"/>
    <w:rsid w:val="00B569A0"/>
    <w:rsid w:val="00B56F65"/>
    <w:rsid w:val="00B56F9D"/>
    <w:rsid w:val="00B56FA2"/>
    <w:rsid w:val="00B57183"/>
    <w:rsid w:val="00B574F2"/>
    <w:rsid w:val="00B579D6"/>
    <w:rsid w:val="00B57A34"/>
    <w:rsid w:val="00B57C6A"/>
    <w:rsid w:val="00B57CFA"/>
    <w:rsid w:val="00B57F7D"/>
    <w:rsid w:val="00B57F92"/>
    <w:rsid w:val="00B60529"/>
    <w:rsid w:val="00B60785"/>
    <w:rsid w:val="00B60C2F"/>
    <w:rsid w:val="00B60E4D"/>
    <w:rsid w:val="00B60F49"/>
    <w:rsid w:val="00B6165E"/>
    <w:rsid w:val="00B61CA0"/>
    <w:rsid w:val="00B62227"/>
    <w:rsid w:val="00B6239C"/>
    <w:rsid w:val="00B62499"/>
    <w:rsid w:val="00B6297A"/>
    <w:rsid w:val="00B62DDF"/>
    <w:rsid w:val="00B62E66"/>
    <w:rsid w:val="00B62E86"/>
    <w:rsid w:val="00B62ED6"/>
    <w:rsid w:val="00B632D6"/>
    <w:rsid w:val="00B635F3"/>
    <w:rsid w:val="00B63633"/>
    <w:rsid w:val="00B644BB"/>
    <w:rsid w:val="00B64758"/>
    <w:rsid w:val="00B647E6"/>
    <w:rsid w:val="00B64840"/>
    <w:rsid w:val="00B64CFF"/>
    <w:rsid w:val="00B64EA9"/>
    <w:rsid w:val="00B65585"/>
    <w:rsid w:val="00B6566A"/>
    <w:rsid w:val="00B656AB"/>
    <w:rsid w:val="00B656DE"/>
    <w:rsid w:val="00B6576B"/>
    <w:rsid w:val="00B659FA"/>
    <w:rsid w:val="00B65BB5"/>
    <w:rsid w:val="00B65E69"/>
    <w:rsid w:val="00B65E9C"/>
    <w:rsid w:val="00B65FDA"/>
    <w:rsid w:val="00B662ED"/>
    <w:rsid w:val="00B6634A"/>
    <w:rsid w:val="00B6675E"/>
    <w:rsid w:val="00B66A98"/>
    <w:rsid w:val="00B66EE9"/>
    <w:rsid w:val="00B6707F"/>
    <w:rsid w:val="00B6737B"/>
    <w:rsid w:val="00B6737F"/>
    <w:rsid w:val="00B67511"/>
    <w:rsid w:val="00B67C25"/>
    <w:rsid w:val="00B70203"/>
    <w:rsid w:val="00B70359"/>
    <w:rsid w:val="00B704DB"/>
    <w:rsid w:val="00B70687"/>
    <w:rsid w:val="00B707D4"/>
    <w:rsid w:val="00B70DF2"/>
    <w:rsid w:val="00B70E12"/>
    <w:rsid w:val="00B70E78"/>
    <w:rsid w:val="00B70F78"/>
    <w:rsid w:val="00B7142E"/>
    <w:rsid w:val="00B715EC"/>
    <w:rsid w:val="00B71838"/>
    <w:rsid w:val="00B71849"/>
    <w:rsid w:val="00B71C58"/>
    <w:rsid w:val="00B725C3"/>
    <w:rsid w:val="00B727D6"/>
    <w:rsid w:val="00B72805"/>
    <w:rsid w:val="00B7288A"/>
    <w:rsid w:val="00B72B6D"/>
    <w:rsid w:val="00B72BFA"/>
    <w:rsid w:val="00B73018"/>
    <w:rsid w:val="00B73207"/>
    <w:rsid w:val="00B7353C"/>
    <w:rsid w:val="00B7383C"/>
    <w:rsid w:val="00B73B29"/>
    <w:rsid w:val="00B73DDF"/>
    <w:rsid w:val="00B73EE0"/>
    <w:rsid w:val="00B7401E"/>
    <w:rsid w:val="00B74198"/>
    <w:rsid w:val="00B74387"/>
    <w:rsid w:val="00B74C80"/>
    <w:rsid w:val="00B7524E"/>
    <w:rsid w:val="00B75365"/>
    <w:rsid w:val="00B75E8B"/>
    <w:rsid w:val="00B76618"/>
    <w:rsid w:val="00B7662D"/>
    <w:rsid w:val="00B7685D"/>
    <w:rsid w:val="00B76B6E"/>
    <w:rsid w:val="00B76E86"/>
    <w:rsid w:val="00B77076"/>
    <w:rsid w:val="00B77256"/>
    <w:rsid w:val="00B773B0"/>
    <w:rsid w:val="00B7781D"/>
    <w:rsid w:val="00B77B4F"/>
    <w:rsid w:val="00B77B65"/>
    <w:rsid w:val="00B77DA8"/>
    <w:rsid w:val="00B77DD2"/>
    <w:rsid w:val="00B77DDA"/>
    <w:rsid w:val="00B77DF7"/>
    <w:rsid w:val="00B77EA9"/>
    <w:rsid w:val="00B77F56"/>
    <w:rsid w:val="00B8062B"/>
    <w:rsid w:val="00B808F0"/>
    <w:rsid w:val="00B80C16"/>
    <w:rsid w:val="00B80C9A"/>
    <w:rsid w:val="00B80E32"/>
    <w:rsid w:val="00B80F24"/>
    <w:rsid w:val="00B811B2"/>
    <w:rsid w:val="00B811F3"/>
    <w:rsid w:val="00B81385"/>
    <w:rsid w:val="00B81753"/>
    <w:rsid w:val="00B8195B"/>
    <w:rsid w:val="00B81AC1"/>
    <w:rsid w:val="00B81B52"/>
    <w:rsid w:val="00B81DB6"/>
    <w:rsid w:val="00B81E6A"/>
    <w:rsid w:val="00B82045"/>
    <w:rsid w:val="00B82833"/>
    <w:rsid w:val="00B82A77"/>
    <w:rsid w:val="00B82ABD"/>
    <w:rsid w:val="00B82F60"/>
    <w:rsid w:val="00B82FB0"/>
    <w:rsid w:val="00B82FE0"/>
    <w:rsid w:val="00B831D6"/>
    <w:rsid w:val="00B83330"/>
    <w:rsid w:val="00B835BA"/>
    <w:rsid w:val="00B8375E"/>
    <w:rsid w:val="00B837C9"/>
    <w:rsid w:val="00B83835"/>
    <w:rsid w:val="00B83940"/>
    <w:rsid w:val="00B83EF4"/>
    <w:rsid w:val="00B8404B"/>
    <w:rsid w:val="00B84987"/>
    <w:rsid w:val="00B84D81"/>
    <w:rsid w:val="00B84E98"/>
    <w:rsid w:val="00B85062"/>
    <w:rsid w:val="00B850C4"/>
    <w:rsid w:val="00B850E3"/>
    <w:rsid w:val="00B850E6"/>
    <w:rsid w:val="00B8520D"/>
    <w:rsid w:val="00B8521C"/>
    <w:rsid w:val="00B85413"/>
    <w:rsid w:val="00B85DE8"/>
    <w:rsid w:val="00B85E77"/>
    <w:rsid w:val="00B861E7"/>
    <w:rsid w:val="00B86776"/>
    <w:rsid w:val="00B868FC"/>
    <w:rsid w:val="00B86B6E"/>
    <w:rsid w:val="00B8717E"/>
    <w:rsid w:val="00B8752E"/>
    <w:rsid w:val="00B876AD"/>
    <w:rsid w:val="00B87B82"/>
    <w:rsid w:val="00B9043B"/>
    <w:rsid w:val="00B9059E"/>
    <w:rsid w:val="00B905EA"/>
    <w:rsid w:val="00B909C2"/>
    <w:rsid w:val="00B91142"/>
    <w:rsid w:val="00B91269"/>
    <w:rsid w:val="00B912FE"/>
    <w:rsid w:val="00B9144C"/>
    <w:rsid w:val="00B916B6"/>
    <w:rsid w:val="00B9178B"/>
    <w:rsid w:val="00B919BA"/>
    <w:rsid w:val="00B91CC8"/>
    <w:rsid w:val="00B91CFB"/>
    <w:rsid w:val="00B92194"/>
    <w:rsid w:val="00B92200"/>
    <w:rsid w:val="00B92213"/>
    <w:rsid w:val="00B92399"/>
    <w:rsid w:val="00B9271F"/>
    <w:rsid w:val="00B92754"/>
    <w:rsid w:val="00B9277F"/>
    <w:rsid w:val="00B92831"/>
    <w:rsid w:val="00B92844"/>
    <w:rsid w:val="00B928D2"/>
    <w:rsid w:val="00B92A9C"/>
    <w:rsid w:val="00B92AB3"/>
    <w:rsid w:val="00B92F4A"/>
    <w:rsid w:val="00B936F6"/>
    <w:rsid w:val="00B93954"/>
    <w:rsid w:val="00B93D0A"/>
    <w:rsid w:val="00B93DC4"/>
    <w:rsid w:val="00B93FBC"/>
    <w:rsid w:val="00B94955"/>
    <w:rsid w:val="00B94AFF"/>
    <w:rsid w:val="00B94B3B"/>
    <w:rsid w:val="00B94BB1"/>
    <w:rsid w:val="00B94DCB"/>
    <w:rsid w:val="00B94F39"/>
    <w:rsid w:val="00B94FFC"/>
    <w:rsid w:val="00B9521B"/>
    <w:rsid w:val="00B95466"/>
    <w:rsid w:val="00B95BDF"/>
    <w:rsid w:val="00B95EC9"/>
    <w:rsid w:val="00B95F08"/>
    <w:rsid w:val="00B967F1"/>
    <w:rsid w:val="00B96821"/>
    <w:rsid w:val="00B96BBB"/>
    <w:rsid w:val="00B970CA"/>
    <w:rsid w:val="00B970CB"/>
    <w:rsid w:val="00B97183"/>
    <w:rsid w:val="00B97184"/>
    <w:rsid w:val="00B97608"/>
    <w:rsid w:val="00B97732"/>
    <w:rsid w:val="00B9798C"/>
    <w:rsid w:val="00B97A6C"/>
    <w:rsid w:val="00B97C81"/>
    <w:rsid w:val="00B97F1E"/>
    <w:rsid w:val="00BA013A"/>
    <w:rsid w:val="00BA0A6C"/>
    <w:rsid w:val="00BA0CC8"/>
    <w:rsid w:val="00BA0CF2"/>
    <w:rsid w:val="00BA1131"/>
    <w:rsid w:val="00BA137E"/>
    <w:rsid w:val="00BA1543"/>
    <w:rsid w:val="00BA1581"/>
    <w:rsid w:val="00BA1A95"/>
    <w:rsid w:val="00BA1E66"/>
    <w:rsid w:val="00BA3265"/>
    <w:rsid w:val="00BA34B0"/>
    <w:rsid w:val="00BA359F"/>
    <w:rsid w:val="00BA3775"/>
    <w:rsid w:val="00BA3933"/>
    <w:rsid w:val="00BA401C"/>
    <w:rsid w:val="00BA42F8"/>
    <w:rsid w:val="00BA4A89"/>
    <w:rsid w:val="00BA4BA1"/>
    <w:rsid w:val="00BA4C35"/>
    <w:rsid w:val="00BA4EE7"/>
    <w:rsid w:val="00BA4F75"/>
    <w:rsid w:val="00BA5E64"/>
    <w:rsid w:val="00BA64FE"/>
    <w:rsid w:val="00BA65E3"/>
    <w:rsid w:val="00BA678C"/>
    <w:rsid w:val="00BA6A73"/>
    <w:rsid w:val="00BA6FC6"/>
    <w:rsid w:val="00BA72D6"/>
    <w:rsid w:val="00BA732F"/>
    <w:rsid w:val="00BA74FA"/>
    <w:rsid w:val="00BA75E2"/>
    <w:rsid w:val="00BA7752"/>
    <w:rsid w:val="00BA7760"/>
    <w:rsid w:val="00BA7C18"/>
    <w:rsid w:val="00BA7C32"/>
    <w:rsid w:val="00BA7DAE"/>
    <w:rsid w:val="00BB0183"/>
    <w:rsid w:val="00BB0240"/>
    <w:rsid w:val="00BB03E8"/>
    <w:rsid w:val="00BB041C"/>
    <w:rsid w:val="00BB050A"/>
    <w:rsid w:val="00BB0D39"/>
    <w:rsid w:val="00BB0FFC"/>
    <w:rsid w:val="00BB103A"/>
    <w:rsid w:val="00BB1211"/>
    <w:rsid w:val="00BB124E"/>
    <w:rsid w:val="00BB192D"/>
    <w:rsid w:val="00BB1C3D"/>
    <w:rsid w:val="00BB1F0E"/>
    <w:rsid w:val="00BB1F81"/>
    <w:rsid w:val="00BB1FCA"/>
    <w:rsid w:val="00BB2186"/>
    <w:rsid w:val="00BB2204"/>
    <w:rsid w:val="00BB2C29"/>
    <w:rsid w:val="00BB2C45"/>
    <w:rsid w:val="00BB3191"/>
    <w:rsid w:val="00BB3941"/>
    <w:rsid w:val="00BB3D48"/>
    <w:rsid w:val="00BB3D58"/>
    <w:rsid w:val="00BB3D74"/>
    <w:rsid w:val="00BB3F28"/>
    <w:rsid w:val="00BB4538"/>
    <w:rsid w:val="00BB524F"/>
    <w:rsid w:val="00BB5521"/>
    <w:rsid w:val="00BB5715"/>
    <w:rsid w:val="00BB5781"/>
    <w:rsid w:val="00BB587F"/>
    <w:rsid w:val="00BB5FA4"/>
    <w:rsid w:val="00BB6438"/>
    <w:rsid w:val="00BB661C"/>
    <w:rsid w:val="00BB6E46"/>
    <w:rsid w:val="00BB6EB5"/>
    <w:rsid w:val="00BB703A"/>
    <w:rsid w:val="00BB754E"/>
    <w:rsid w:val="00BB7828"/>
    <w:rsid w:val="00BB7C73"/>
    <w:rsid w:val="00BB7E7D"/>
    <w:rsid w:val="00BB7F2D"/>
    <w:rsid w:val="00BC00A1"/>
    <w:rsid w:val="00BC012E"/>
    <w:rsid w:val="00BC06E8"/>
    <w:rsid w:val="00BC0A1C"/>
    <w:rsid w:val="00BC0CA6"/>
    <w:rsid w:val="00BC0F0C"/>
    <w:rsid w:val="00BC1DA2"/>
    <w:rsid w:val="00BC1E19"/>
    <w:rsid w:val="00BC2389"/>
    <w:rsid w:val="00BC24DE"/>
    <w:rsid w:val="00BC2649"/>
    <w:rsid w:val="00BC2D35"/>
    <w:rsid w:val="00BC3368"/>
    <w:rsid w:val="00BC3652"/>
    <w:rsid w:val="00BC3674"/>
    <w:rsid w:val="00BC3751"/>
    <w:rsid w:val="00BC3ABF"/>
    <w:rsid w:val="00BC3AE0"/>
    <w:rsid w:val="00BC419B"/>
    <w:rsid w:val="00BC4282"/>
    <w:rsid w:val="00BC4504"/>
    <w:rsid w:val="00BC4D01"/>
    <w:rsid w:val="00BC5246"/>
    <w:rsid w:val="00BC5300"/>
    <w:rsid w:val="00BC547D"/>
    <w:rsid w:val="00BC5A19"/>
    <w:rsid w:val="00BC5B84"/>
    <w:rsid w:val="00BC5CE4"/>
    <w:rsid w:val="00BC5F86"/>
    <w:rsid w:val="00BC5FB9"/>
    <w:rsid w:val="00BC605E"/>
    <w:rsid w:val="00BC6559"/>
    <w:rsid w:val="00BC662F"/>
    <w:rsid w:val="00BC688B"/>
    <w:rsid w:val="00BC6B96"/>
    <w:rsid w:val="00BC6FBC"/>
    <w:rsid w:val="00BC74EB"/>
    <w:rsid w:val="00BC7955"/>
    <w:rsid w:val="00BC7A24"/>
    <w:rsid w:val="00BC7B2C"/>
    <w:rsid w:val="00BC7E26"/>
    <w:rsid w:val="00BC7FC0"/>
    <w:rsid w:val="00BD08AD"/>
    <w:rsid w:val="00BD08E5"/>
    <w:rsid w:val="00BD0CC6"/>
    <w:rsid w:val="00BD11E6"/>
    <w:rsid w:val="00BD14F8"/>
    <w:rsid w:val="00BD17BA"/>
    <w:rsid w:val="00BD1E33"/>
    <w:rsid w:val="00BD2051"/>
    <w:rsid w:val="00BD2BA4"/>
    <w:rsid w:val="00BD2E35"/>
    <w:rsid w:val="00BD2F12"/>
    <w:rsid w:val="00BD328D"/>
    <w:rsid w:val="00BD3470"/>
    <w:rsid w:val="00BD36B8"/>
    <w:rsid w:val="00BD373F"/>
    <w:rsid w:val="00BD3B19"/>
    <w:rsid w:val="00BD3B6C"/>
    <w:rsid w:val="00BD4219"/>
    <w:rsid w:val="00BD42DB"/>
    <w:rsid w:val="00BD447B"/>
    <w:rsid w:val="00BD44DE"/>
    <w:rsid w:val="00BD465E"/>
    <w:rsid w:val="00BD49B8"/>
    <w:rsid w:val="00BD4A3B"/>
    <w:rsid w:val="00BD4B89"/>
    <w:rsid w:val="00BD4BDC"/>
    <w:rsid w:val="00BD4C37"/>
    <w:rsid w:val="00BD4ED2"/>
    <w:rsid w:val="00BD4F53"/>
    <w:rsid w:val="00BD5790"/>
    <w:rsid w:val="00BD5816"/>
    <w:rsid w:val="00BD5A84"/>
    <w:rsid w:val="00BD5BD8"/>
    <w:rsid w:val="00BD5C9E"/>
    <w:rsid w:val="00BD6277"/>
    <w:rsid w:val="00BD6B28"/>
    <w:rsid w:val="00BD6C32"/>
    <w:rsid w:val="00BD6CC9"/>
    <w:rsid w:val="00BD6FB3"/>
    <w:rsid w:val="00BD77DA"/>
    <w:rsid w:val="00BD793D"/>
    <w:rsid w:val="00BD7BE1"/>
    <w:rsid w:val="00BE006F"/>
    <w:rsid w:val="00BE0124"/>
    <w:rsid w:val="00BE0600"/>
    <w:rsid w:val="00BE0D15"/>
    <w:rsid w:val="00BE124D"/>
    <w:rsid w:val="00BE142A"/>
    <w:rsid w:val="00BE1564"/>
    <w:rsid w:val="00BE17B6"/>
    <w:rsid w:val="00BE1D33"/>
    <w:rsid w:val="00BE1EB4"/>
    <w:rsid w:val="00BE20A5"/>
    <w:rsid w:val="00BE2394"/>
    <w:rsid w:val="00BE2403"/>
    <w:rsid w:val="00BE25E6"/>
    <w:rsid w:val="00BE2D59"/>
    <w:rsid w:val="00BE2E10"/>
    <w:rsid w:val="00BE34BE"/>
    <w:rsid w:val="00BE3827"/>
    <w:rsid w:val="00BE38EE"/>
    <w:rsid w:val="00BE3CA7"/>
    <w:rsid w:val="00BE3CE7"/>
    <w:rsid w:val="00BE3DE6"/>
    <w:rsid w:val="00BE3F12"/>
    <w:rsid w:val="00BE41B6"/>
    <w:rsid w:val="00BE42AB"/>
    <w:rsid w:val="00BE44C4"/>
    <w:rsid w:val="00BE4535"/>
    <w:rsid w:val="00BE45A7"/>
    <w:rsid w:val="00BE45B0"/>
    <w:rsid w:val="00BE4655"/>
    <w:rsid w:val="00BE47F3"/>
    <w:rsid w:val="00BE47FE"/>
    <w:rsid w:val="00BE4998"/>
    <w:rsid w:val="00BE4BE3"/>
    <w:rsid w:val="00BE56FD"/>
    <w:rsid w:val="00BE587E"/>
    <w:rsid w:val="00BE58B2"/>
    <w:rsid w:val="00BE5E33"/>
    <w:rsid w:val="00BE6282"/>
    <w:rsid w:val="00BE62AE"/>
    <w:rsid w:val="00BE6434"/>
    <w:rsid w:val="00BE67F4"/>
    <w:rsid w:val="00BE68C8"/>
    <w:rsid w:val="00BE6D74"/>
    <w:rsid w:val="00BE709D"/>
    <w:rsid w:val="00BE70B6"/>
    <w:rsid w:val="00BE72B6"/>
    <w:rsid w:val="00BE781C"/>
    <w:rsid w:val="00BE7B6E"/>
    <w:rsid w:val="00BE7EDA"/>
    <w:rsid w:val="00BF0CED"/>
    <w:rsid w:val="00BF1031"/>
    <w:rsid w:val="00BF1183"/>
    <w:rsid w:val="00BF135A"/>
    <w:rsid w:val="00BF137D"/>
    <w:rsid w:val="00BF13DC"/>
    <w:rsid w:val="00BF15F3"/>
    <w:rsid w:val="00BF1619"/>
    <w:rsid w:val="00BF1AD3"/>
    <w:rsid w:val="00BF1E18"/>
    <w:rsid w:val="00BF1F33"/>
    <w:rsid w:val="00BF2191"/>
    <w:rsid w:val="00BF221C"/>
    <w:rsid w:val="00BF252E"/>
    <w:rsid w:val="00BF2598"/>
    <w:rsid w:val="00BF26F5"/>
    <w:rsid w:val="00BF27A3"/>
    <w:rsid w:val="00BF30E1"/>
    <w:rsid w:val="00BF3654"/>
    <w:rsid w:val="00BF396C"/>
    <w:rsid w:val="00BF3BED"/>
    <w:rsid w:val="00BF3CC7"/>
    <w:rsid w:val="00BF40A9"/>
    <w:rsid w:val="00BF4290"/>
    <w:rsid w:val="00BF44B2"/>
    <w:rsid w:val="00BF4630"/>
    <w:rsid w:val="00BF4C2B"/>
    <w:rsid w:val="00BF4C70"/>
    <w:rsid w:val="00BF4F70"/>
    <w:rsid w:val="00BF5076"/>
    <w:rsid w:val="00BF5181"/>
    <w:rsid w:val="00BF5225"/>
    <w:rsid w:val="00BF561B"/>
    <w:rsid w:val="00BF58AC"/>
    <w:rsid w:val="00BF5A74"/>
    <w:rsid w:val="00BF5A7F"/>
    <w:rsid w:val="00BF5CFB"/>
    <w:rsid w:val="00BF61EF"/>
    <w:rsid w:val="00BF6414"/>
    <w:rsid w:val="00BF65D0"/>
    <w:rsid w:val="00BF65D1"/>
    <w:rsid w:val="00BF6739"/>
    <w:rsid w:val="00BF69D5"/>
    <w:rsid w:val="00BF6AAA"/>
    <w:rsid w:val="00BF6D8C"/>
    <w:rsid w:val="00BF700F"/>
    <w:rsid w:val="00BF70BE"/>
    <w:rsid w:val="00BF7233"/>
    <w:rsid w:val="00BF7656"/>
    <w:rsid w:val="00BF7695"/>
    <w:rsid w:val="00BF7D5F"/>
    <w:rsid w:val="00BF7E27"/>
    <w:rsid w:val="00BF7E68"/>
    <w:rsid w:val="00BF7EC0"/>
    <w:rsid w:val="00C0014C"/>
    <w:rsid w:val="00C00164"/>
    <w:rsid w:val="00C00484"/>
    <w:rsid w:val="00C00BF9"/>
    <w:rsid w:val="00C0124A"/>
    <w:rsid w:val="00C018DB"/>
    <w:rsid w:val="00C02A95"/>
    <w:rsid w:val="00C032EE"/>
    <w:rsid w:val="00C03EFA"/>
    <w:rsid w:val="00C0410C"/>
    <w:rsid w:val="00C0414C"/>
    <w:rsid w:val="00C0424F"/>
    <w:rsid w:val="00C04296"/>
    <w:rsid w:val="00C04390"/>
    <w:rsid w:val="00C044A7"/>
    <w:rsid w:val="00C04A97"/>
    <w:rsid w:val="00C04B61"/>
    <w:rsid w:val="00C04DAF"/>
    <w:rsid w:val="00C04DC7"/>
    <w:rsid w:val="00C05AAA"/>
    <w:rsid w:val="00C05C64"/>
    <w:rsid w:val="00C05F0A"/>
    <w:rsid w:val="00C061DC"/>
    <w:rsid w:val="00C0647E"/>
    <w:rsid w:val="00C07594"/>
    <w:rsid w:val="00C076DC"/>
    <w:rsid w:val="00C078F6"/>
    <w:rsid w:val="00C07AB4"/>
    <w:rsid w:val="00C07B4B"/>
    <w:rsid w:val="00C100A2"/>
    <w:rsid w:val="00C10E7E"/>
    <w:rsid w:val="00C1108C"/>
    <w:rsid w:val="00C11676"/>
    <w:rsid w:val="00C117D3"/>
    <w:rsid w:val="00C11C50"/>
    <w:rsid w:val="00C11D89"/>
    <w:rsid w:val="00C12278"/>
    <w:rsid w:val="00C12375"/>
    <w:rsid w:val="00C125D0"/>
    <w:rsid w:val="00C130CE"/>
    <w:rsid w:val="00C13175"/>
    <w:rsid w:val="00C131BD"/>
    <w:rsid w:val="00C13280"/>
    <w:rsid w:val="00C13BED"/>
    <w:rsid w:val="00C13D87"/>
    <w:rsid w:val="00C14185"/>
    <w:rsid w:val="00C1424B"/>
    <w:rsid w:val="00C14496"/>
    <w:rsid w:val="00C144C4"/>
    <w:rsid w:val="00C14559"/>
    <w:rsid w:val="00C1491A"/>
    <w:rsid w:val="00C14A94"/>
    <w:rsid w:val="00C14A98"/>
    <w:rsid w:val="00C150BA"/>
    <w:rsid w:val="00C150C3"/>
    <w:rsid w:val="00C15364"/>
    <w:rsid w:val="00C156CC"/>
    <w:rsid w:val="00C15788"/>
    <w:rsid w:val="00C158BE"/>
    <w:rsid w:val="00C15C41"/>
    <w:rsid w:val="00C15C7E"/>
    <w:rsid w:val="00C15CA3"/>
    <w:rsid w:val="00C15DBC"/>
    <w:rsid w:val="00C15DEC"/>
    <w:rsid w:val="00C160D3"/>
    <w:rsid w:val="00C16314"/>
    <w:rsid w:val="00C1639A"/>
    <w:rsid w:val="00C1646B"/>
    <w:rsid w:val="00C16486"/>
    <w:rsid w:val="00C1655F"/>
    <w:rsid w:val="00C167B5"/>
    <w:rsid w:val="00C167D1"/>
    <w:rsid w:val="00C16AD9"/>
    <w:rsid w:val="00C16B40"/>
    <w:rsid w:val="00C16DE8"/>
    <w:rsid w:val="00C1737B"/>
    <w:rsid w:val="00C173ED"/>
    <w:rsid w:val="00C17DD1"/>
    <w:rsid w:val="00C17E79"/>
    <w:rsid w:val="00C17E86"/>
    <w:rsid w:val="00C17F5A"/>
    <w:rsid w:val="00C204BE"/>
    <w:rsid w:val="00C208D9"/>
    <w:rsid w:val="00C209F1"/>
    <w:rsid w:val="00C20B83"/>
    <w:rsid w:val="00C20BB5"/>
    <w:rsid w:val="00C20CF5"/>
    <w:rsid w:val="00C20E85"/>
    <w:rsid w:val="00C2176F"/>
    <w:rsid w:val="00C21AAD"/>
    <w:rsid w:val="00C21B9A"/>
    <w:rsid w:val="00C21B9F"/>
    <w:rsid w:val="00C22882"/>
    <w:rsid w:val="00C228CD"/>
    <w:rsid w:val="00C22BBF"/>
    <w:rsid w:val="00C22CB4"/>
    <w:rsid w:val="00C22E17"/>
    <w:rsid w:val="00C23202"/>
    <w:rsid w:val="00C23AAD"/>
    <w:rsid w:val="00C23D1A"/>
    <w:rsid w:val="00C23DC2"/>
    <w:rsid w:val="00C23F0D"/>
    <w:rsid w:val="00C241D8"/>
    <w:rsid w:val="00C243A5"/>
    <w:rsid w:val="00C24461"/>
    <w:rsid w:val="00C2450A"/>
    <w:rsid w:val="00C2462D"/>
    <w:rsid w:val="00C248E1"/>
    <w:rsid w:val="00C24926"/>
    <w:rsid w:val="00C24CB4"/>
    <w:rsid w:val="00C25407"/>
    <w:rsid w:val="00C25E23"/>
    <w:rsid w:val="00C26227"/>
    <w:rsid w:val="00C262EE"/>
    <w:rsid w:val="00C2671F"/>
    <w:rsid w:val="00C26A0E"/>
    <w:rsid w:val="00C26F47"/>
    <w:rsid w:val="00C272A4"/>
    <w:rsid w:val="00C278F1"/>
    <w:rsid w:val="00C27AA2"/>
    <w:rsid w:val="00C27C65"/>
    <w:rsid w:val="00C27DEE"/>
    <w:rsid w:val="00C30437"/>
    <w:rsid w:val="00C30B18"/>
    <w:rsid w:val="00C30D0D"/>
    <w:rsid w:val="00C30D88"/>
    <w:rsid w:val="00C31487"/>
    <w:rsid w:val="00C314A8"/>
    <w:rsid w:val="00C316A0"/>
    <w:rsid w:val="00C316A7"/>
    <w:rsid w:val="00C3182C"/>
    <w:rsid w:val="00C31A11"/>
    <w:rsid w:val="00C31AFE"/>
    <w:rsid w:val="00C31D0D"/>
    <w:rsid w:val="00C326CD"/>
    <w:rsid w:val="00C32ABC"/>
    <w:rsid w:val="00C32C97"/>
    <w:rsid w:val="00C32FFF"/>
    <w:rsid w:val="00C33693"/>
    <w:rsid w:val="00C3446F"/>
    <w:rsid w:val="00C348A1"/>
    <w:rsid w:val="00C349D9"/>
    <w:rsid w:val="00C34C38"/>
    <w:rsid w:val="00C34DED"/>
    <w:rsid w:val="00C35116"/>
    <w:rsid w:val="00C3548B"/>
    <w:rsid w:val="00C35A2F"/>
    <w:rsid w:val="00C35AF1"/>
    <w:rsid w:val="00C35CD1"/>
    <w:rsid w:val="00C36197"/>
    <w:rsid w:val="00C361DC"/>
    <w:rsid w:val="00C36324"/>
    <w:rsid w:val="00C363F5"/>
    <w:rsid w:val="00C3694A"/>
    <w:rsid w:val="00C36F4C"/>
    <w:rsid w:val="00C3704B"/>
    <w:rsid w:val="00C37445"/>
    <w:rsid w:val="00C374E1"/>
    <w:rsid w:val="00C379E4"/>
    <w:rsid w:val="00C37E2E"/>
    <w:rsid w:val="00C40022"/>
    <w:rsid w:val="00C40433"/>
    <w:rsid w:val="00C40487"/>
    <w:rsid w:val="00C404DC"/>
    <w:rsid w:val="00C40615"/>
    <w:rsid w:val="00C40A23"/>
    <w:rsid w:val="00C40B3B"/>
    <w:rsid w:val="00C40CA7"/>
    <w:rsid w:val="00C41399"/>
    <w:rsid w:val="00C415BE"/>
    <w:rsid w:val="00C4176C"/>
    <w:rsid w:val="00C41B40"/>
    <w:rsid w:val="00C41DA4"/>
    <w:rsid w:val="00C41EAA"/>
    <w:rsid w:val="00C41F69"/>
    <w:rsid w:val="00C42325"/>
    <w:rsid w:val="00C425C5"/>
    <w:rsid w:val="00C42682"/>
    <w:rsid w:val="00C42890"/>
    <w:rsid w:val="00C42AF1"/>
    <w:rsid w:val="00C42CC2"/>
    <w:rsid w:val="00C43417"/>
    <w:rsid w:val="00C43B28"/>
    <w:rsid w:val="00C43B6F"/>
    <w:rsid w:val="00C443B0"/>
    <w:rsid w:val="00C444F0"/>
    <w:rsid w:val="00C44509"/>
    <w:rsid w:val="00C44B87"/>
    <w:rsid w:val="00C454ED"/>
    <w:rsid w:val="00C45921"/>
    <w:rsid w:val="00C4596C"/>
    <w:rsid w:val="00C45B34"/>
    <w:rsid w:val="00C45E07"/>
    <w:rsid w:val="00C45EB0"/>
    <w:rsid w:val="00C464D3"/>
    <w:rsid w:val="00C464EF"/>
    <w:rsid w:val="00C4651E"/>
    <w:rsid w:val="00C4677F"/>
    <w:rsid w:val="00C4686F"/>
    <w:rsid w:val="00C469B1"/>
    <w:rsid w:val="00C46BED"/>
    <w:rsid w:val="00C46CC0"/>
    <w:rsid w:val="00C46D65"/>
    <w:rsid w:val="00C47342"/>
    <w:rsid w:val="00C47480"/>
    <w:rsid w:val="00C47AD2"/>
    <w:rsid w:val="00C47BB6"/>
    <w:rsid w:val="00C47E16"/>
    <w:rsid w:val="00C50019"/>
    <w:rsid w:val="00C5010F"/>
    <w:rsid w:val="00C50663"/>
    <w:rsid w:val="00C50993"/>
    <w:rsid w:val="00C50BC9"/>
    <w:rsid w:val="00C50C2A"/>
    <w:rsid w:val="00C50E16"/>
    <w:rsid w:val="00C5128F"/>
    <w:rsid w:val="00C516A5"/>
    <w:rsid w:val="00C5170A"/>
    <w:rsid w:val="00C51852"/>
    <w:rsid w:val="00C51880"/>
    <w:rsid w:val="00C51B8E"/>
    <w:rsid w:val="00C51CE5"/>
    <w:rsid w:val="00C52167"/>
    <w:rsid w:val="00C5218D"/>
    <w:rsid w:val="00C52394"/>
    <w:rsid w:val="00C523C5"/>
    <w:rsid w:val="00C523CA"/>
    <w:rsid w:val="00C52453"/>
    <w:rsid w:val="00C5245F"/>
    <w:rsid w:val="00C52632"/>
    <w:rsid w:val="00C526C4"/>
    <w:rsid w:val="00C52991"/>
    <w:rsid w:val="00C52BC8"/>
    <w:rsid w:val="00C52D7F"/>
    <w:rsid w:val="00C530B7"/>
    <w:rsid w:val="00C53175"/>
    <w:rsid w:val="00C537ED"/>
    <w:rsid w:val="00C5394C"/>
    <w:rsid w:val="00C539E1"/>
    <w:rsid w:val="00C53AEC"/>
    <w:rsid w:val="00C53DE5"/>
    <w:rsid w:val="00C54073"/>
    <w:rsid w:val="00C547E5"/>
    <w:rsid w:val="00C54816"/>
    <w:rsid w:val="00C54DBE"/>
    <w:rsid w:val="00C554E4"/>
    <w:rsid w:val="00C55592"/>
    <w:rsid w:val="00C55983"/>
    <w:rsid w:val="00C560CA"/>
    <w:rsid w:val="00C5624F"/>
    <w:rsid w:val="00C56492"/>
    <w:rsid w:val="00C56875"/>
    <w:rsid w:val="00C568D4"/>
    <w:rsid w:val="00C56917"/>
    <w:rsid w:val="00C5742F"/>
    <w:rsid w:val="00C57509"/>
    <w:rsid w:val="00C57615"/>
    <w:rsid w:val="00C57831"/>
    <w:rsid w:val="00C57A9C"/>
    <w:rsid w:val="00C57BEF"/>
    <w:rsid w:val="00C57DEE"/>
    <w:rsid w:val="00C60172"/>
    <w:rsid w:val="00C603A8"/>
    <w:rsid w:val="00C6043E"/>
    <w:rsid w:val="00C6046C"/>
    <w:rsid w:val="00C60492"/>
    <w:rsid w:val="00C604AB"/>
    <w:rsid w:val="00C60604"/>
    <w:rsid w:val="00C60829"/>
    <w:rsid w:val="00C60AEA"/>
    <w:rsid w:val="00C60B05"/>
    <w:rsid w:val="00C60B6D"/>
    <w:rsid w:val="00C60E8B"/>
    <w:rsid w:val="00C61392"/>
    <w:rsid w:val="00C61465"/>
    <w:rsid w:val="00C61788"/>
    <w:rsid w:val="00C617F2"/>
    <w:rsid w:val="00C619CD"/>
    <w:rsid w:val="00C62052"/>
    <w:rsid w:val="00C62456"/>
    <w:rsid w:val="00C62610"/>
    <w:rsid w:val="00C62692"/>
    <w:rsid w:val="00C6282C"/>
    <w:rsid w:val="00C62DFC"/>
    <w:rsid w:val="00C62E1A"/>
    <w:rsid w:val="00C63237"/>
    <w:rsid w:val="00C636AC"/>
    <w:rsid w:val="00C63854"/>
    <w:rsid w:val="00C639EE"/>
    <w:rsid w:val="00C63AE9"/>
    <w:rsid w:val="00C646AC"/>
    <w:rsid w:val="00C64AEA"/>
    <w:rsid w:val="00C64B54"/>
    <w:rsid w:val="00C64CDE"/>
    <w:rsid w:val="00C64EDB"/>
    <w:rsid w:val="00C64F2D"/>
    <w:rsid w:val="00C64FB6"/>
    <w:rsid w:val="00C6500E"/>
    <w:rsid w:val="00C6562D"/>
    <w:rsid w:val="00C6566A"/>
    <w:rsid w:val="00C659F5"/>
    <w:rsid w:val="00C65AE8"/>
    <w:rsid w:val="00C65BB5"/>
    <w:rsid w:val="00C65FC1"/>
    <w:rsid w:val="00C65FFF"/>
    <w:rsid w:val="00C6605B"/>
    <w:rsid w:val="00C66FE8"/>
    <w:rsid w:val="00C67164"/>
    <w:rsid w:val="00C671CD"/>
    <w:rsid w:val="00C67240"/>
    <w:rsid w:val="00C6728E"/>
    <w:rsid w:val="00C67579"/>
    <w:rsid w:val="00C675EC"/>
    <w:rsid w:val="00C676F1"/>
    <w:rsid w:val="00C67990"/>
    <w:rsid w:val="00C679D6"/>
    <w:rsid w:val="00C67A56"/>
    <w:rsid w:val="00C67F41"/>
    <w:rsid w:val="00C67FF4"/>
    <w:rsid w:val="00C70806"/>
    <w:rsid w:val="00C7094B"/>
    <w:rsid w:val="00C70F13"/>
    <w:rsid w:val="00C710AF"/>
    <w:rsid w:val="00C71343"/>
    <w:rsid w:val="00C71518"/>
    <w:rsid w:val="00C71CE3"/>
    <w:rsid w:val="00C71E64"/>
    <w:rsid w:val="00C724CF"/>
    <w:rsid w:val="00C725EF"/>
    <w:rsid w:val="00C728FA"/>
    <w:rsid w:val="00C72AD9"/>
    <w:rsid w:val="00C72BFF"/>
    <w:rsid w:val="00C73173"/>
    <w:rsid w:val="00C73231"/>
    <w:rsid w:val="00C733A7"/>
    <w:rsid w:val="00C7396E"/>
    <w:rsid w:val="00C73988"/>
    <w:rsid w:val="00C73A0D"/>
    <w:rsid w:val="00C74106"/>
    <w:rsid w:val="00C74497"/>
    <w:rsid w:val="00C7452D"/>
    <w:rsid w:val="00C74BAC"/>
    <w:rsid w:val="00C7500A"/>
    <w:rsid w:val="00C753CB"/>
    <w:rsid w:val="00C755B6"/>
    <w:rsid w:val="00C75CB8"/>
    <w:rsid w:val="00C75F87"/>
    <w:rsid w:val="00C75FFF"/>
    <w:rsid w:val="00C763CD"/>
    <w:rsid w:val="00C76409"/>
    <w:rsid w:val="00C76594"/>
    <w:rsid w:val="00C76805"/>
    <w:rsid w:val="00C768B5"/>
    <w:rsid w:val="00C76A85"/>
    <w:rsid w:val="00C76AF7"/>
    <w:rsid w:val="00C76B9B"/>
    <w:rsid w:val="00C76BA3"/>
    <w:rsid w:val="00C76CF0"/>
    <w:rsid w:val="00C76D95"/>
    <w:rsid w:val="00C770DB"/>
    <w:rsid w:val="00C77826"/>
    <w:rsid w:val="00C8002C"/>
    <w:rsid w:val="00C80391"/>
    <w:rsid w:val="00C804B7"/>
    <w:rsid w:val="00C80A07"/>
    <w:rsid w:val="00C82507"/>
    <w:rsid w:val="00C82607"/>
    <w:rsid w:val="00C82709"/>
    <w:rsid w:val="00C82765"/>
    <w:rsid w:val="00C827E7"/>
    <w:rsid w:val="00C8286E"/>
    <w:rsid w:val="00C83304"/>
    <w:rsid w:val="00C8334C"/>
    <w:rsid w:val="00C83406"/>
    <w:rsid w:val="00C83C0F"/>
    <w:rsid w:val="00C83D6A"/>
    <w:rsid w:val="00C83DD6"/>
    <w:rsid w:val="00C83EF3"/>
    <w:rsid w:val="00C840E4"/>
    <w:rsid w:val="00C84187"/>
    <w:rsid w:val="00C8448E"/>
    <w:rsid w:val="00C846F9"/>
    <w:rsid w:val="00C8470C"/>
    <w:rsid w:val="00C84A5F"/>
    <w:rsid w:val="00C85342"/>
    <w:rsid w:val="00C8537B"/>
    <w:rsid w:val="00C85B8B"/>
    <w:rsid w:val="00C86480"/>
    <w:rsid w:val="00C86490"/>
    <w:rsid w:val="00C86907"/>
    <w:rsid w:val="00C86B71"/>
    <w:rsid w:val="00C8729B"/>
    <w:rsid w:val="00C87574"/>
    <w:rsid w:val="00C8760C"/>
    <w:rsid w:val="00C87858"/>
    <w:rsid w:val="00C87A30"/>
    <w:rsid w:val="00C87AA1"/>
    <w:rsid w:val="00C87AF7"/>
    <w:rsid w:val="00C87CF9"/>
    <w:rsid w:val="00C87F9B"/>
    <w:rsid w:val="00C90686"/>
    <w:rsid w:val="00C90800"/>
    <w:rsid w:val="00C91126"/>
    <w:rsid w:val="00C914F6"/>
    <w:rsid w:val="00C91733"/>
    <w:rsid w:val="00C9182E"/>
    <w:rsid w:val="00C91857"/>
    <w:rsid w:val="00C91977"/>
    <w:rsid w:val="00C91BF4"/>
    <w:rsid w:val="00C91D3F"/>
    <w:rsid w:val="00C9200A"/>
    <w:rsid w:val="00C92634"/>
    <w:rsid w:val="00C92A21"/>
    <w:rsid w:val="00C92D71"/>
    <w:rsid w:val="00C93242"/>
    <w:rsid w:val="00C932B2"/>
    <w:rsid w:val="00C93758"/>
    <w:rsid w:val="00C93E2A"/>
    <w:rsid w:val="00C93E57"/>
    <w:rsid w:val="00C93EC5"/>
    <w:rsid w:val="00C94229"/>
    <w:rsid w:val="00C94696"/>
    <w:rsid w:val="00C94815"/>
    <w:rsid w:val="00C9493B"/>
    <w:rsid w:val="00C94BFC"/>
    <w:rsid w:val="00C94E92"/>
    <w:rsid w:val="00C95407"/>
    <w:rsid w:val="00C959B2"/>
    <w:rsid w:val="00C960FC"/>
    <w:rsid w:val="00C96141"/>
    <w:rsid w:val="00C962D9"/>
    <w:rsid w:val="00C96332"/>
    <w:rsid w:val="00C967E1"/>
    <w:rsid w:val="00C96A95"/>
    <w:rsid w:val="00C96BC4"/>
    <w:rsid w:val="00C96C99"/>
    <w:rsid w:val="00C96D5F"/>
    <w:rsid w:val="00C96F92"/>
    <w:rsid w:val="00C9715C"/>
    <w:rsid w:val="00C97AB3"/>
    <w:rsid w:val="00CA00AF"/>
    <w:rsid w:val="00CA0127"/>
    <w:rsid w:val="00CA0204"/>
    <w:rsid w:val="00CA021E"/>
    <w:rsid w:val="00CA0627"/>
    <w:rsid w:val="00CA083D"/>
    <w:rsid w:val="00CA0D04"/>
    <w:rsid w:val="00CA1195"/>
    <w:rsid w:val="00CA1C94"/>
    <w:rsid w:val="00CA20C0"/>
    <w:rsid w:val="00CA28F1"/>
    <w:rsid w:val="00CA2A7B"/>
    <w:rsid w:val="00CA2B60"/>
    <w:rsid w:val="00CA2FBD"/>
    <w:rsid w:val="00CA30CD"/>
    <w:rsid w:val="00CA3249"/>
    <w:rsid w:val="00CA32BC"/>
    <w:rsid w:val="00CA3430"/>
    <w:rsid w:val="00CA3675"/>
    <w:rsid w:val="00CA3B6D"/>
    <w:rsid w:val="00CA3B93"/>
    <w:rsid w:val="00CA4337"/>
    <w:rsid w:val="00CA4727"/>
    <w:rsid w:val="00CA4B48"/>
    <w:rsid w:val="00CA4F5A"/>
    <w:rsid w:val="00CA534D"/>
    <w:rsid w:val="00CA540E"/>
    <w:rsid w:val="00CA56D7"/>
    <w:rsid w:val="00CA57C6"/>
    <w:rsid w:val="00CA5972"/>
    <w:rsid w:val="00CA5D7D"/>
    <w:rsid w:val="00CA5EFC"/>
    <w:rsid w:val="00CA64A8"/>
    <w:rsid w:val="00CA6647"/>
    <w:rsid w:val="00CA6AC1"/>
    <w:rsid w:val="00CA6B63"/>
    <w:rsid w:val="00CA6B80"/>
    <w:rsid w:val="00CA6F2C"/>
    <w:rsid w:val="00CA7AE9"/>
    <w:rsid w:val="00CA7BB3"/>
    <w:rsid w:val="00CA7C84"/>
    <w:rsid w:val="00CB016B"/>
    <w:rsid w:val="00CB0496"/>
    <w:rsid w:val="00CB049D"/>
    <w:rsid w:val="00CB06BC"/>
    <w:rsid w:val="00CB0753"/>
    <w:rsid w:val="00CB0BA6"/>
    <w:rsid w:val="00CB0D7D"/>
    <w:rsid w:val="00CB0E6D"/>
    <w:rsid w:val="00CB1113"/>
    <w:rsid w:val="00CB13FC"/>
    <w:rsid w:val="00CB1722"/>
    <w:rsid w:val="00CB173D"/>
    <w:rsid w:val="00CB1957"/>
    <w:rsid w:val="00CB20EE"/>
    <w:rsid w:val="00CB22AA"/>
    <w:rsid w:val="00CB2978"/>
    <w:rsid w:val="00CB30F2"/>
    <w:rsid w:val="00CB3184"/>
    <w:rsid w:val="00CB3581"/>
    <w:rsid w:val="00CB3789"/>
    <w:rsid w:val="00CB3844"/>
    <w:rsid w:val="00CB3B5B"/>
    <w:rsid w:val="00CB3B73"/>
    <w:rsid w:val="00CB41FC"/>
    <w:rsid w:val="00CB482C"/>
    <w:rsid w:val="00CB4A6C"/>
    <w:rsid w:val="00CB4B58"/>
    <w:rsid w:val="00CB4FF0"/>
    <w:rsid w:val="00CB56AD"/>
    <w:rsid w:val="00CB5768"/>
    <w:rsid w:val="00CB5852"/>
    <w:rsid w:val="00CB5EC6"/>
    <w:rsid w:val="00CB6023"/>
    <w:rsid w:val="00CB6069"/>
    <w:rsid w:val="00CB62C7"/>
    <w:rsid w:val="00CB662B"/>
    <w:rsid w:val="00CB67CF"/>
    <w:rsid w:val="00CB6EBD"/>
    <w:rsid w:val="00CB7421"/>
    <w:rsid w:val="00CB79BF"/>
    <w:rsid w:val="00CB7F54"/>
    <w:rsid w:val="00CB7F60"/>
    <w:rsid w:val="00CC04D8"/>
    <w:rsid w:val="00CC05B6"/>
    <w:rsid w:val="00CC0645"/>
    <w:rsid w:val="00CC074B"/>
    <w:rsid w:val="00CC08C9"/>
    <w:rsid w:val="00CC1274"/>
    <w:rsid w:val="00CC17F2"/>
    <w:rsid w:val="00CC1987"/>
    <w:rsid w:val="00CC19C4"/>
    <w:rsid w:val="00CC1A44"/>
    <w:rsid w:val="00CC1AA8"/>
    <w:rsid w:val="00CC1B35"/>
    <w:rsid w:val="00CC1B5F"/>
    <w:rsid w:val="00CC1DEB"/>
    <w:rsid w:val="00CC1E02"/>
    <w:rsid w:val="00CC1F59"/>
    <w:rsid w:val="00CC2089"/>
    <w:rsid w:val="00CC2095"/>
    <w:rsid w:val="00CC21DB"/>
    <w:rsid w:val="00CC2202"/>
    <w:rsid w:val="00CC261E"/>
    <w:rsid w:val="00CC279A"/>
    <w:rsid w:val="00CC2816"/>
    <w:rsid w:val="00CC281F"/>
    <w:rsid w:val="00CC29AB"/>
    <w:rsid w:val="00CC32BC"/>
    <w:rsid w:val="00CC34D7"/>
    <w:rsid w:val="00CC377F"/>
    <w:rsid w:val="00CC3AAA"/>
    <w:rsid w:val="00CC3E3B"/>
    <w:rsid w:val="00CC3F81"/>
    <w:rsid w:val="00CC4469"/>
    <w:rsid w:val="00CC4788"/>
    <w:rsid w:val="00CC4927"/>
    <w:rsid w:val="00CC4972"/>
    <w:rsid w:val="00CC4A54"/>
    <w:rsid w:val="00CC4AEE"/>
    <w:rsid w:val="00CC4B7A"/>
    <w:rsid w:val="00CC4EF0"/>
    <w:rsid w:val="00CC50AB"/>
    <w:rsid w:val="00CC561C"/>
    <w:rsid w:val="00CC56A8"/>
    <w:rsid w:val="00CC57CF"/>
    <w:rsid w:val="00CC58BF"/>
    <w:rsid w:val="00CC59CC"/>
    <w:rsid w:val="00CC59D4"/>
    <w:rsid w:val="00CC5B17"/>
    <w:rsid w:val="00CC5EFB"/>
    <w:rsid w:val="00CC6217"/>
    <w:rsid w:val="00CC698C"/>
    <w:rsid w:val="00CC6AA7"/>
    <w:rsid w:val="00CC6F19"/>
    <w:rsid w:val="00CC7011"/>
    <w:rsid w:val="00CC7161"/>
    <w:rsid w:val="00CC74C5"/>
    <w:rsid w:val="00CC7C12"/>
    <w:rsid w:val="00CC7EB1"/>
    <w:rsid w:val="00CD0632"/>
    <w:rsid w:val="00CD06E9"/>
    <w:rsid w:val="00CD124A"/>
    <w:rsid w:val="00CD15D5"/>
    <w:rsid w:val="00CD15E6"/>
    <w:rsid w:val="00CD16CC"/>
    <w:rsid w:val="00CD1A08"/>
    <w:rsid w:val="00CD25FD"/>
    <w:rsid w:val="00CD268B"/>
    <w:rsid w:val="00CD2AF6"/>
    <w:rsid w:val="00CD2F43"/>
    <w:rsid w:val="00CD3262"/>
    <w:rsid w:val="00CD3514"/>
    <w:rsid w:val="00CD35D0"/>
    <w:rsid w:val="00CD38B7"/>
    <w:rsid w:val="00CD38FC"/>
    <w:rsid w:val="00CD3BE5"/>
    <w:rsid w:val="00CD3D0C"/>
    <w:rsid w:val="00CD3D34"/>
    <w:rsid w:val="00CD3EEB"/>
    <w:rsid w:val="00CD3F2E"/>
    <w:rsid w:val="00CD3F5A"/>
    <w:rsid w:val="00CD401C"/>
    <w:rsid w:val="00CD4293"/>
    <w:rsid w:val="00CD46B0"/>
    <w:rsid w:val="00CD488A"/>
    <w:rsid w:val="00CD506E"/>
    <w:rsid w:val="00CD50D0"/>
    <w:rsid w:val="00CD5109"/>
    <w:rsid w:val="00CD5124"/>
    <w:rsid w:val="00CD514F"/>
    <w:rsid w:val="00CD58B2"/>
    <w:rsid w:val="00CD5D42"/>
    <w:rsid w:val="00CD61C7"/>
    <w:rsid w:val="00CD634A"/>
    <w:rsid w:val="00CD639C"/>
    <w:rsid w:val="00CD6840"/>
    <w:rsid w:val="00CD6D8C"/>
    <w:rsid w:val="00CD6E6A"/>
    <w:rsid w:val="00CD7182"/>
    <w:rsid w:val="00CD72F6"/>
    <w:rsid w:val="00CD7344"/>
    <w:rsid w:val="00CD7608"/>
    <w:rsid w:val="00CD7CB6"/>
    <w:rsid w:val="00CE008D"/>
    <w:rsid w:val="00CE0142"/>
    <w:rsid w:val="00CE118C"/>
    <w:rsid w:val="00CE12DC"/>
    <w:rsid w:val="00CE130C"/>
    <w:rsid w:val="00CE1F06"/>
    <w:rsid w:val="00CE2033"/>
    <w:rsid w:val="00CE2049"/>
    <w:rsid w:val="00CE27C5"/>
    <w:rsid w:val="00CE2D38"/>
    <w:rsid w:val="00CE34F7"/>
    <w:rsid w:val="00CE356F"/>
    <w:rsid w:val="00CE3750"/>
    <w:rsid w:val="00CE37B4"/>
    <w:rsid w:val="00CE3872"/>
    <w:rsid w:val="00CE39BE"/>
    <w:rsid w:val="00CE3B18"/>
    <w:rsid w:val="00CE3C0A"/>
    <w:rsid w:val="00CE3F66"/>
    <w:rsid w:val="00CE4106"/>
    <w:rsid w:val="00CE461C"/>
    <w:rsid w:val="00CE4C85"/>
    <w:rsid w:val="00CE4EC5"/>
    <w:rsid w:val="00CE4EDD"/>
    <w:rsid w:val="00CE5307"/>
    <w:rsid w:val="00CE53BF"/>
    <w:rsid w:val="00CE544E"/>
    <w:rsid w:val="00CE57AC"/>
    <w:rsid w:val="00CE5B4F"/>
    <w:rsid w:val="00CE5BD9"/>
    <w:rsid w:val="00CE5D8F"/>
    <w:rsid w:val="00CE5E17"/>
    <w:rsid w:val="00CE681B"/>
    <w:rsid w:val="00CE68FB"/>
    <w:rsid w:val="00CE6919"/>
    <w:rsid w:val="00CE6952"/>
    <w:rsid w:val="00CE6957"/>
    <w:rsid w:val="00CE70D2"/>
    <w:rsid w:val="00CE7430"/>
    <w:rsid w:val="00CE7785"/>
    <w:rsid w:val="00CE7790"/>
    <w:rsid w:val="00CE77A8"/>
    <w:rsid w:val="00CE79F2"/>
    <w:rsid w:val="00CE7F7A"/>
    <w:rsid w:val="00CF0172"/>
    <w:rsid w:val="00CF0180"/>
    <w:rsid w:val="00CF01E6"/>
    <w:rsid w:val="00CF13B2"/>
    <w:rsid w:val="00CF1933"/>
    <w:rsid w:val="00CF196C"/>
    <w:rsid w:val="00CF1C3A"/>
    <w:rsid w:val="00CF21F5"/>
    <w:rsid w:val="00CF2A81"/>
    <w:rsid w:val="00CF2B10"/>
    <w:rsid w:val="00CF2D69"/>
    <w:rsid w:val="00CF3296"/>
    <w:rsid w:val="00CF371F"/>
    <w:rsid w:val="00CF388D"/>
    <w:rsid w:val="00CF3A2E"/>
    <w:rsid w:val="00CF3E63"/>
    <w:rsid w:val="00CF41EB"/>
    <w:rsid w:val="00CF431D"/>
    <w:rsid w:val="00CF43F5"/>
    <w:rsid w:val="00CF44CB"/>
    <w:rsid w:val="00CF45E1"/>
    <w:rsid w:val="00CF4683"/>
    <w:rsid w:val="00CF469C"/>
    <w:rsid w:val="00CF4FD4"/>
    <w:rsid w:val="00CF51EC"/>
    <w:rsid w:val="00CF5D39"/>
    <w:rsid w:val="00CF6284"/>
    <w:rsid w:val="00CF6721"/>
    <w:rsid w:val="00CF6892"/>
    <w:rsid w:val="00CF739B"/>
    <w:rsid w:val="00CF7621"/>
    <w:rsid w:val="00CF7775"/>
    <w:rsid w:val="00CF7A64"/>
    <w:rsid w:val="00CF7DA6"/>
    <w:rsid w:val="00CF7EFA"/>
    <w:rsid w:val="00CF7F00"/>
    <w:rsid w:val="00CF7F78"/>
    <w:rsid w:val="00CF7FA5"/>
    <w:rsid w:val="00D0045D"/>
    <w:rsid w:val="00D006E5"/>
    <w:rsid w:val="00D00738"/>
    <w:rsid w:val="00D007C5"/>
    <w:rsid w:val="00D00B2F"/>
    <w:rsid w:val="00D00E88"/>
    <w:rsid w:val="00D010DB"/>
    <w:rsid w:val="00D01889"/>
    <w:rsid w:val="00D018AE"/>
    <w:rsid w:val="00D01CB7"/>
    <w:rsid w:val="00D01D88"/>
    <w:rsid w:val="00D01E59"/>
    <w:rsid w:val="00D02008"/>
    <w:rsid w:val="00D02370"/>
    <w:rsid w:val="00D0244C"/>
    <w:rsid w:val="00D0255C"/>
    <w:rsid w:val="00D02C78"/>
    <w:rsid w:val="00D02D98"/>
    <w:rsid w:val="00D02E97"/>
    <w:rsid w:val="00D03363"/>
    <w:rsid w:val="00D03D76"/>
    <w:rsid w:val="00D03F49"/>
    <w:rsid w:val="00D0401A"/>
    <w:rsid w:val="00D04777"/>
    <w:rsid w:val="00D04FB9"/>
    <w:rsid w:val="00D051FA"/>
    <w:rsid w:val="00D05BB7"/>
    <w:rsid w:val="00D05C91"/>
    <w:rsid w:val="00D05ECF"/>
    <w:rsid w:val="00D06005"/>
    <w:rsid w:val="00D0621C"/>
    <w:rsid w:val="00D0651D"/>
    <w:rsid w:val="00D066E5"/>
    <w:rsid w:val="00D067B0"/>
    <w:rsid w:val="00D067F3"/>
    <w:rsid w:val="00D07238"/>
    <w:rsid w:val="00D074B1"/>
    <w:rsid w:val="00D07A2A"/>
    <w:rsid w:val="00D07DC1"/>
    <w:rsid w:val="00D07E6B"/>
    <w:rsid w:val="00D102D4"/>
    <w:rsid w:val="00D10AEC"/>
    <w:rsid w:val="00D10B86"/>
    <w:rsid w:val="00D10FF6"/>
    <w:rsid w:val="00D1108A"/>
    <w:rsid w:val="00D11435"/>
    <w:rsid w:val="00D116F5"/>
    <w:rsid w:val="00D117EA"/>
    <w:rsid w:val="00D11ED8"/>
    <w:rsid w:val="00D1211C"/>
    <w:rsid w:val="00D128CB"/>
    <w:rsid w:val="00D12D38"/>
    <w:rsid w:val="00D12E79"/>
    <w:rsid w:val="00D12F7A"/>
    <w:rsid w:val="00D13B5C"/>
    <w:rsid w:val="00D14003"/>
    <w:rsid w:val="00D14129"/>
    <w:rsid w:val="00D141A0"/>
    <w:rsid w:val="00D14370"/>
    <w:rsid w:val="00D14727"/>
    <w:rsid w:val="00D147D3"/>
    <w:rsid w:val="00D1493C"/>
    <w:rsid w:val="00D14AB7"/>
    <w:rsid w:val="00D1527A"/>
    <w:rsid w:val="00D15478"/>
    <w:rsid w:val="00D1559C"/>
    <w:rsid w:val="00D15957"/>
    <w:rsid w:val="00D15B0E"/>
    <w:rsid w:val="00D15BB4"/>
    <w:rsid w:val="00D15BCD"/>
    <w:rsid w:val="00D15BED"/>
    <w:rsid w:val="00D15E06"/>
    <w:rsid w:val="00D15E33"/>
    <w:rsid w:val="00D16ACD"/>
    <w:rsid w:val="00D16B0E"/>
    <w:rsid w:val="00D16C8E"/>
    <w:rsid w:val="00D1705D"/>
    <w:rsid w:val="00D17430"/>
    <w:rsid w:val="00D17590"/>
    <w:rsid w:val="00D179FB"/>
    <w:rsid w:val="00D17D8E"/>
    <w:rsid w:val="00D17E35"/>
    <w:rsid w:val="00D20200"/>
    <w:rsid w:val="00D20270"/>
    <w:rsid w:val="00D20664"/>
    <w:rsid w:val="00D20CB2"/>
    <w:rsid w:val="00D20D3A"/>
    <w:rsid w:val="00D20EDA"/>
    <w:rsid w:val="00D21F8E"/>
    <w:rsid w:val="00D22249"/>
    <w:rsid w:val="00D22687"/>
    <w:rsid w:val="00D22AB5"/>
    <w:rsid w:val="00D22B50"/>
    <w:rsid w:val="00D22C0A"/>
    <w:rsid w:val="00D231C2"/>
    <w:rsid w:val="00D23323"/>
    <w:rsid w:val="00D23485"/>
    <w:rsid w:val="00D23532"/>
    <w:rsid w:val="00D23817"/>
    <w:rsid w:val="00D23A43"/>
    <w:rsid w:val="00D23D57"/>
    <w:rsid w:val="00D23DCC"/>
    <w:rsid w:val="00D241C4"/>
    <w:rsid w:val="00D2453E"/>
    <w:rsid w:val="00D245CD"/>
    <w:rsid w:val="00D24A4E"/>
    <w:rsid w:val="00D24B82"/>
    <w:rsid w:val="00D25034"/>
    <w:rsid w:val="00D25148"/>
    <w:rsid w:val="00D2534C"/>
    <w:rsid w:val="00D262AF"/>
    <w:rsid w:val="00D263B0"/>
    <w:rsid w:val="00D2641E"/>
    <w:rsid w:val="00D267B5"/>
    <w:rsid w:val="00D268C7"/>
    <w:rsid w:val="00D2764B"/>
    <w:rsid w:val="00D27F3D"/>
    <w:rsid w:val="00D3006D"/>
    <w:rsid w:val="00D3016E"/>
    <w:rsid w:val="00D302BB"/>
    <w:rsid w:val="00D304C6"/>
    <w:rsid w:val="00D30D68"/>
    <w:rsid w:val="00D30FBD"/>
    <w:rsid w:val="00D317A5"/>
    <w:rsid w:val="00D31B80"/>
    <w:rsid w:val="00D325EC"/>
    <w:rsid w:val="00D32C55"/>
    <w:rsid w:val="00D33158"/>
    <w:rsid w:val="00D33771"/>
    <w:rsid w:val="00D33C11"/>
    <w:rsid w:val="00D33EE8"/>
    <w:rsid w:val="00D3433C"/>
    <w:rsid w:val="00D34730"/>
    <w:rsid w:val="00D34C4E"/>
    <w:rsid w:val="00D34F61"/>
    <w:rsid w:val="00D34FCC"/>
    <w:rsid w:val="00D35072"/>
    <w:rsid w:val="00D350B6"/>
    <w:rsid w:val="00D35188"/>
    <w:rsid w:val="00D3544C"/>
    <w:rsid w:val="00D3630F"/>
    <w:rsid w:val="00D3640F"/>
    <w:rsid w:val="00D366D5"/>
    <w:rsid w:val="00D366E5"/>
    <w:rsid w:val="00D36B20"/>
    <w:rsid w:val="00D36BC3"/>
    <w:rsid w:val="00D36C0B"/>
    <w:rsid w:val="00D37025"/>
    <w:rsid w:val="00D372C7"/>
    <w:rsid w:val="00D37357"/>
    <w:rsid w:val="00D37415"/>
    <w:rsid w:val="00D375E1"/>
    <w:rsid w:val="00D37746"/>
    <w:rsid w:val="00D37F6C"/>
    <w:rsid w:val="00D37FA5"/>
    <w:rsid w:val="00D40089"/>
    <w:rsid w:val="00D402E1"/>
    <w:rsid w:val="00D40308"/>
    <w:rsid w:val="00D4053A"/>
    <w:rsid w:val="00D40578"/>
    <w:rsid w:val="00D40654"/>
    <w:rsid w:val="00D4091D"/>
    <w:rsid w:val="00D409F6"/>
    <w:rsid w:val="00D40C99"/>
    <w:rsid w:val="00D4123D"/>
    <w:rsid w:val="00D4159B"/>
    <w:rsid w:val="00D4179E"/>
    <w:rsid w:val="00D41A98"/>
    <w:rsid w:val="00D41B3B"/>
    <w:rsid w:val="00D41BD7"/>
    <w:rsid w:val="00D41D8B"/>
    <w:rsid w:val="00D4251B"/>
    <w:rsid w:val="00D42633"/>
    <w:rsid w:val="00D42D76"/>
    <w:rsid w:val="00D430CD"/>
    <w:rsid w:val="00D4316E"/>
    <w:rsid w:val="00D43224"/>
    <w:rsid w:val="00D43332"/>
    <w:rsid w:val="00D43AAD"/>
    <w:rsid w:val="00D43AD2"/>
    <w:rsid w:val="00D43D54"/>
    <w:rsid w:val="00D44099"/>
    <w:rsid w:val="00D44124"/>
    <w:rsid w:val="00D44228"/>
    <w:rsid w:val="00D446C4"/>
    <w:rsid w:val="00D44B3E"/>
    <w:rsid w:val="00D44BAF"/>
    <w:rsid w:val="00D44C09"/>
    <w:rsid w:val="00D4553D"/>
    <w:rsid w:val="00D45666"/>
    <w:rsid w:val="00D45978"/>
    <w:rsid w:val="00D45BF5"/>
    <w:rsid w:val="00D45CF1"/>
    <w:rsid w:val="00D45D4C"/>
    <w:rsid w:val="00D45DB3"/>
    <w:rsid w:val="00D45E3F"/>
    <w:rsid w:val="00D45F5C"/>
    <w:rsid w:val="00D463BB"/>
    <w:rsid w:val="00D469C2"/>
    <w:rsid w:val="00D46A4B"/>
    <w:rsid w:val="00D46B7B"/>
    <w:rsid w:val="00D46EA7"/>
    <w:rsid w:val="00D46EC2"/>
    <w:rsid w:val="00D47062"/>
    <w:rsid w:val="00D47089"/>
    <w:rsid w:val="00D473B4"/>
    <w:rsid w:val="00D476D7"/>
    <w:rsid w:val="00D479F7"/>
    <w:rsid w:val="00D47B07"/>
    <w:rsid w:val="00D47E38"/>
    <w:rsid w:val="00D47F9D"/>
    <w:rsid w:val="00D5092E"/>
    <w:rsid w:val="00D50A1E"/>
    <w:rsid w:val="00D50C32"/>
    <w:rsid w:val="00D50C5C"/>
    <w:rsid w:val="00D50E37"/>
    <w:rsid w:val="00D5113B"/>
    <w:rsid w:val="00D51227"/>
    <w:rsid w:val="00D5167D"/>
    <w:rsid w:val="00D51717"/>
    <w:rsid w:val="00D52186"/>
    <w:rsid w:val="00D521B5"/>
    <w:rsid w:val="00D52251"/>
    <w:rsid w:val="00D522A9"/>
    <w:rsid w:val="00D525FC"/>
    <w:rsid w:val="00D52873"/>
    <w:rsid w:val="00D52B37"/>
    <w:rsid w:val="00D53154"/>
    <w:rsid w:val="00D531A3"/>
    <w:rsid w:val="00D53334"/>
    <w:rsid w:val="00D539C8"/>
    <w:rsid w:val="00D53A54"/>
    <w:rsid w:val="00D53D2E"/>
    <w:rsid w:val="00D53D36"/>
    <w:rsid w:val="00D53D59"/>
    <w:rsid w:val="00D53DC8"/>
    <w:rsid w:val="00D53E09"/>
    <w:rsid w:val="00D53FCF"/>
    <w:rsid w:val="00D54ABA"/>
    <w:rsid w:val="00D54C2E"/>
    <w:rsid w:val="00D54D6E"/>
    <w:rsid w:val="00D555D0"/>
    <w:rsid w:val="00D556D2"/>
    <w:rsid w:val="00D55811"/>
    <w:rsid w:val="00D55A1F"/>
    <w:rsid w:val="00D55BDD"/>
    <w:rsid w:val="00D56009"/>
    <w:rsid w:val="00D56195"/>
    <w:rsid w:val="00D56369"/>
    <w:rsid w:val="00D56504"/>
    <w:rsid w:val="00D565D6"/>
    <w:rsid w:val="00D571BC"/>
    <w:rsid w:val="00D57981"/>
    <w:rsid w:val="00D57A45"/>
    <w:rsid w:val="00D57CA3"/>
    <w:rsid w:val="00D57EF5"/>
    <w:rsid w:val="00D60151"/>
    <w:rsid w:val="00D604F1"/>
    <w:rsid w:val="00D60560"/>
    <w:rsid w:val="00D6079D"/>
    <w:rsid w:val="00D6083C"/>
    <w:rsid w:val="00D60911"/>
    <w:rsid w:val="00D60D01"/>
    <w:rsid w:val="00D60DA7"/>
    <w:rsid w:val="00D60DF5"/>
    <w:rsid w:val="00D61480"/>
    <w:rsid w:val="00D616F0"/>
    <w:rsid w:val="00D61717"/>
    <w:rsid w:val="00D61D5E"/>
    <w:rsid w:val="00D61F60"/>
    <w:rsid w:val="00D61FF6"/>
    <w:rsid w:val="00D6212A"/>
    <w:rsid w:val="00D621E9"/>
    <w:rsid w:val="00D62215"/>
    <w:rsid w:val="00D628B2"/>
    <w:rsid w:val="00D62C13"/>
    <w:rsid w:val="00D62D42"/>
    <w:rsid w:val="00D63427"/>
    <w:rsid w:val="00D63469"/>
    <w:rsid w:val="00D63539"/>
    <w:rsid w:val="00D63D3D"/>
    <w:rsid w:val="00D63E99"/>
    <w:rsid w:val="00D64550"/>
    <w:rsid w:val="00D64A12"/>
    <w:rsid w:val="00D65735"/>
    <w:rsid w:val="00D659A2"/>
    <w:rsid w:val="00D65C4D"/>
    <w:rsid w:val="00D65CBF"/>
    <w:rsid w:val="00D65CDB"/>
    <w:rsid w:val="00D66908"/>
    <w:rsid w:val="00D66A2E"/>
    <w:rsid w:val="00D66B79"/>
    <w:rsid w:val="00D66C86"/>
    <w:rsid w:val="00D673E1"/>
    <w:rsid w:val="00D6744A"/>
    <w:rsid w:val="00D67793"/>
    <w:rsid w:val="00D6790B"/>
    <w:rsid w:val="00D67BEA"/>
    <w:rsid w:val="00D67E02"/>
    <w:rsid w:val="00D70302"/>
    <w:rsid w:val="00D70332"/>
    <w:rsid w:val="00D70384"/>
    <w:rsid w:val="00D70775"/>
    <w:rsid w:val="00D70780"/>
    <w:rsid w:val="00D70FB5"/>
    <w:rsid w:val="00D71139"/>
    <w:rsid w:val="00D715F0"/>
    <w:rsid w:val="00D719A8"/>
    <w:rsid w:val="00D71FD2"/>
    <w:rsid w:val="00D72164"/>
    <w:rsid w:val="00D724F6"/>
    <w:rsid w:val="00D730FA"/>
    <w:rsid w:val="00D731D7"/>
    <w:rsid w:val="00D7342C"/>
    <w:rsid w:val="00D7357C"/>
    <w:rsid w:val="00D73631"/>
    <w:rsid w:val="00D7367A"/>
    <w:rsid w:val="00D73736"/>
    <w:rsid w:val="00D73986"/>
    <w:rsid w:val="00D73A1C"/>
    <w:rsid w:val="00D73F43"/>
    <w:rsid w:val="00D73FCE"/>
    <w:rsid w:val="00D74661"/>
    <w:rsid w:val="00D74989"/>
    <w:rsid w:val="00D74CD6"/>
    <w:rsid w:val="00D75424"/>
    <w:rsid w:val="00D75F89"/>
    <w:rsid w:val="00D76214"/>
    <w:rsid w:val="00D763F8"/>
    <w:rsid w:val="00D764BC"/>
    <w:rsid w:val="00D7682D"/>
    <w:rsid w:val="00D76A3E"/>
    <w:rsid w:val="00D7757D"/>
    <w:rsid w:val="00D77FC8"/>
    <w:rsid w:val="00D804D2"/>
    <w:rsid w:val="00D806DE"/>
    <w:rsid w:val="00D8074E"/>
    <w:rsid w:val="00D80773"/>
    <w:rsid w:val="00D80787"/>
    <w:rsid w:val="00D807B1"/>
    <w:rsid w:val="00D808A8"/>
    <w:rsid w:val="00D80C2F"/>
    <w:rsid w:val="00D80C70"/>
    <w:rsid w:val="00D8125A"/>
    <w:rsid w:val="00D81454"/>
    <w:rsid w:val="00D81488"/>
    <w:rsid w:val="00D814DB"/>
    <w:rsid w:val="00D81643"/>
    <w:rsid w:val="00D81D12"/>
    <w:rsid w:val="00D81E28"/>
    <w:rsid w:val="00D820E3"/>
    <w:rsid w:val="00D82422"/>
    <w:rsid w:val="00D82BCA"/>
    <w:rsid w:val="00D82BF9"/>
    <w:rsid w:val="00D82DBF"/>
    <w:rsid w:val="00D82F47"/>
    <w:rsid w:val="00D8302A"/>
    <w:rsid w:val="00D830D3"/>
    <w:rsid w:val="00D83314"/>
    <w:rsid w:val="00D83837"/>
    <w:rsid w:val="00D83B1A"/>
    <w:rsid w:val="00D842D7"/>
    <w:rsid w:val="00D843B6"/>
    <w:rsid w:val="00D84812"/>
    <w:rsid w:val="00D84A45"/>
    <w:rsid w:val="00D84B03"/>
    <w:rsid w:val="00D85073"/>
    <w:rsid w:val="00D851F4"/>
    <w:rsid w:val="00D855F3"/>
    <w:rsid w:val="00D8596A"/>
    <w:rsid w:val="00D8629C"/>
    <w:rsid w:val="00D86378"/>
    <w:rsid w:val="00D863AD"/>
    <w:rsid w:val="00D8651F"/>
    <w:rsid w:val="00D86738"/>
    <w:rsid w:val="00D8673D"/>
    <w:rsid w:val="00D868C3"/>
    <w:rsid w:val="00D86FAC"/>
    <w:rsid w:val="00D87059"/>
    <w:rsid w:val="00D87173"/>
    <w:rsid w:val="00D87280"/>
    <w:rsid w:val="00D87584"/>
    <w:rsid w:val="00D87A9F"/>
    <w:rsid w:val="00D90234"/>
    <w:rsid w:val="00D904B4"/>
    <w:rsid w:val="00D90565"/>
    <w:rsid w:val="00D905FC"/>
    <w:rsid w:val="00D90683"/>
    <w:rsid w:val="00D909C7"/>
    <w:rsid w:val="00D90B67"/>
    <w:rsid w:val="00D90C00"/>
    <w:rsid w:val="00D90CFB"/>
    <w:rsid w:val="00D90DFE"/>
    <w:rsid w:val="00D9117F"/>
    <w:rsid w:val="00D91292"/>
    <w:rsid w:val="00D91455"/>
    <w:rsid w:val="00D91855"/>
    <w:rsid w:val="00D91A4B"/>
    <w:rsid w:val="00D926DC"/>
    <w:rsid w:val="00D92760"/>
    <w:rsid w:val="00D927E9"/>
    <w:rsid w:val="00D92D11"/>
    <w:rsid w:val="00D92EC5"/>
    <w:rsid w:val="00D92EF7"/>
    <w:rsid w:val="00D93162"/>
    <w:rsid w:val="00D93485"/>
    <w:rsid w:val="00D9389E"/>
    <w:rsid w:val="00D93B74"/>
    <w:rsid w:val="00D93D3B"/>
    <w:rsid w:val="00D93FBA"/>
    <w:rsid w:val="00D93FCB"/>
    <w:rsid w:val="00D94271"/>
    <w:rsid w:val="00D94AAC"/>
    <w:rsid w:val="00D94D6F"/>
    <w:rsid w:val="00D950F8"/>
    <w:rsid w:val="00D9525D"/>
    <w:rsid w:val="00D952CE"/>
    <w:rsid w:val="00D95386"/>
    <w:rsid w:val="00D95483"/>
    <w:rsid w:val="00D958F1"/>
    <w:rsid w:val="00D9598B"/>
    <w:rsid w:val="00D95ACC"/>
    <w:rsid w:val="00D95B93"/>
    <w:rsid w:val="00D96944"/>
    <w:rsid w:val="00D96C00"/>
    <w:rsid w:val="00D96DC6"/>
    <w:rsid w:val="00D96F55"/>
    <w:rsid w:val="00D973D9"/>
    <w:rsid w:val="00D97584"/>
    <w:rsid w:val="00D976DE"/>
    <w:rsid w:val="00D97756"/>
    <w:rsid w:val="00D97802"/>
    <w:rsid w:val="00D97895"/>
    <w:rsid w:val="00D978D3"/>
    <w:rsid w:val="00D97C3A"/>
    <w:rsid w:val="00D97D2A"/>
    <w:rsid w:val="00D97F42"/>
    <w:rsid w:val="00DA0430"/>
    <w:rsid w:val="00DA059B"/>
    <w:rsid w:val="00DA0731"/>
    <w:rsid w:val="00DA113F"/>
    <w:rsid w:val="00DA15F2"/>
    <w:rsid w:val="00DA1816"/>
    <w:rsid w:val="00DA1933"/>
    <w:rsid w:val="00DA1C36"/>
    <w:rsid w:val="00DA1D2B"/>
    <w:rsid w:val="00DA1F3C"/>
    <w:rsid w:val="00DA20F6"/>
    <w:rsid w:val="00DA2237"/>
    <w:rsid w:val="00DA23D7"/>
    <w:rsid w:val="00DA2EE7"/>
    <w:rsid w:val="00DA2EFA"/>
    <w:rsid w:val="00DA3042"/>
    <w:rsid w:val="00DA331C"/>
    <w:rsid w:val="00DA3387"/>
    <w:rsid w:val="00DA33A7"/>
    <w:rsid w:val="00DA34AC"/>
    <w:rsid w:val="00DA4008"/>
    <w:rsid w:val="00DA420C"/>
    <w:rsid w:val="00DA4288"/>
    <w:rsid w:val="00DA49AC"/>
    <w:rsid w:val="00DA4B28"/>
    <w:rsid w:val="00DA4BDA"/>
    <w:rsid w:val="00DA4DBE"/>
    <w:rsid w:val="00DA526C"/>
    <w:rsid w:val="00DA55C2"/>
    <w:rsid w:val="00DA5736"/>
    <w:rsid w:val="00DA5739"/>
    <w:rsid w:val="00DA6278"/>
    <w:rsid w:val="00DA67AF"/>
    <w:rsid w:val="00DA6AF0"/>
    <w:rsid w:val="00DA6BDE"/>
    <w:rsid w:val="00DA6F4E"/>
    <w:rsid w:val="00DA7146"/>
    <w:rsid w:val="00DA72B6"/>
    <w:rsid w:val="00DA7594"/>
    <w:rsid w:val="00DA7648"/>
    <w:rsid w:val="00DA776F"/>
    <w:rsid w:val="00DA7AD4"/>
    <w:rsid w:val="00DA7DEE"/>
    <w:rsid w:val="00DA7E65"/>
    <w:rsid w:val="00DB0664"/>
    <w:rsid w:val="00DB07CF"/>
    <w:rsid w:val="00DB0837"/>
    <w:rsid w:val="00DB088A"/>
    <w:rsid w:val="00DB0B89"/>
    <w:rsid w:val="00DB0E39"/>
    <w:rsid w:val="00DB0F5E"/>
    <w:rsid w:val="00DB1756"/>
    <w:rsid w:val="00DB175D"/>
    <w:rsid w:val="00DB17E6"/>
    <w:rsid w:val="00DB1DFA"/>
    <w:rsid w:val="00DB20F7"/>
    <w:rsid w:val="00DB26B7"/>
    <w:rsid w:val="00DB2735"/>
    <w:rsid w:val="00DB2791"/>
    <w:rsid w:val="00DB28D7"/>
    <w:rsid w:val="00DB2B08"/>
    <w:rsid w:val="00DB2D00"/>
    <w:rsid w:val="00DB2DD0"/>
    <w:rsid w:val="00DB2EBA"/>
    <w:rsid w:val="00DB2EE6"/>
    <w:rsid w:val="00DB2F86"/>
    <w:rsid w:val="00DB33BC"/>
    <w:rsid w:val="00DB3951"/>
    <w:rsid w:val="00DB3B08"/>
    <w:rsid w:val="00DB3CB7"/>
    <w:rsid w:val="00DB3F24"/>
    <w:rsid w:val="00DB4A28"/>
    <w:rsid w:val="00DB4ADA"/>
    <w:rsid w:val="00DB4BB2"/>
    <w:rsid w:val="00DB4C73"/>
    <w:rsid w:val="00DB5075"/>
    <w:rsid w:val="00DB5A67"/>
    <w:rsid w:val="00DB5A88"/>
    <w:rsid w:val="00DB5D68"/>
    <w:rsid w:val="00DB6148"/>
    <w:rsid w:val="00DB6193"/>
    <w:rsid w:val="00DB647A"/>
    <w:rsid w:val="00DB6811"/>
    <w:rsid w:val="00DB69F8"/>
    <w:rsid w:val="00DB6B5D"/>
    <w:rsid w:val="00DB6B68"/>
    <w:rsid w:val="00DB6D29"/>
    <w:rsid w:val="00DB6D46"/>
    <w:rsid w:val="00DB6ED9"/>
    <w:rsid w:val="00DB6F26"/>
    <w:rsid w:val="00DB707E"/>
    <w:rsid w:val="00DB799B"/>
    <w:rsid w:val="00DB79BB"/>
    <w:rsid w:val="00DB7A0B"/>
    <w:rsid w:val="00DB7D02"/>
    <w:rsid w:val="00DB7E6A"/>
    <w:rsid w:val="00DB7E7E"/>
    <w:rsid w:val="00DC02AC"/>
    <w:rsid w:val="00DC03C7"/>
    <w:rsid w:val="00DC0D0F"/>
    <w:rsid w:val="00DC0EF9"/>
    <w:rsid w:val="00DC1038"/>
    <w:rsid w:val="00DC1317"/>
    <w:rsid w:val="00DC13B6"/>
    <w:rsid w:val="00DC145C"/>
    <w:rsid w:val="00DC1B8B"/>
    <w:rsid w:val="00DC1F39"/>
    <w:rsid w:val="00DC248B"/>
    <w:rsid w:val="00DC2594"/>
    <w:rsid w:val="00DC29AD"/>
    <w:rsid w:val="00DC29AF"/>
    <w:rsid w:val="00DC2A1A"/>
    <w:rsid w:val="00DC2A64"/>
    <w:rsid w:val="00DC2B06"/>
    <w:rsid w:val="00DC2BFC"/>
    <w:rsid w:val="00DC2C5B"/>
    <w:rsid w:val="00DC2E2B"/>
    <w:rsid w:val="00DC3D8C"/>
    <w:rsid w:val="00DC44FC"/>
    <w:rsid w:val="00DC4885"/>
    <w:rsid w:val="00DC5328"/>
    <w:rsid w:val="00DC5942"/>
    <w:rsid w:val="00DC5C89"/>
    <w:rsid w:val="00DC5E0B"/>
    <w:rsid w:val="00DC5E60"/>
    <w:rsid w:val="00DC634A"/>
    <w:rsid w:val="00DC643D"/>
    <w:rsid w:val="00DC6884"/>
    <w:rsid w:val="00DC72F5"/>
    <w:rsid w:val="00DC7A25"/>
    <w:rsid w:val="00DC7BDC"/>
    <w:rsid w:val="00DD034B"/>
    <w:rsid w:val="00DD0913"/>
    <w:rsid w:val="00DD0B51"/>
    <w:rsid w:val="00DD0CCA"/>
    <w:rsid w:val="00DD0E70"/>
    <w:rsid w:val="00DD0FC1"/>
    <w:rsid w:val="00DD13B8"/>
    <w:rsid w:val="00DD1514"/>
    <w:rsid w:val="00DD1673"/>
    <w:rsid w:val="00DD1694"/>
    <w:rsid w:val="00DD17DF"/>
    <w:rsid w:val="00DD1865"/>
    <w:rsid w:val="00DD1D92"/>
    <w:rsid w:val="00DD1F10"/>
    <w:rsid w:val="00DD28AC"/>
    <w:rsid w:val="00DD2A5B"/>
    <w:rsid w:val="00DD2BE8"/>
    <w:rsid w:val="00DD2C3F"/>
    <w:rsid w:val="00DD2F86"/>
    <w:rsid w:val="00DD3093"/>
    <w:rsid w:val="00DD31CF"/>
    <w:rsid w:val="00DD31DA"/>
    <w:rsid w:val="00DD334E"/>
    <w:rsid w:val="00DD3530"/>
    <w:rsid w:val="00DD358E"/>
    <w:rsid w:val="00DD3622"/>
    <w:rsid w:val="00DD38E0"/>
    <w:rsid w:val="00DD4219"/>
    <w:rsid w:val="00DD4344"/>
    <w:rsid w:val="00DD4461"/>
    <w:rsid w:val="00DD4465"/>
    <w:rsid w:val="00DD4AE0"/>
    <w:rsid w:val="00DD4D58"/>
    <w:rsid w:val="00DD4E3C"/>
    <w:rsid w:val="00DD4EC7"/>
    <w:rsid w:val="00DD5805"/>
    <w:rsid w:val="00DD5ADC"/>
    <w:rsid w:val="00DD5D00"/>
    <w:rsid w:val="00DD5FE7"/>
    <w:rsid w:val="00DD6006"/>
    <w:rsid w:val="00DD61F2"/>
    <w:rsid w:val="00DD6669"/>
    <w:rsid w:val="00DD6C84"/>
    <w:rsid w:val="00DD6FA7"/>
    <w:rsid w:val="00DD6FB6"/>
    <w:rsid w:val="00DD6FF8"/>
    <w:rsid w:val="00DD7162"/>
    <w:rsid w:val="00DD722F"/>
    <w:rsid w:val="00DD74B5"/>
    <w:rsid w:val="00DD7F5F"/>
    <w:rsid w:val="00DE060B"/>
    <w:rsid w:val="00DE0702"/>
    <w:rsid w:val="00DE072A"/>
    <w:rsid w:val="00DE076D"/>
    <w:rsid w:val="00DE08BB"/>
    <w:rsid w:val="00DE0BB8"/>
    <w:rsid w:val="00DE0D07"/>
    <w:rsid w:val="00DE102E"/>
    <w:rsid w:val="00DE14BD"/>
    <w:rsid w:val="00DE1837"/>
    <w:rsid w:val="00DE1860"/>
    <w:rsid w:val="00DE249E"/>
    <w:rsid w:val="00DE288E"/>
    <w:rsid w:val="00DE2C30"/>
    <w:rsid w:val="00DE3032"/>
    <w:rsid w:val="00DE308A"/>
    <w:rsid w:val="00DE30A2"/>
    <w:rsid w:val="00DE3256"/>
    <w:rsid w:val="00DE35B5"/>
    <w:rsid w:val="00DE35D6"/>
    <w:rsid w:val="00DE3891"/>
    <w:rsid w:val="00DE3B56"/>
    <w:rsid w:val="00DE3CC5"/>
    <w:rsid w:val="00DE4A53"/>
    <w:rsid w:val="00DE4AB2"/>
    <w:rsid w:val="00DE5537"/>
    <w:rsid w:val="00DE585A"/>
    <w:rsid w:val="00DE5878"/>
    <w:rsid w:val="00DE58DE"/>
    <w:rsid w:val="00DE58FE"/>
    <w:rsid w:val="00DE5B2C"/>
    <w:rsid w:val="00DE5B4B"/>
    <w:rsid w:val="00DE5E99"/>
    <w:rsid w:val="00DE5ED3"/>
    <w:rsid w:val="00DE6032"/>
    <w:rsid w:val="00DE60CA"/>
    <w:rsid w:val="00DE60EC"/>
    <w:rsid w:val="00DE6840"/>
    <w:rsid w:val="00DE6899"/>
    <w:rsid w:val="00DE68F2"/>
    <w:rsid w:val="00DE706B"/>
    <w:rsid w:val="00DE712D"/>
    <w:rsid w:val="00DE7318"/>
    <w:rsid w:val="00DE7427"/>
    <w:rsid w:val="00DE788A"/>
    <w:rsid w:val="00DE7A57"/>
    <w:rsid w:val="00DE7DE1"/>
    <w:rsid w:val="00DF0652"/>
    <w:rsid w:val="00DF0ADB"/>
    <w:rsid w:val="00DF0EBD"/>
    <w:rsid w:val="00DF168B"/>
    <w:rsid w:val="00DF1A60"/>
    <w:rsid w:val="00DF2190"/>
    <w:rsid w:val="00DF2687"/>
    <w:rsid w:val="00DF2765"/>
    <w:rsid w:val="00DF276C"/>
    <w:rsid w:val="00DF2BBB"/>
    <w:rsid w:val="00DF318C"/>
    <w:rsid w:val="00DF363A"/>
    <w:rsid w:val="00DF368B"/>
    <w:rsid w:val="00DF36E9"/>
    <w:rsid w:val="00DF3899"/>
    <w:rsid w:val="00DF38DD"/>
    <w:rsid w:val="00DF3B76"/>
    <w:rsid w:val="00DF3E3F"/>
    <w:rsid w:val="00DF4423"/>
    <w:rsid w:val="00DF4786"/>
    <w:rsid w:val="00DF4F6B"/>
    <w:rsid w:val="00DF4F79"/>
    <w:rsid w:val="00DF55D9"/>
    <w:rsid w:val="00DF569F"/>
    <w:rsid w:val="00DF5981"/>
    <w:rsid w:val="00DF59E0"/>
    <w:rsid w:val="00DF5B55"/>
    <w:rsid w:val="00DF5E73"/>
    <w:rsid w:val="00DF611E"/>
    <w:rsid w:val="00DF627F"/>
    <w:rsid w:val="00DF676F"/>
    <w:rsid w:val="00DF6DB0"/>
    <w:rsid w:val="00DF6E1A"/>
    <w:rsid w:val="00DF77A7"/>
    <w:rsid w:val="00DF7D55"/>
    <w:rsid w:val="00DF7F2B"/>
    <w:rsid w:val="00E001A0"/>
    <w:rsid w:val="00E0020C"/>
    <w:rsid w:val="00E005D7"/>
    <w:rsid w:val="00E0099F"/>
    <w:rsid w:val="00E00D72"/>
    <w:rsid w:val="00E00D91"/>
    <w:rsid w:val="00E00EBB"/>
    <w:rsid w:val="00E01181"/>
    <w:rsid w:val="00E01405"/>
    <w:rsid w:val="00E0186E"/>
    <w:rsid w:val="00E021C4"/>
    <w:rsid w:val="00E0267A"/>
    <w:rsid w:val="00E03076"/>
    <w:rsid w:val="00E03679"/>
    <w:rsid w:val="00E03B5F"/>
    <w:rsid w:val="00E0408B"/>
    <w:rsid w:val="00E041B4"/>
    <w:rsid w:val="00E04539"/>
    <w:rsid w:val="00E04746"/>
    <w:rsid w:val="00E048CD"/>
    <w:rsid w:val="00E0495A"/>
    <w:rsid w:val="00E049B3"/>
    <w:rsid w:val="00E04BEF"/>
    <w:rsid w:val="00E04F73"/>
    <w:rsid w:val="00E04F91"/>
    <w:rsid w:val="00E051FB"/>
    <w:rsid w:val="00E0561B"/>
    <w:rsid w:val="00E057E5"/>
    <w:rsid w:val="00E05A55"/>
    <w:rsid w:val="00E06386"/>
    <w:rsid w:val="00E06392"/>
    <w:rsid w:val="00E0658A"/>
    <w:rsid w:val="00E06614"/>
    <w:rsid w:val="00E066ED"/>
    <w:rsid w:val="00E067C5"/>
    <w:rsid w:val="00E06D7D"/>
    <w:rsid w:val="00E072FE"/>
    <w:rsid w:val="00E07542"/>
    <w:rsid w:val="00E0783F"/>
    <w:rsid w:val="00E0792F"/>
    <w:rsid w:val="00E07A69"/>
    <w:rsid w:val="00E07A7E"/>
    <w:rsid w:val="00E07E86"/>
    <w:rsid w:val="00E10375"/>
    <w:rsid w:val="00E104D7"/>
    <w:rsid w:val="00E108C2"/>
    <w:rsid w:val="00E10E34"/>
    <w:rsid w:val="00E1102C"/>
    <w:rsid w:val="00E11176"/>
    <w:rsid w:val="00E1128E"/>
    <w:rsid w:val="00E11384"/>
    <w:rsid w:val="00E11482"/>
    <w:rsid w:val="00E114C1"/>
    <w:rsid w:val="00E114ED"/>
    <w:rsid w:val="00E11543"/>
    <w:rsid w:val="00E11671"/>
    <w:rsid w:val="00E11688"/>
    <w:rsid w:val="00E118CB"/>
    <w:rsid w:val="00E119F9"/>
    <w:rsid w:val="00E11A52"/>
    <w:rsid w:val="00E11EE0"/>
    <w:rsid w:val="00E11FBA"/>
    <w:rsid w:val="00E122A2"/>
    <w:rsid w:val="00E12CCD"/>
    <w:rsid w:val="00E12F37"/>
    <w:rsid w:val="00E12F6F"/>
    <w:rsid w:val="00E13331"/>
    <w:rsid w:val="00E13410"/>
    <w:rsid w:val="00E13764"/>
    <w:rsid w:val="00E1376F"/>
    <w:rsid w:val="00E13974"/>
    <w:rsid w:val="00E13E02"/>
    <w:rsid w:val="00E1432E"/>
    <w:rsid w:val="00E1463E"/>
    <w:rsid w:val="00E1490B"/>
    <w:rsid w:val="00E14BA7"/>
    <w:rsid w:val="00E14BF6"/>
    <w:rsid w:val="00E14C5D"/>
    <w:rsid w:val="00E157F8"/>
    <w:rsid w:val="00E15C25"/>
    <w:rsid w:val="00E15F07"/>
    <w:rsid w:val="00E1608F"/>
    <w:rsid w:val="00E16373"/>
    <w:rsid w:val="00E16B5A"/>
    <w:rsid w:val="00E16F52"/>
    <w:rsid w:val="00E172E4"/>
    <w:rsid w:val="00E1732D"/>
    <w:rsid w:val="00E17906"/>
    <w:rsid w:val="00E17B70"/>
    <w:rsid w:val="00E17C1F"/>
    <w:rsid w:val="00E200F4"/>
    <w:rsid w:val="00E20699"/>
    <w:rsid w:val="00E207BF"/>
    <w:rsid w:val="00E20924"/>
    <w:rsid w:val="00E21238"/>
    <w:rsid w:val="00E21587"/>
    <w:rsid w:val="00E21782"/>
    <w:rsid w:val="00E21B41"/>
    <w:rsid w:val="00E21CCA"/>
    <w:rsid w:val="00E21CFC"/>
    <w:rsid w:val="00E21E5F"/>
    <w:rsid w:val="00E21E88"/>
    <w:rsid w:val="00E21EEA"/>
    <w:rsid w:val="00E2227E"/>
    <w:rsid w:val="00E222BF"/>
    <w:rsid w:val="00E22482"/>
    <w:rsid w:val="00E22AB7"/>
    <w:rsid w:val="00E22BBA"/>
    <w:rsid w:val="00E22D45"/>
    <w:rsid w:val="00E22E89"/>
    <w:rsid w:val="00E22F16"/>
    <w:rsid w:val="00E23044"/>
    <w:rsid w:val="00E231FE"/>
    <w:rsid w:val="00E2331A"/>
    <w:rsid w:val="00E235B1"/>
    <w:rsid w:val="00E235B2"/>
    <w:rsid w:val="00E23758"/>
    <w:rsid w:val="00E23AD0"/>
    <w:rsid w:val="00E23CF4"/>
    <w:rsid w:val="00E23D9C"/>
    <w:rsid w:val="00E2403D"/>
    <w:rsid w:val="00E24312"/>
    <w:rsid w:val="00E247F7"/>
    <w:rsid w:val="00E24969"/>
    <w:rsid w:val="00E24AF5"/>
    <w:rsid w:val="00E2539F"/>
    <w:rsid w:val="00E25808"/>
    <w:rsid w:val="00E25896"/>
    <w:rsid w:val="00E25B68"/>
    <w:rsid w:val="00E25C40"/>
    <w:rsid w:val="00E2625B"/>
    <w:rsid w:val="00E26563"/>
    <w:rsid w:val="00E265FE"/>
    <w:rsid w:val="00E26810"/>
    <w:rsid w:val="00E269B4"/>
    <w:rsid w:val="00E26EEF"/>
    <w:rsid w:val="00E26FD9"/>
    <w:rsid w:val="00E27438"/>
    <w:rsid w:val="00E27455"/>
    <w:rsid w:val="00E275C1"/>
    <w:rsid w:val="00E275FE"/>
    <w:rsid w:val="00E276F4"/>
    <w:rsid w:val="00E2773F"/>
    <w:rsid w:val="00E303F8"/>
    <w:rsid w:val="00E30837"/>
    <w:rsid w:val="00E30977"/>
    <w:rsid w:val="00E30A5D"/>
    <w:rsid w:val="00E30EAF"/>
    <w:rsid w:val="00E30F3B"/>
    <w:rsid w:val="00E31032"/>
    <w:rsid w:val="00E3105D"/>
    <w:rsid w:val="00E3142F"/>
    <w:rsid w:val="00E31674"/>
    <w:rsid w:val="00E31A81"/>
    <w:rsid w:val="00E31A9B"/>
    <w:rsid w:val="00E31C90"/>
    <w:rsid w:val="00E31C92"/>
    <w:rsid w:val="00E31E53"/>
    <w:rsid w:val="00E31FA5"/>
    <w:rsid w:val="00E3209E"/>
    <w:rsid w:val="00E325DC"/>
    <w:rsid w:val="00E325F5"/>
    <w:rsid w:val="00E3283B"/>
    <w:rsid w:val="00E328A5"/>
    <w:rsid w:val="00E32C65"/>
    <w:rsid w:val="00E32FC6"/>
    <w:rsid w:val="00E33004"/>
    <w:rsid w:val="00E33AA5"/>
    <w:rsid w:val="00E33E26"/>
    <w:rsid w:val="00E33E69"/>
    <w:rsid w:val="00E34022"/>
    <w:rsid w:val="00E3427B"/>
    <w:rsid w:val="00E3450F"/>
    <w:rsid w:val="00E3479A"/>
    <w:rsid w:val="00E34A56"/>
    <w:rsid w:val="00E34EB6"/>
    <w:rsid w:val="00E34EF2"/>
    <w:rsid w:val="00E35058"/>
    <w:rsid w:val="00E35B9F"/>
    <w:rsid w:val="00E35BA4"/>
    <w:rsid w:val="00E36268"/>
    <w:rsid w:val="00E36AA0"/>
    <w:rsid w:val="00E36C20"/>
    <w:rsid w:val="00E36D15"/>
    <w:rsid w:val="00E36DFA"/>
    <w:rsid w:val="00E36E32"/>
    <w:rsid w:val="00E37100"/>
    <w:rsid w:val="00E3740E"/>
    <w:rsid w:val="00E377DA"/>
    <w:rsid w:val="00E37A8E"/>
    <w:rsid w:val="00E37B62"/>
    <w:rsid w:val="00E37CF9"/>
    <w:rsid w:val="00E37D84"/>
    <w:rsid w:val="00E40292"/>
    <w:rsid w:val="00E40300"/>
    <w:rsid w:val="00E40497"/>
    <w:rsid w:val="00E404B4"/>
    <w:rsid w:val="00E405CD"/>
    <w:rsid w:val="00E4091F"/>
    <w:rsid w:val="00E409DF"/>
    <w:rsid w:val="00E40CAC"/>
    <w:rsid w:val="00E40F55"/>
    <w:rsid w:val="00E41132"/>
    <w:rsid w:val="00E4122E"/>
    <w:rsid w:val="00E41236"/>
    <w:rsid w:val="00E416E6"/>
    <w:rsid w:val="00E41A5D"/>
    <w:rsid w:val="00E42568"/>
    <w:rsid w:val="00E425BC"/>
    <w:rsid w:val="00E4265A"/>
    <w:rsid w:val="00E4269C"/>
    <w:rsid w:val="00E42D5B"/>
    <w:rsid w:val="00E43021"/>
    <w:rsid w:val="00E4350D"/>
    <w:rsid w:val="00E43580"/>
    <w:rsid w:val="00E43806"/>
    <w:rsid w:val="00E43AB4"/>
    <w:rsid w:val="00E43BE7"/>
    <w:rsid w:val="00E44077"/>
    <w:rsid w:val="00E44092"/>
    <w:rsid w:val="00E44528"/>
    <w:rsid w:val="00E445CB"/>
    <w:rsid w:val="00E44674"/>
    <w:rsid w:val="00E44A1E"/>
    <w:rsid w:val="00E44A26"/>
    <w:rsid w:val="00E44E00"/>
    <w:rsid w:val="00E44E8F"/>
    <w:rsid w:val="00E4505F"/>
    <w:rsid w:val="00E45213"/>
    <w:rsid w:val="00E45373"/>
    <w:rsid w:val="00E453CC"/>
    <w:rsid w:val="00E45680"/>
    <w:rsid w:val="00E45978"/>
    <w:rsid w:val="00E45C64"/>
    <w:rsid w:val="00E46359"/>
    <w:rsid w:val="00E463CB"/>
    <w:rsid w:val="00E4682F"/>
    <w:rsid w:val="00E46D5C"/>
    <w:rsid w:val="00E47146"/>
    <w:rsid w:val="00E47223"/>
    <w:rsid w:val="00E47D30"/>
    <w:rsid w:val="00E50013"/>
    <w:rsid w:val="00E50189"/>
    <w:rsid w:val="00E50307"/>
    <w:rsid w:val="00E5094C"/>
    <w:rsid w:val="00E50A62"/>
    <w:rsid w:val="00E50DF8"/>
    <w:rsid w:val="00E5139C"/>
    <w:rsid w:val="00E51756"/>
    <w:rsid w:val="00E517B6"/>
    <w:rsid w:val="00E5196A"/>
    <w:rsid w:val="00E5199D"/>
    <w:rsid w:val="00E51E35"/>
    <w:rsid w:val="00E523F2"/>
    <w:rsid w:val="00E5244F"/>
    <w:rsid w:val="00E524C4"/>
    <w:rsid w:val="00E52587"/>
    <w:rsid w:val="00E525B3"/>
    <w:rsid w:val="00E52EEB"/>
    <w:rsid w:val="00E52FBD"/>
    <w:rsid w:val="00E537A7"/>
    <w:rsid w:val="00E53A6B"/>
    <w:rsid w:val="00E53A86"/>
    <w:rsid w:val="00E53D33"/>
    <w:rsid w:val="00E53E3B"/>
    <w:rsid w:val="00E53EC9"/>
    <w:rsid w:val="00E53F4A"/>
    <w:rsid w:val="00E542D8"/>
    <w:rsid w:val="00E5453F"/>
    <w:rsid w:val="00E54642"/>
    <w:rsid w:val="00E546CB"/>
    <w:rsid w:val="00E54A78"/>
    <w:rsid w:val="00E54F16"/>
    <w:rsid w:val="00E54FBC"/>
    <w:rsid w:val="00E552A6"/>
    <w:rsid w:val="00E5563F"/>
    <w:rsid w:val="00E55812"/>
    <w:rsid w:val="00E55BC4"/>
    <w:rsid w:val="00E55D9E"/>
    <w:rsid w:val="00E55FE9"/>
    <w:rsid w:val="00E5651A"/>
    <w:rsid w:val="00E56556"/>
    <w:rsid w:val="00E56733"/>
    <w:rsid w:val="00E56BAD"/>
    <w:rsid w:val="00E56F63"/>
    <w:rsid w:val="00E56F75"/>
    <w:rsid w:val="00E573AB"/>
    <w:rsid w:val="00E5740E"/>
    <w:rsid w:val="00E57FF5"/>
    <w:rsid w:val="00E600D4"/>
    <w:rsid w:val="00E6041C"/>
    <w:rsid w:val="00E609E2"/>
    <w:rsid w:val="00E60DA1"/>
    <w:rsid w:val="00E60E0C"/>
    <w:rsid w:val="00E6144C"/>
    <w:rsid w:val="00E6164E"/>
    <w:rsid w:val="00E61691"/>
    <w:rsid w:val="00E617A5"/>
    <w:rsid w:val="00E62094"/>
    <w:rsid w:val="00E62140"/>
    <w:rsid w:val="00E625DB"/>
    <w:rsid w:val="00E626A1"/>
    <w:rsid w:val="00E626AB"/>
    <w:rsid w:val="00E62905"/>
    <w:rsid w:val="00E62B6A"/>
    <w:rsid w:val="00E62BC1"/>
    <w:rsid w:val="00E62BCB"/>
    <w:rsid w:val="00E62DC6"/>
    <w:rsid w:val="00E6340F"/>
    <w:rsid w:val="00E634AB"/>
    <w:rsid w:val="00E645FC"/>
    <w:rsid w:val="00E64BA9"/>
    <w:rsid w:val="00E64C83"/>
    <w:rsid w:val="00E64D81"/>
    <w:rsid w:val="00E64E0A"/>
    <w:rsid w:val="00E6518F"/>
    <w:rsid w:val="00E65251"/>
    <w:rsid w:val="00E65348"/>
    <w:rsid w:val="00E655DC"/>
    <w:rsid w:val="00E65C50"/>
    <w:rsid w:val="00E66271"/>
    <w:rsid w:val="00E663AC"/>
    <w:rsid w:val="00E665C4"/>
    <w:rsid w:val="00E667DC"/>
    <w:rsid w:val="00E66B4A"/>
    <w:rsid w:val="00E66D03"/>
    <w:rsid w:val="00E66E38"/>
    <w:rsid w:val="00E674BE"/>
    <w:rsid w:val="00E6772B"/>
    <w:rsid w:val="00E67760"/>
    <w:rsid w:val="00E677DA"/>
    <w:rsid w:val="00E67A4A"/>
    <w:rsid w:val="00E67CB8"/>
    <w:rsid w:val="00E67DCF"/>
    <w:rsid w:val="00E70628"/>
    <w:rsid w:val="00E70E94"/>
    <w:rsid w:val="00E71032"/>
    <w:rsid w:val="00E71192"/>
    <w:rsid w:val="00E71237"/>
    <w:rsid w:val="00E71641"/>
    <w:rsid w:val="00E71841"/>
    <w:rsid w:val="00E71B45"/>
    <w:rsid w:val="00E72024"/>
    <w:rsid w:val="00E72325"/>
    <w:rsid w:val="00E72C76"/>
    <w:rsid w:val="00E72E64"/>
    <w:rsid w:val="00E72F8D"/>
    <w:rsid w:val="00E73025"/>
    <w:rsid w:val="00E732AE"/>
    <w:rsid w:val="00E73C56"/>
    <w:rsid w:val="00E73FF8"/>
    <w:rsid w:val="00E742F6"/>
    <w:rsid w:val="00E7431D"/>
    <w:rsid w:val="00E7443F"/>
    <w:rsid w:val="00E746B5"/>
    <w:rsid w:val="00E74921"/>
    <w:rsid w:val="00E74B87"/>
    <w:rsid w:val="00E74CC7"/>
    <w:rsid w:val="00E74D07"/>
    <w:rsid w:val="00E74EFC"/>
    <w:rsid w:val="00E75123"/>
    <w:rsid w:val="00E751BA"/>
    <w:rsid w:val="00E75353"/>
    <w:rsid w:val="00E75A6B"/>
    <w:rsid w:val="00E76440"/>
    <w:rsid w:val="00E76448"/>
    <w:rsid w:val="00E76505"/>
    <w:rsid w:val="00E77701"/>
    <w:rsid w:val="00E77B49"/>
    <w:rsid w:val="00E77CEF"/>
    <w:rsid w:val="00E77E81"/>
    <w:rsid w:val="00E80236"/>
    <w:rsid w:val="00E805BA"/>
    <w:rsid w:val="00E80732"/>
    <w:rsid w:val="00E80792"/>
    <w:rsid w:val="00E80D78"/>
    <w:rsid w:val="00E81399"/>
    <w:rsid w:val="00E81689"/>
    <w:rsid w:val="00E817A4"/>
    <w:rsid w:val="00E81B2E"/>
    <w:rsid w:val="00E81E7E"/>
    <w:rsid w:val="00E823D3"/>
    <w:rsid w:val="00E8268B"/>
    <w:rsid w:val="00E826C3"/>
    <w:rsid w:val="00E828C8"/>
    <w:rsid w:val="00E828D5"/>
    <w:rsid w:val="00E82982"/>
    <w:rsid w:val="00E82FB5"/>
    <w:rsid w:val="00E83120"/>
    <w:rsid w:val="00E8398B"/>
    <w:rsid w:val="00E83FC0"/>
    <w:rsid w:val="00E848BE"/>
    <w:rsid w:val="00E848CE"/>
    <w:rsid w:val="00E84908"/>
    <w:rsid w:val="00E84998"/>
    <w:rsid w:val="00E84DC8"/>
    <w:rsid w:val="00E84E38"/>
    <w:rsid w:val="00E852C3"/>
    <w:rsid w:val="00E856E4"/>
    <w:rsid w:val="00E858A0"/>
    <w:rsid w:val="00E85B14"/>
    <w:rsid w:val="00E85B45"/>
    <w:rsid w:val="00E85BFC"/>
    <w:rsid w:val="00E85E48"/>
    <w:rsid w:val="00E85F7B"/>
    <w:rsid w:val="00E86052"/>
    <w:rsid w:val="00E86487"/>
    <w:rsid w:val="00E865F2"/>
    <w:rsid w:val="00E86995"/>
    <w:rsid w:val="00E869F9"/>
    <w:rsid w:val="00E86A8F"/>
    <w:rsid w:val="00E86AF1"/>
    <w:rsid w:val="00E86CEB"/>
    <w:rsid w:val="00E86ECE"/>
    <w:rsid w:val="00E86FF5"/>
    <w:rsid w:val="00E8704B"/>
    <w:rsid w:val="00E872D9"/>
    <w:rsid w:val="00E876C0"/>
    <w:rsid w:val="00E87751"/>
    <w:rsid w:val="00E87A31"/>
    <w:rsid w:val="00E90405"/>
    <w:rsid w:val="00E904D3"/>
    <w:rsid w:val="00E9073E"/>
    <w:rsid w:val="00E907D9"/>
    <w:rsid w:val="00E912D2"/>
    <w:rsid w:val="00E915F1"/>
    <w:rsid w:val="00E91922"/>
    <w:rsid w:val="00E91D27"/>
    <w:rsid w:val="00E9211A"/>
    <w:rsid w:val="00E92269"/>
    <w:rsid w:val="00E9231F"/>
    <w:rsid w:val="00E92656"/>
    <w:rsid w:val="00E9268A"/>
    <w:rsid w:val="00E930B0"/>
    <w:rsid w:val="00E93715"/>
    <w:rsid w:val="00E93738"/>
    <w:rsid w:val="00E93823"/>
    <w:rsid w:val="00E93A06"/>
    <w:rsid w:val="00E93AFA"/>
    <w:rsid w:val="00E93EA5"/>
    <w:rsid w:val="00E93F1A"/>
    <w:rsid w:val="00E94176"/>
    <w:rsid w:val="00E944D2"/>
    <w:rsid w:val="00E9452D"/>
    <w:rsid w:val="00E948D2"/>
    <w:rsid w:val="00E94C30"/>
    <w:rsid w:val="00E94D63"/>
    <w:rsid w:val="00E94FC8"/>
    <w:rsid w:val="00E95440"/>
    <w:rsid w:val="00E95797"/>
    <w:rsid w:val="00E95C7E"/>
    <w:rsid w:val="00E95D1D"/>
    <w:rsid w:val="00E9650C"/>
    <w:rsid w:val="00E965ED"/>
    <w:rsid w:val="00E96B60"/>
    <w:rsid w:val="00E96C36"/>
    <w:rsid w:val="00E96CEB"/>
    <w:rsid w:val="00E973A8"/>
    <w:rsid w:val="00E9782A"/>
    <w:rsid w:val="00E9792B"/>
    <w:rsid w:val="00E9795F"/>
    <w:rsid w:val="00E9798D"/>
    <w:rsid w:val="00E97C13"/>
    <w:rsid w:val="00E97C9D"/>
    <w:rsid w:val="00E97E65"/>
    <w:rsid w:val="00E97F3D"/>
    <w:rsid w:val="00EA0765"/>
    <w:rsid w:val="00EA07FF"/>
    <w:rsid w:val="00EA0B56"/>
    <w:rsid w:val="00EA0C32"/>
    <w:rsid w:val="00EA0D73"/>
    <w:rsid w:val="00EA0DA2"/>
    <w:rsid w:val="00EA0E41"/>
    <w:rsid w:val="00EA0F07"/>
    <w:rsid w:val="00EA1670"/>
    <w:rsid w:val="00EA1C55"/>
    <w:rsid w:val="00EA1C92"/>
    <w:rsid w:val="00EA1F2A"/>
    <w:rsid w:val="00EA2268"/>
    <w:rsid w:val="00EA2280"/>
    <w:rsid w:val="00EA2287"/>
    <w:rsid w:val="00EA2407"/>
    <w:rsid w:val="00EA28C8"/>
    <w:rsid w:val="00EA2900"/>
    <w:rsid w:val="00EA29DE"/>
    <w:rsid w:val="00EA2ABB"/>
    <w:rsid w:val="00EA3309"/>
    <w:rsid w:val="00EA33A3"/>
    <w:rsid w:val="00EA35A7"/>
    <w:rsid w:val="00EA35AE"/>
    <w:rsid w:val="00EA3A99"/>
    <w:rsid w:val="00EA3D4F"/>
    <w:rsid w:val="00EA4961"/>
    <w:rsid w:val="00EA5036"/>
    <w:rsid w:val="00EA520D"/>
    <w:rsid w:val="00EA5375"/>
    <w:rsid w:val="00EA54E9"/>
    <w:rsid w:val="00EA5959"/>
    <w:rsid w:val="00EA5CA9"/>
    <w:rsid w:val="00EA5E24"/>
    <w:rsid w:val="00EA5EA2"/>
    <w:rsid w:val="00EA6ADB"/>
    <w:rsid w:val="00EA6C4F"/>
    <w:rsid w:val="00EA6EF0"/>
    <w:rsid w:val="00EA7042"/>
    <w:rsid w:val="00EA7477"/>
    <w:rsid w:val="00EA7937"/>
    <w:rsid w:val="00EA7E0D"/>
    <w:rsid w:val="00EA7E2F"/>
    <w:rsid w:val="00EB0479"/>
    <w:rsid w:val="00EB0810"/>
    <w:rsid w:val="00EB0BE8"/>
    <w:rsid w:val="00EB1034"/>
    <w:rsid w:val="00EB1F3A"/>
    <w:rsid w:val="00EB2284"/>
    <w:rsid w:val="00EB2415"/>
    <w:rsid w:val="00EB2421"/>
    <w:rsid w:val="00EB26D2"/>
    <w:rsid w:val="00EB28B2"/>
    <w:rsid w:val="00EB2A1B"/>
    <w:rsid w:val="00EB2C08"/>
    <w:rsid w:val="00EB2ED7"/>
    <w:rsid w:val="00EB33BA"/>
    <w:rsid w:val="00EB3813"/>
    <w:rsid w:val="00EB3918"/>
    <w:rsid w:val="00EB3A65"/>
    <w:rsid w:val="00EB3F47"/>
    <w:rsid w:val="00EB3F56"/>
    <w:rsid w:val="00EB3F6C"/>
    <w:rsid w:val="00EB4310"/>
    <w:rsid w:val="00EB48A8"/>
    <w:rsid w:val="00EB4A7A"/>
    <w:rsid w:val="00EB513C"/>
    <w:rsid w:val="00EB517E"/>
    <w:rsid w:val="00EB521C"/>
    <w:rsid w:val="00EB5331"/>
    <w:rsid w:val="00EB5402"/>
    <w:rsid w:val="00EB585A"/>
    <w:rsid w:val="00EB5A71"/>
    <w:rsid w:val="00EB5E63"/>
    <w:rsid w:val="00EB6196"/>
    <w:rsid w:val="00EB6634"/>
    <w:rsid w:val="00EB679F"/>
    <w:rsid w:val="00EB6A2E"/>
    <w:rsid w:val="00EB6B12"/>
    <w:rsid w:val="00EB6E63"/>
    <w:rsid w:val="00EB6F53"/>
    <w:rsid w:val="00EB766E"/>
    <w:rsid w:val="00EB7747"/>
    <w:rsid w:val="00EB7DE3"/>
    <w:rsid w:val="00EB7E76"/>
    <w:rsid w:val="00EB7F26"/>
    <w:rsid w:val="00EC0158"/>
    <w:rsid w:val="00EC0240"/>
    <w:rsid w:val="00EC039C"/>
    <w:rsid w:val="00EC04F0"/>
    <w:rsid w:val="00EC079E"/>
    <w:rsid w:val="00EC0AB2"/>
    <w:rsid w:val="00EC0D15"/>
    <w:rsid w:val="00EC13C7"/>
    <w:rsid w:val="00EC1ACF"/>
    <w:rsid w:val="00EC1B13"/>
    <w:rsid w:val="00EC1B6C"/>
    <w:rsid w:val="00EC1D40"/>
    <w:rsid w:val="00EC1D9C"/>
    <w:rsid w:val="00EC1FD8"/>
    <w:rsid w:val="00EC20E7"/>
    <w:rsid w:val="00EC2210"/>
    <w:rsid w:val="00EC24D4"/>
    <w:rsid w:val="00EC29DE"/>
    <w:rsid w:val="00EC2CEE"/>
    <w:rsid w:val="00EC2D2B"/>
    <w:rsid w:val="00EC2F70"/>
    <w:rsid w:val="00EC3221"/>
    <w:rsid w:val="00EC44FA"/>
    <w:rsid w:val="00EC4737"/>
    <w:rsid w:val="00EC47B4"/>
    <w:rsid w:val="00EC480A"/>
    <w:rsid w:val="00EC498D"/>
    <w:rsid w:val="00EC49E6"/>
    <w:rsid w:val="00EC4B69"/>
    <w:rsid w:val="00EC4DAB"/>
    <w:rsid w:val="00EC506E"/>
    <w:rsid w:val="00EC51D8"/>
    <w:rsid w:val="00EC521E"/>
    <w:rsid w:val="00EC5630"/>
    <w:rsid w:val="00EC5A51"/>
    <w:rsid w:val="00EC5A96"/>
    <w:rsid w:val="00EC5C8C"/>
    <w:rsid w:val="00EC5FC1"/>
    <w:rsid w:val="00EC6159"/>
    <w:rsid w:val="00EC6301"/>
    <w:rsid w:val="00EC67AB"/>
    <w:rsid w:val="00EC67CC"/>
    <w:rsid w:val="00EC687F"/>
    <w:rsid w:val="00EC690E"/>
    <w:rsid w:val="00EC7058"/>
    <w:rsid w:val="00EC7322"/>
    <w:rsid w:val="00EC7476"/>
    <w:rsid w:val="00EC7671"/>
    <w:rsid w:val="00EC767C"/>
    <w:rsid w:val="00EC779F"/>
    <w:rsid w:val="00EC7BC2"/>
    <w:rsid w:val="00ED041D"/>
    <w:rsid w:val="00ED0653"/>
    <w:rsid w:val="00ED0C85"/>
    <w:rsid w:val="00ED0FFE"/>
    <w:rsid w:val="00ED1025"/>
    <w:rsid w:val="00ED1125"/>
    <w:rsid w:val="00ED12B8"/>
    <w:rsid w:val="00ED1692"/>
    <w:rsid w:val="00ED16CF"/>
    <w:rsid w:val="00ED1799"/>
    <w:rsid w:val="00ED1B16"/>
    <w:rsid w:val="00ED1BDD"/>
    <w:rsid w:val="00ED1D06"/>
    <w:rsid w:val="00ED21FB"/>
    <w:rsid w:val="00ED26CA"/>
    <w:rsid w:val="00ED27CE"/>
    <w:rsid w:val="00ED2B5A"/>
    <w:rsid w:val="00ED2F85"/>
    <w:rsid w:val="00ED3324"/>
    <w:rsid w:val="00ED36F0"/>
    <w:rsid w:val="00ED3753"/>
    <w:rsid w:val="00ED4320"/>
    <w:rsid w:val="00ED4660"/>
    <w:rsid w:val="00ED4909"/>
    <w:rsid w:val="00ED492E"/>
    <w:rsid w:val="00ED4A5B"/>
    <w:rsid w:val="00ED4D56"/>
    <w:rsid w:val="00ED56DC"/>
    <w:rsid w:val="00ED56ED"/>
    <w:rsid w:val="00ED57AA"/>
    <w:rsid w:val="00ED59AC"/>
    <w:rsid w:val="00ED5B3D"/>
    <w:rsid w:val="00ED69F2"/>
    <w:rsid w:val="00ED6A5E"/>
    <w:rsid w:val="00ED6D36"/>
    <w:rsid w:val="00ED6DAF"/>
    <w:rsid w:val="00ED705A"/>
    <w:rsid w:val="00ED71F6"/>
    <w:rsid w:val="00ED74FD"/>
    <w:rsid w:val="00ED762D"/>
    <w:rsid w:val="00ED76DF"/>
    <w:rsid w:val="00ED77E1"/>
    <w:rsid w:val="00ED7876"/>
    <w:rsid w:val="00ED7E5F"/>
    <w:rsid w:val="00ED7FC8"/>
    <w:rsid w:val="00EE03A5"/>
    <w:rsid w:val="00EE03DD"/>
    <w:rsid w:val="00EE05F1"/>
    <w:rsid w:val="00EE07CA"/>
    <w:rsid w:val="00EE0CB0"/>
    <w:rsid w:val="00EE10CE"/>
    <w:rsid w:val="00EE1301"/>
    <w:rsid w:val="00EE15D2"/>
    <w:rsid w:val="00EE18A1"/>
    <w:rsid w:val="00EE19B8"/>
    <w:rsid w:val="00EE1A9B"/>
    <w:rsid w:val="00EE1ADC"/>
    <w:rsid w:val="00EE1EED"/>
    <w:rsid w:val="00EE2184"/>
    <w:rsid w:val="00EE2A0A"/>
    <w:rsid w:val="00EE2C2C"/>
    <w:rsid w:val="00EE2EA0"/>
    <w:rsid w:val="00EE304D"/>
    <w:rsid w:val="00EE34EA"/>
    <w:rsid w:val="00EE372D"/>
    <w:rsid w:val="00EE39E1"/>
    <w:rsid w:val="00EE3B30"/>
    <w:rsid w:val="00EE3B99"/>
    <w:rsid w:val="00EE4526"/>
    <w:rsid w:val="00EE4873"/>
    <w:rsid w:val="00EE48B2"/>
    <w:rsid w:val="00EE48C2"/>
    <w:rsid w:val="00EE4D5A"/>
    <w:rsid w:val="00EE4D9D"/>
    <w:rsid w:val="00EE4DEB"/>
    <w:rsid w:val="00EE527F"/>
    <w:rsid w:val="00EE589F"/>
    <w:rsid w:val="00EE59FE"/>
    <w:rsid w:val="00EE5F93"/>
    <w:rsid w:val="00EE60E1"/>
    <w:rsid w:val="00EE63A2"/>
    <w:rsid w:val="00EE640A"/>
    <w:rsid w:val="00EE6586"/>
    <w:rsid w:val="00EE66F1"/>
    <w:rsid w:val="00EE723A"/>
    <w:rsid w:val="00EE74C3"/>
    <w:rsid w:val="00EE79EC"/>
    <w:rsid w:val="00EE7C2C"/>
    <w:rsid w:val="00EE7FC9"/>
    <w:rsid w:val="00EF00C7"/>
    <w:rsid w:val="00EF0685"/>
    <w:rsid w:val="00EF0826"/>
    <w:rsid w:val="00EF095E"/>
    <w:rsid w:val="00EF09AE"/>
    <w:rsid w:val="00EF0A73"/>
    <w:rsid w:val="00EF0AD8"/>
    <w:rsid w:val="00EF1054"/>
    <w:rsid w:val="00EF188E"/>
    <w:rsid w:val="00EF1CC0"/>
    <w:rsid w:val="00EF1CE4"/>
    <w:rsid w:val="00EF26F2"/>
    <w:rsid w:val="00EF29B3"/>
    <w:rsid w:val="00EF2EE8"/>
    <w:rsid w:val="00EF301E"/>
    <w:rsid w:val="00EF3A28"/>
    <w:rsid w:val="00EF3AD6"/>
    <w:rsid w:val="00EF3C80"/>
    <w:rsid w:val="00EF3DBB"/>
    <w:rsid w:val="00EF3F81"/>
    <w:rsid w:val="00EF403E"/>
    <w:rsid w:val="00EF4733"/>
    <w:rsid w:val="00EF4840"/>
    <w:rsid w:val="00EF484D"/>
    <w:rsid w:val="00EF4A2E"/>
    <w:rsid w:val="00EF4A4C"/>
    <w:rsid w:val="00EF5547"/>
    <w:rsid w:val="00EF555E"/>
    <w:rsid w:val="00EF560B"/>
    <w:rsid w:val="00EF58FB"/>
    <w:rsid w:val="00EF5A6E"/>
    <w:rsid w:val="00EF5B91"/>
    <w:rsid w:val="00EF5DC5"/>
    <w:rsid w:val="00EF5DD5"/>
    <w:rsid w:val="00EF5E74"/>
    <w:rsid w:val="00EF6120"/>
    <w:rsid w:val="00EF6820"/>
    <w:rsid w:val="00EF68F3"/>
    <w:rsid w:val="00EF6B66"/>
    <w:rsid w:val="00EF6E3C"/>
    <w:rsid w:val="00EF74A3"/>
    <w:rsid w:val="00EF78CA"/>
    <w:rsid w:val="00EF7E62"/>
    <w:rsid w:val="00F00093"/>
    <w:rsid w:val="00F00126"/>
    <w:rsid w:val="00F00373"/>
    <w:rsid w:val="00F00390"/>
    <w:rsid w:val="00F01196"/>
    <w:rsid w:val="00F01502"/>
    <w:rsid w:val="00F0156F"/>
    <w:rsid w:val="00F017A5"/>
    <w:rsid w:val="00F01C1B"/>
    <w:rsid w:val="00F01EE2"/>
    <w:rsid w:val="00F027B7"/>
    <w:rsid w:val="00F02953"/>
    <w:rsid w:val="00F02C14"/>
    <w:rsid w:val="00F02DA0"/>
    <w:rsid w:val="00F02E0D"/>
    <w:rsid w:val="00F03854"/>
    <w:rsid w:val="00F03C59"/>
    <w:rsid w:val="00F04260"/>
    <w:rsid w:val="00F04513"/>
    <w:rsid w:val="00F0459C"/>
    <w:rsid w:val="00F045C9"/>
    <w:rsid w:val="00F046DE"/>
    <w:rsid w:val="00F04C06"/>
    <w:rsid w:val="00F04E17"/>
    <w:rsid w:val="00F058C3"/>
    <w:rsid w:val="00F05B37"/>
    <w:rsid w:val="00F05E6D"/>
    <w:rsid w:val="00F05EDA"/>
    <w:rsid w:val="00F05FF8"/>
    <w:rsid w:val="00F0600E"/>
    <w:rsid w:val="00F061F8"/>
    <w:rsid w:val="00F06A19"/>
    <w:rsid w:val="00F06A79"/>
    <w:rsid w:val="00F06AA4"/>
    <w:rsid w:val="00F07A31"/>
    <w:rsid w:val="00F07D2D"/>
    <w:rsid w:val="00F106C9"/>
    <w:rsid w:val="00F10996"/>
    <w:rsid w:val="00F11274"/>
    <w:rsid w:val="00F116AF"/>
    <w:rsid w:val="00F11741"/>
    <w:rsid w:val="00F1179D"/>
    <w:rsid w:val="00F11A86"/>
    <w:rsid w:val="00F11D0A"/>
    <w:rsid w:val="00F11FC8"/>
    <w:rsid w:val="00F122A2"/>
    <w:rsid w:val="00F12781"/>
    <w:rsid w:val="00F131EB"/>
    <w:rsid w:val="00F135F8"/>
    <w:rsid w:val="00F13903"/>
    <w:rsid w:val="00F139E0"/>
    <w:rsid w:val="00F13E9A"/>
    <w:rsid w:val="00F1441A"/>
    <w:rsid w:val="00F14488"/>
    <w:rsid w:val="00F14496"/>
    <w:rsid w:val="00F14883"/>
    <w:rsid w:val="00F14F24"/>
    <w:rsid w:val="00F14FC4"/>
    <w:rsid w:val="00F15AC7"/>
    <w:rsid w:val="00F162C6"/>
    <w:rsid w:val="00F16A8C"/>
    <w:rsid w:val="00F16B2E"/>
    <w:rsid w:val="00F16D4A"/>
    <w:rsid w:val="00F16DEA"/>
    <w:rsid w:val="00F171DD"/>
    <w:rsid w:val="00F17342"/>
    <w:rsid w:val="00F175E9"/>
    <w:rsid w:val="00F17EAA"/>
    <w:rsid w:val="00F201E7"/>
    <w:rsid w:val="00F2022C"/>
    <w:rsid w:val="00F2041C"/>
    <w:rsid w:val="00F20503"/>
    <w:rsid w:val="00F20EB1"/>
    <w:rsid w:val="00F20F85"/>
    <w:rsid w:val="00F210D6"/>
    <w:rsid w:val="00F21203"/>
    <w:rsid w:val="00F214D1"/>
    <w:rsid w:val="00F21912"/>
    <w:rsid w:val="00F21DE0"/>
    <w:rsid w:val="00F21FC1"/>
    <w:rsid w:val="00F222A8"/>
    <w:rsid w:val="00F2259A"/>
    <w:rsid w:val="00F2287E"/>
    <w:rsid w:val="00F22A1F"/>
    <w:rsid w:val="00F22AD6"/>
    <w:rsid w:val="00F22D48"/>
    <w:rsid w:val="00F2310A"/>
    <w:rsid w:val="00F2374E"/>
    <w:rsid w:val="00F23751"/>
    <w:rsid w:val="00F237AF"/>
    <w:rsid w:val="00F23C8B"/>
    <w:rsid w:val="00F241EF"/>
    <w:rsid w:val="00F242F5"/>
    <w:rsid w:val="00F244E4"/>
    <w:rsid w:val="00F24ADB"/>
    <w:rsid w:val="00F24BC3"/>
    <w:rsid w:val="00F24F4A"/>
    <w:rsid w:val="00F25245"/>
    <w:rsid w:val="00F25811"/>
    <w:rsid w:val="00F25846"/>
    <w:rsid w:val="00F2585D"/>
    <w:rsid w:val="00F25AFC"/>
    <w:rsid w:val="00F25DAB"/>
    <w:rsid w:val="00F260EB"/>
    <w:rsid w:val="00F2614E"/>
    <w:rsid w:val="00F261F0"/>
    <w:rsid w:val="00F264E3"/>
    <w:rsid w:val="00F265CA"/>
    <w:rsid w:val="00F26857"/>
    <w:rsid w:val="00F2699A"/>
    <w:rsid w:val="00F26A8D"/>
    <w:rsid w:val="00F26C50"/>
    <w:rsid w:val="00F27048"/>
    <w:rsid w:val="00F27255"/>
    <w:rsid w:val="00F27EF8"/>
    <w:rsid w:val="00F27F32"/>
    <w:rsid w:val="00F307BC"/>
    <w:rsid w:val="00F313AC"/>
    <w:rsid w:val="00F31567"/>
    <w:rsid w:val="00F3156E"/>
    <w:rsid w:val="00F319D1"/>
    <w:rsid w:val="00F31ACA"/>
    <w:rsid w:val="00F3274D"/>
    <w:rsid w:val="00F32A9D"/>
    <w:rsid w:val="00F32BD1"/>
    <w:rsid w:val="00F32BDA"/>
    <w:rsid w:val="00F32C95"/>
    <w:rsid w:val="00F32D67"/>
    <w:rsid w:val="00F3331E"/>
    <w:rsid w:val="00F33548"/>
    <w:rsid w:val="00F33622"/>
    <w:rsid w:val="00F33815"/>
    <w:rsid w:val="00F3388A"/>
    <w:rsid w:val="00F33B0C"/>
    <w:rsid w:val="00F33EF4"/>
    <w:rsid w:val="00F34033"/>
    <w:rsid w:val="00F34050"/>
    <w:rsid w:val="00F34082"/>
    <w:rsid w:val="00F3415A"/>
    <w:rsid w:val="00F341F4"/>
    <w:rsid w:val="00F342A7"/>
    <w:rsid w:val="00F343A4"/>
    <w:rsid w:val="00F343D9"/>
    <w:rsid w:val="00F34931"/>
    <w:rsid w:val="00F34988"/>
    <w:rsid w:val="00F34BEA"/>
    <w:rsid w:val="00F34D6F"/>
    <w:rsid w:val="00F34E84"/>
    <w:rsid w:val="00F357F0"/>
    <w:rsid w:val="00F3593F"/>
    <w:rsid w:val="00F35CCA"/>
    <w:rsid w:val="00F360D5"/>
    <w:rsid w:val="00F360FD"/>
    <w:rsid w:val="00F3628E"/>
    <w:rsid w:val="00F36CB5"/>
    <w:rsid w:val="00F36D54"/>
    <w:rsid w:val="00F36E73"/>
    <w:rsid w:val="00F36EA7"/>
    <w:rsid w:val="00F37377"/>
    <w:rsid w:val="00F374C4"/>
    <w:rsid w:val="00F3799F"/>
    <w:rsid w:val="00F37DD2"/>
    <w:rsid w:val="00F4017B"/>
    <w:rsid w:val="00F40499"/>
    <w:rsid w:val="00F404F0"/>
    <w:rsid w:val="00F406DE"/>
    <w:rsid w:val="00F40766"/>
    <w:rsid w:val="00F40B63"/>
    <w:rsid w:val="00F40BE9"/>
    <w:rsid w:val="00F40C27"/>
    <w:rsid w:val="00F4119D"/>
    <w:rsid w:val="00F411E1"/>
    <w:rsid w:val="00F41285"/>
    <w:rsid w:val="00F4152D"/>
    <w:rsid w:val="00F4176E"/>
    <w:rsid w:val="00F41A85"/>
    <w:rsid w:val="00F41FEA"/>
    <w:rsid w:val="00F4249C"/>
    <w:rsid w:val="00F42574"/>
    <w:rsid w:val="00F4266F"/>
    <w:rsid w:val="00F42C46"/>
    <w:rsid w:val="00F42E62"/>
    <w:rsid w:val="00F42FD6"/>
    <w:rsid w:val="00F42FE2"/>
    <w:rsid w:val="00F433F8"/>
    <w:rsid w:val="00F43C18"/>
    <w:rsid w:val="00F440C8"/>
    <w:rsid w:val="00F441B0"/>
    <w:rsid w:val="00F4420D"/>
    <w:rsid w:val="00F44741"/>
    <w:rsid w:val="00F44AEB"/>
    <w:rsid w:val="00F45011"/>
    <w:rsid w:val="00F450B4"/>
    <w:rsid w:val="00F45565"/>
    <w:rsid w:val="00F457FA"/>
    <w:rsid w:val="00F45AE2"/>
    <w:rsid w:val="00F4631C"/>
    <w:rsid w:val="00F46625"/>
    <w:rsid w:val="00F468B8"/>
    <w:rsid w:val="00F4770B"/>
    <w:rsid w:val="00F47957"/>
    <w:rsid w:val="00F47A16"/>
    <w:rsid w:val="00F47B89"/>
    <w:rsid w:val="00F47F97"/>
    <w:rsid w:val="00F5071C"/>
    <w:rsid w:val="00F509CC"/>
    <w:rsid w:val="00F50D72"/>
    <w:rsid w:val="00F50FCA"/>
    <w:rsid w:val="00F5123B"/>
    <w:rsid w:val="00F5138A"/>
    <w:rsid w:val="00F5146F"/>
    <w:rsid w:val="00F51553"/>
    <w:rsid w:val="00F5180F"/>
    <w:rsid w:val="00F51A9F"/>
    <w:rsid w:val="00F51E63"/>
    <w:rsid w:val="00F51FAF"/>
    <w:rsid w:val="00F525D2"/>
    <w:rsid w:val="00F52668"/>
    <w:rsid w:val="00F52D3B"/>
    <w:rsid w:val="00F52F86"/>
    <w:rsid w:val="00F53409"/>
    <w:rsid w:val="00F53476"/>
    <w:rsid w:val="00F5358F"/>
    <w:rsid w:val="00F53A15"/>
    <w:rsid w:val="00F53C38"/>
    <w:rsid w:val="00F53CB2"/>
    <w:rsid w:val="00F53F07"/>
    <w:rsid w:val="00F53F72"/>
    <w:rsid w:val="00F54194"/>
    <w:rsid w:val="00F54673"/>
    <w:rsid w:val="00F55025"/>
    <w:rsid w:val="00F55701"/>
    <w:rsid w:val="00F5610B"/>
    <w:rsid w:val="00F561AA"/>
    <w:rsid w:val="00F56318"/>
    <w:rsid w:val="00F56565"/>
    <w:rsid w:val="00F568C7"/>
    <w:rsid w:val="00F56912"/>
    <w:rsid w:val="00F5723E"/>
    <w:rsid w:val="00F572EB"/>
    <w:rsid w:val="00F57546"/>
    <w:rsid w:val="00F577A5"/>
    <w:rsid w:val="00F57AA0"/>
    <w:rsid w:val="00F57F50"/>
    <w:rsid w:val="00F57F91"/>
    <w:rsid w:val="00F60596"/>
    <w:rsid w:val="00F60B0B"/>
    <w:rsid w:val="00F60EA6"/>
    <w:rsid w:val="00F61481"/>
    <w:rsid w:val="00F61554"/>
    <w:rsid w:val="00F617A5"/>
    <w:rsid w:val="00F6191B"/>
    <w:rsid w:val="00F61C8B"/>
    <w:rsid w:val="00F61F96"/>
    <w:rsid w:val="00F625ED"/>
    <w:rsid w:val="00F629BB"/>
    <w:rsid w:val="00F63030"/>
    <w:rsid w:val="00F63267"/>
    <w:rsid w:val="00F6351D"/>
    <w:rsid w:val="00F63BD2"/>
    <w:rsid w:val="00F63F8D"/>
    <w:rsid w:val="00F642AF"/>
    <w:rsid w:val="00F6481B"/>
    <w:rsid w:val="00F654C4"/>
    <w:rsid w:val="00F655BA"/>
    <w:rsid w:val="00F65679"/>
    <w:rsid w:val="00F656F3"/>
    <w:rsid w:val="00F65933"/>
    <w:rsid w:val="00F65A96"/>
    <w:rsid w:val="00F65C7C"/>
    <w:rsid w:val="00F66106"/>
    <w:rsid w:val="00F664FF"/>
    <w:rsid w:val="00F665CB"/>
    <w:rsid w:val="00F667AA"/>
    <w:rsid w:val="00F6684F"/>
    <w:rsid w:val="00F66BF4"/>
    <w:rsid w:val="00F67049"/>
    <w:rsid w:val="00F671BB"/>
    <w:rsid w:val="00F67880"/>
    <w:rsid w:val="00F6795E"/>
    <w:rsid w:val="00F67E27"/>
    <w:rsid w:val="00F67FCF"/>
    <w:rsid w:val="00F70249"/>
    <w:rsid w:val="00F7064C"/>
    <w:rsid w:val="00F70709"/>
    <w:rsid w:val="00F71005"/>
    <w:rsid w:val="00F71180"/>
    <w:rsid w:val="00F71711"/>
    <w:rsid w:val="00F71C2E"/>
    <w:rsid w:val="00F72704"/>
    <w:rsid w:val="00F72C6A"/>
    <w:rsid w:val="00F72F3E"/>
    <w:rsid w:val="00F73382"/>
    <w:rsid w:val="00F737CF"/>
    <w:rsid w:val="00F741CC"/>
    <w:rsid w:val="00F745CA"/>
    <w:rsid w:val="00F747EE"/>
    <w:rsid w:val="00F7499E"/>
    <w:rsid w:val="00F74A89"/>
    <w:rsid w:val="00F74D15"/>
    <w:rsid w:val="00F74F0F"/>
    <w:rsid w:val="00F751C6"/>
    <w:rsid w:val="00F754D4"/>
    <w:rsid w:val="00F75509"/>
    <w:rsid w:val="00F75752"/>
    <w:rsid w:val="00F757B7"/>
    <w:rsid w:val="00F758C3"/>
    <w:rsid w:val="00F7595B"/>
    <w:rsid w:val="00F760A1"/>
    <w:rsid w:val="00F760A4"/>
    <w:rsid w:val="00F76615"/>
    <w:rsid w:val="00F76998"/>
    <w:rsid w:val="00F769AC"/>
    <w:rsid w:val="00F76B30"/>
    <w:rsid w:val="00F77108"/>
    <w:rsid w:val="00F77274"/>
    <w:rsid w:val="00F772AB"/>
    <w:rsid w:val="00F774E4"/>
    <w:rsid w:val="00F77BE0"/>
    <w:rsid w:val="00F77E28"/>
    <w:rsid w:val="00F8028D"/>
    <w:rsid w:val="00F80291"/>
    <w:rsid w:val="00F80563"/>
    <w:rsid w:val="00F8100D"/>
    <w:rsid w:val="00F81141"/>
    <w:rsid w:val="00F811A6"/>
    <w:rsid w:val="00F81418"/>
    <w:rsid w:val="00F81479"/>
    <w:rsid w:val="00F817FD"/>
    <w:rsid w:val="00F81A7C"/>
    <w:rsid w:val="00F81C66"/>
    <w:rsid w:val="00F81FE5"/>
    <w:rsid w:val="00F82237"/>
    <w:rsid w:val="00F82289"/>
    <w:rsid w:val="00F823EF"/>
    <w:rsid w:val="00F82588"/>
    <w:rsid w:val="00F826FA"/>
    <w:rsid w:val="00F82763"/>
    <w:rsid w:val="00F82853"/>
    <w:rsid w:val="00F82909"/>
    <w:rsid w:val="00F82B9F"/>
    <w:rsid w:val="00F82C14"/>
    <w:rsid w:val="00F82D20"/>
    <w:rsid w:val="00F832F6"/>
    <w:rsid w:val="00F83673"/>
    <w:rsid w:val="00F839E3"/>
    <w:rsid w:val="00F83B23"/>
    <w:rsid w:val="00F83B74"/>
    <w:rsid w:val="00F83D0A"/>
    <w:rsid w:val="00F83EF9"/>
    <w:rsid w:val="00F84018"/>
    <w:rsid w:val="00F840F0"/>
    <w:rsid w:val="00F84200"/>
    <w:rsid w:val="00F84260"/>
    <w:rsid w:val="00F844EC"/>
    <w:rsid w:val="00F84537"/>
    <w:rsid w:val="00F84781"/>
    <w:rsid w:val="00F84B34"/>
    <w:rsid w:val="00F85B65"/>
    <w:rsid w:val="00F85D00"/>
    <w:rsid w:val="00F85E66"/>
    <w:rsid w:val="00F864FB"/>
    <w:rsid w:val="00F8663B"/>
    <w:rsid w:val="00F8696D"/>
    <w:rsid w:val="00F8734A"/>
    <w:rsid w:val="00F876B3"/>
    <w:rsid w:val="00F877A9"/>
    <w:rsid w:val="00F877C8"/>
    <w:rsid w:val="00F87E60"/>
    <w:rsid w:val="00F87E9E"/>
    <w:rsid w:val="00F902A4"/>
    <w:rsid w:val="00F90385"/>
    <w:rsid w:val="00F904D8"/>
    <w:rsid w:val="00F90739"/>
    <w:rsid w:val="00F907B2"/>
    <w:rsid w:val="00F90A0F"/>
    <w:rsid w:val="00F90B0E"/>
    <w:rsid w:val="00F90EEA"/>
    <w:rsid w:val="00F90F0C"/>
    <w:rsid w:val="00F91471"/>
    <w:rsid w:val="00F91EEF"/>
    <w:rsid w:val="00F9238C"/>
    <w:rsid w:val="00F9250E"/>
    <w:rsid w:val="00F92587"/>
    <w:rsid w:val="00F92C8F"/>
    <w:rsid w:val="00F93867"/>
    <w:rsid w:val="00F93954"/>
    <w:rsid w:val="00F939B2"/>
    <w:rsid w:val="00F93CDE"/>
    <w:rsid w:val="00F9404C"/>
    <w:rsid w:val="00F945BB"/>
    <w:rsid w:val="00F94624"/>
    <w:rsid w:val="00F94738"/>
    <w:rsid w:val="00F947F5"/>
    <w:rsid w:val="00F949BC"/>
    <w:rsid w:val="00F94F20"/>
    <w:rsid w:val="00F9516A"/>
    <w:rsid w:val="00F95300"/>
    <w:rsid w:val="00F953D9"/>
    <w:rsid w:val="00F95EFB"/>
    <w:rsid w:val="00F9631C"/>
    <w:rsid w:val="00F9659C"/>
    <w:rsid w:val="00F9662D"/>
    <w:rsid w:val="00F9666B"/>
    <w:rsid w:val="00F9673F"/>
    <w:rsid w:val="00F96D42"/>
    <w:rsid w:val="00F970C8"/>
    <w:rsid w:val="00F97139"/>
    <w:rsid w:val="00F97255"/>
    <w:rsid w:val="00F97280"/>
    <w:rsid w:val="00F97625"/>
    <w:rsid w:val="00F976B5"/>
    <w:rsid w:val="00F97762"/>
    <w:rsid w:val="00FA0352"/>
    <w:rsid w:val="00FA0980"/>
    <w:rsid w:val="00FA0D0B"/>
    <w:rsid w:val="00FA1168"/>
    <w:rsid w:val="00FA1496"/>
    <w:rsid w:val="00FA14CD"/>
    <w:rsid w:val="00FA159B"/>
    <w:rsid w:val="00FA1880"/>
    <w:rsid w:val="00FA18F2"/>
    <w:rsid w:val="00FA1C42"/>
    <w:rsid w:val="00FA1C6D"/>
    <w:rsid w:val="00FA21FB"/>
    <w:rsid w:val="00FA226B"/>
    <w:rsid w:val="00FA236B"/>
    <w:rsid w:val="00FA252C"/>
    <w:rsid w:val="00FA2EF8"/>
    <w:rsid w:val="00FA31A2"/>
    <w:rsid w:val="00FA3235"/>
    <w:rsid w:val="00FA34BE"/>
    <w:rsid w:val="00FA35BA"/>
    <w:rsid w:val="00FA38C2"/>
    <w:rsid w:val="00FA38E3"/>
    <w:rsid w:val="00FA3A58"/>
    <w:rsid w:val="00FA3D37"/>
    <w:rsid w:val="00FA429B"/>
    <w:rsid w:val="00FA4778"/>
    <w:rsid w:val="00FA4815"/>
    <w:rsid w:val="00FA4B50"/>
    <w:rsid w:val="00FA52C3"/>
    <w:rsid w:val="00FA5459"/>
    <w:rsid w:val="00FA5882"/>
    <w:rsid w:val="00FA6017"/>
    <w:rsid w:val="00FA61A8"/>
    <w:rsid w:val="00FA62EE"/>
    <w:rsid w:val="00FA63EE"/>
    <w:rsid w:val="00FA6544"/>
    <w:rsid w:val="00FA66FA"/>
    <w:rsid w:val="00FA6784"/>
    <w:rsid w:val="00FA68F4"/>
    <w:rsid w:val="00FA6AB1"/>
    <w:rsid w:val="00FA70BF"/>
    <w:rsid w:val="00FA70F0"/>
    <w:rsid w:val="00FA764C"/>
    <w:rsid w:val="00FA767A"/>
    <w:rsid w:val="00FA7CD1"/>
    <w:rsid w:val="00FA7F86"/>
    <w:rsid w:val="00FB0009"/>
    <w:rsid w:val="00FB0160"/>
    <w:rsid w:val="00FB04D0"/>
    <w:rsid w:val="00FB05AB"/>
    <w:rsid w:val="00FB06BD"/>
    <w:rsid w:val="00FB08FF"/>
    <w:rsid w:val="00FB0C53"/>
    <w:rsid w:val="00FB11A2"/>
    <w:rsid w:val="00FB1D05"/>
    <w:rsid w:val="00FB21C4"/>
    <w:rsid w:val="00FB2459"/>
    <w:rsid w:val="00FB29F7"/>
    <w:rsid w:val="00FB2B1A"/>
    <w:rsid w:val="00FB2CE7"/>
    <w:rsid w:val="00FB2CF6"/>
    <w:rsid w:val="00FB2D17"/>
    <w:rsid w:val="00FB361C"/>
    <w:rsid w:val="00FB361F"/>
    <w:rsid w:val="00FB3AEB"/>
    <w:rsid w:val="00FB3DAA"/>
    <w:rsid w:val="00FB3F8E"/>
    <w:rsid w:val="00FB4061"/>
    <w:rsid w:val="00FB4524"/>
    <w:rsid w:val="00FB4BED"/>
    <w:rsid w:val="00FB4D21"/>
    <w:rsid w:val="00FB531A"/>
    <w:rsid w:val="00FB5491"/>
    <w:rsid w:val="00FB556E"/>
    <w:rsid w:val="00FB59BF"/>
    <w:rsid w:val="00FB5C6D"/>
    <w:rsid w:val="00FB5F7B"/>
    <w:rsid w:val="00FB62A0"/>
    <w:rsid w:val="00FB6558"/>
    <w:rsid w:val="00FB6C4D"/>
    <w:rsid w:val="00FB716F"/>
    <w:rsid w:val="00FB780D"/>
    <w:rsid w:val="00FB7868"/>
    <w:rsid w:val="00FB7964"/>
    <w:rsid w:val="00FB7AD9"/>
    <w:rsid w:val="00FB7F7B"/>
    <w:rsid w:val="00FC0149"/>
    <w:rsid w:val="00FC0B47"/>
    <w:rsid w:val="00FC0B96"/>
    <w:rsid w:val="00FC0BF0"/>
    <w:rsid w:val="00FC0FDB"/>
    <w:rsid w:val="00FC127A"/>
    <w:rsid w:val="00FC199E"/>
    <w:rsid w:val="00FC1A0D"/>
    <w:rsid w:val="00FC1C95"/>
    <w:rsid w:val="00FC1D9C"/>
    <w:rsid w:val="00FC1E45"/>
    <w:rsid w:val="00FC2211"/>
    <w:rsid w:val="00FC2A01"/>
    <w:rsid w:val="00FC2BEC"/>
    <w:rsid w:val="00FC3000"/>
    <w:rsid w:val="00FC316D"/>
    <w:rsid w:val="00FC3223"/>
    <w:rsid w:val="00FC367B"/>
    <w:rsid w:val="00FC3A7F"/>
    <w:rsid w:val="00FC3B45"/>
    <w:rsid w:val="00FC3BC7"/>
    <w:rsid w:val="00FC3FC3"/>
    <w:rsid w:val="00FC4035"/>
    <w:rsid w:val="00FC40CF"/>
    <w:rsid w:val="00FC4208"/>
    <w:rsid w:val="00FC43BC"/>
    <w:rsid w:val="00FC4825"/>
    <w:rsid w:val="00FC4C6E"/>
    <w:rsid w:val="00FC4DD6"/>
    <w:rsid w:val="00FC54ED"/>
    <w:rsid w:val="00FC59E2"/>
    <w:rsid w:val="00FC5A9B"/>
    <w:rsid w:val="00FC5C32"/>
    <w:rsid w:val="00FC5D29"/>
    <w:rsid w:val="00FC5F6A"/>
    <w:rsid w:val="00FC64FB"/>
    <w:rsid w:val="00FC6741"/>
    <w:rsid w:val="00FC6745"/>
    <w:rsid w:val="00FC6805"/>
    <w:rsid w:val="00FC6822"/>
    <w:rsid w:val="00FC696B"/>
    <w:rsid w:val="00FC6B16"/>
    <w:rsid w:val="00FC6C6F"/>
    <w:rsid w:val="00FC6D6E"/>
    <w:rsid w:val="00FC6D94"/>
    <w:rsid w:val="00FC72CA"/>
    <w:rsid w:val="00FC73EF"/>
    <w:rsid w:val="00FC7660"/>
    <w:rsid w:val="00FC76FA"/>
    <w:rsid w:val="00FC783D"/>
    <w:rsid w:val="00FC7D3B"/>
    <w:rsid w:val="00FC7D6A"/>
    <w:rsid w:val="00FC7FA7"/>
    <w:rsid w:val="00FC7FA9"/>
    <w:rsid w:val="00FD0280"/>
    <w:rsid w:val="00FD0393"/>
    <w:rsid w:val="00FD0B43"/>
    <w:rsid w:val="00FD1033"/>
    <w:rsid w:val="00FD10BB"/>
    <w:rsid w:val="00FD1168"/>
    <w:rsid w:val="00FD1290"/>
    <w:rsid w:val="00FD1D50"/>
    <w:rsid w:val="00FD1EA5"/>
    <w:rsid w:val="00FD1FC4"/>
    <w:rsid w:val="00FD263A"/>
    <w:rsid w:val="00FD263F"/>
    <w:rsid w:val="00FD270E"/>
    <w:rsid w:val="00FD28F9"/>
    <w:rsid w:val="00FD2B89"/>
    <w:rsid w:val="00FD2CD6"/>
    <w:rsid w:val="00FD2D10"/>
    <w:rsid w:val="00FD2D78"/>
    <w:rsid w:val="00FD2E1D"/>
    <w:rsid w:val="00FD2E77"/>
    <w:rsid w:val="00FD2FB6"/>
    <w:rsid w:val="00FD3372"/>
    <w:rsid w:val="00FD3563"/>
    <w:rsid w:val="00FD3799"/>
    <w:rsid w:val="00FD3A4A"/>
    <w:rsid w:val="00FD3ABC"/>
    <w:rsid w:val="00FD3D74"/>
    <w:rsid w:val="00FD3DC6"/>
    <w:rsid w:val="00FD401D"/>
    <w:rsid w:val="00FD40AE"/>
    <w:rsid w:val="00FD42D7"/>
    <w:rsid w:val="00FD49A0"/>
    <w:rsid w:val="00FD4D60"/>
    <w:rsid w:val="00FD4FAC"/>
    <w:rsid w:val="00FD516E"/>
    <w:rsid w:val="00FD524B"/>
    <w:rsid w:val="00FD5B45"/>
    <w:rsid w:val="00FD5C32"/>
    <w:rsid w:val="00FD60B5"/>
    <w:rsid w:val="00FD653A"/>
    <w:rsid w:val="00FD6582"/>
    <w:rsid w:val="00FD6730"/>
    <w:rsid w:val="00FD6842"/>
    <w:rsid w:val="00FD69DD"/>
    <w:rsid w:val="00FD6ECD"/>
    <w:rsid w:val="00FD716C"/>
    <w:rsid w:val="00FD72AB"/>
    <w:rsid w:val="00FD7D09"/>
    <w:rsid w:val="00FD7E80"/>
    <w:rsid w:val="00FE0083"/>
    <w:rsid w:val="00FE045B"/>
    <w:rsid w:val="00FE06D7"/>
    <w:rsid w:val="00FE073C"/>
    <w:rsid w:val="00FE0F34"/>
    <w:rsid w:val="00FE0F7C"/>
    <w:rsid w:val="00FE1065"/>
    <w:rsid w:val="00FE11F8"/>
    <w:rsid w:val="00FE1484"/>
    <w:rsid w:val="00FE1598"/>
    <w:rsid w:val="00FE160B"/>
    <w:rsid w:val="00FE16F6"/>
    <w:rsid w:val="00FE1E63"/>
    <w:rsid w:val="00FE21DE"/>
    <w:rsid w:val="00FE223F"/>
    <w:rsid w:val="00FE2429"/>
    <w:rsid w:val="00FE2506"/>
    <w:rsid w:val="00FE255E"/>
    <w:rsid w:val="00FE26BB"/>
    <w:rsid w:val="00FE32A5"/>
    <w:rsid w:val="00FE353D"/>
    <w:rsid w:val="00FE3753"/>
    <w:rsid w:val="00FE3BE8"/>
    <w:rsid w:val="00FE3C04"/>
    <w:rsid w:val="00FE3C88"/>
    <w:rsid w:val="00FE3CA2"/>
    <w:rsid w:val="00FE3DD4"/>
    <w:rsid w:val="00FE4766"/>
    <w:rsid w:val="00FE4824"/>
    <w:rsid w:val="00FE4BE9"/>
    <w:rsid w:val="00FE4EBC"/>
    <w:rsid w:val="00FE511F"/>
    <w:rsid w:val="00FE5669"/>
    <w:rsid w:val="00FE6155"/>
    <w:rsid w:val="00FE6599"/>
    <w:rsid w:val="00FE6A03"/>
    <w:rsid w:val="00FE6A64"/>
    <w:rsid w:val="00FE70C9"/>
    <w:rsid w:val="00FE7192"/>
    <w:rsid w:val="00FE71CC"/>
    <w:rsid w:val="00FE7246"/>
    <w:rsid w:val="00FE75CB"/>
    <w:rsid w:val="00FE76DE"/>
    <w:rsid w:val="00FE78CC"/>
    <w:rsid w:val="00FE791A"/>
    <w:rsid w:val="00FE841F"/>
    <w:rsid w:val="00FF01A0"/>
    <w:rsid w:val="00FF0576"/>
    <w:rsid w:val="00FF0805"/>
    <w:rsid w:val="00FF0D4A"/>
    <w:rsid w:val="00FF0E1C"/>
    <w:rsid w:val="00FF1381"/>
    <w:rsid w:val="00FF158C"/>
    <w:rsid w:val="00FF1AB5"/>
    <w:rsid w:val="00FF1F80"/>
    <w:rsid w:val="00FF22C2"/>
    <w:rsid w:val="00FF2482"/>
    <w:rsid w:val="00FF2838"/>
    <w:rsid w:val="00FF2A37"/>
    <w:rsid w:val="00FF2BA6"/>
    <w:rsid w:val="00FF2BF9"/>
    <w:rsid w:val="00FF2FB0"/>
    <w:rsid w:val="00FF360F"/>
    <w:rsid w:val="00FF3D39"/>
    <w:rsid w:val="00FF447F"/>
    <w:rsid w:val="00FF49BD"/>
    <w:rsid w:val="00FF4A07"/>
    <w:rsid w:val="00FF4ACF"/>
    <w:rsid w:val="00FF5198"/>
    <w:rsid w:val="00FF5354"/>
    <w:rsid w:val="00FF5410"/>
    <w:rsid w:val="00FF5629"/>
    <w:rsid w:val="00FF5C0B"/>
    <w:rsid w:val="00FF5CBE"/>
    <w:rsid w:val="00FF6321"/>
    <w:rsid w:val="00FF6AE4"/>
    <w:rsid w:val="00FF6E86"/>
    <w:rsid w:val="00FF6F4B"/>
    <w:rsid w:val="00FF6F4E"/>
    <w:rsid w:val="00FF7E1A"/>
    <w:rsid w:val="01001DAB"/>
    <w:rsid w:val="0123DCC9"/>
    <w:rsid w:val="01EE574E"/>
    <w:rsid w:val="020E901B"/>
    <w:rsid w:val="0217AC7A"/>
    <w:rsid w:val="0228B29E"/>
    <w:rsid w:val="028BCCDC"/>
    <w:rsid w:val="02AFAADD"/>
    <w:rsid w:val="03500509"/>
    <w:rsid w:val="03AF9EC4"/>
    <w:rsid w:val="03C64DA7"/>
    <w:rsid w:val="03D3D8CA"/>
    <w:rsid w:val="04526BAA"/>
    <w:rsid w:val="05A789C1"/>
    <w:rsid w:val="05D24882"/>
    <w:rsid w:val="05FA7E84"/>
    <w:rsid w:val="0617C08C"/>
    <w:rsid w:val="062E5ABD"/>
    <w:rsid w:val="06494A33"/>
    <w:rsid w:val="0695BAC6"/>
    <w:rsid w:val="06B3A1CC"/>
    <w:rsid w:val="06F1A63E"/>
    <w:rsid w:val="06FE6747"/>
    <w:rsid w:val="077ABBA4"/>
    <w:rsid w:val="07A596C9"/>
    <w:rsid w:val="07A9C855"/>
    <w:rsid w:val="07AC2AC2"/>
    <w:rsid w:val="07B804A7"/>
    <w:rsid w:val="083AFFEC"/>
    <w:rsid w:val="086FBBB6"/>
    <w:rsid w:val="08970090"/>
    <w:rsid w:val="08C37629"/>
    <w:rsid w:val="08C50917"/>
    <w:rsid w:val="08FA6950"/>
    <w:rsid w:val="0990E0D2"/>
    <w:rsid w:val="09D2AE05"/>
    <w:rsid w:val="09E162F5"/>
    <w:rsid w:val="0A368789"/>
    <w:rsid w:val="0A94809E"/>
    <w:rsid w:val="0AA086B6"/>
    <w:rsid w:val="0ACB0C3F"/>
    <w:rsid w:val="0B483BF7"/>
    <w:rsid w:val="0BF5A149"/>
    <w:rsid w:val="0C3CE77F"/>
    <w:rsid w:val="0C58F53F"/>
    <w:rsid w:val="0C9C8153"/>
    <w:rsid w:val="0CE5973E"/>
    <w:rsid w:val="0CF6181D"/>
    <w:rsid w:val="0D05A2DD"/>
    <w:rsid w:val="0D37A242"/>
    <w:rsid w:val="0D5DF911"/>
    <w:rsid w:val="0D976661"/>
    <w:rsid w:val="0D9BE685"/>
    <w:rsid w:val="0D9F126F"/>
    <w:rsid w:val="0E1B13C9"/>
    <w:rsid w:val="0E87E210"/>
    <w:rsid w:val="0EB41912"/>
    <w:rsid w:val="0F5FA5DD"/>
    <w:rsid w:val="0F90EF73"/>
    <w:rsid w:val="0FC8935B"/>
    <w:rsid w:val="100D30D7"/>
    <w:rsid w:val="1184EB0E"/>
    <w:rsid w:val="1219BF4E"/>
    <w:rsid w:val="122B4507"/>
    <w:rsid w:val="126A5026"/>
    <w:rsid w:val="12A104B8"/>
    <w:rsid w:val="13254754"/>
    <w:rsid w:val="13388D61"/>
    <w:rsid w:val="138474BC"/>
    <w:rsid w:val="13C1A2AB"/>
    <w:rsid w:val="13F51326"/>
    <w:rsid w:val="140F3626"/>
    <w:rsid w:val="144866A1"/>
    <w:rsid w:val="14A39A60"/>
    <w:rsid w:val="14F911C0"/>
    <w:rsid w:val="1520CE0F"/>
    <w:rsid w:val="15375ABF"/>
    <w:rsid w:val="15628741"/>
    <w:rsid w:val="15A07164"/>
    <w:rsid w:val="15AD27FD"/>
    <w:rsid w:val="15C517D3"/>
    <w:rsid w:val="1608839C"/>
    <w:rsid w:val="162777AB"/>
    <w:rsid w:val="165F8E4D"/>
    <w:rsid w:val="171314EA"/>
    <w:rsid w:val="173150A2"/>
    <w:rsid w:val="1741861A"/>
    <w:rsid w:val="1757B6DD"/>
    <w:rsid w:val="1780E255"/>
    <w:rsid w:val="1781792E"/>
    <w:rsid w:val="17BAF464"/>
    <w:rsid w:val="17CB6DF0"/>
    <w:rsid w:val="1861AEC8"/>
    <w:rsid w:val="188953CA"/>
    <w:rsid w:val="1A1F58A8"/>
    <w:rsid w:val="1A208CEE"/>
    <w:rsid w:val="1A211A66"/>
    <w:rsid w:val="1A2A9795"/>
    <w:rsid w:val="1A40DEA7"/>
    <w:rsid w:val="1A4F9261"/>
    <w:rsid w:val="1A6997D7"/>
    <w:rsid w:val="1A7A181C"/>
    <w:rsid w:val="1A91CDEF"/>
    <w:rsid w:val="1AC1B785"/>
    <w:rsid w:val="1B2DD336"/>
    <w:rsid w:val="1BA4DA2A"/>
    <w:rsid w:val="1BBAF894"/>
    <w:rsid w:val="1BC74D37"/>
    <w:rsid w:val="1BCEAD55"/>
    <w:rsid w:val="1BF77E3C"/>
    <w:rsid w:val="1BFF9980"/>
    <w:rsid w:val="1C78BA33"/>
    <w:rsid w:val="1C87FDA4"/>
    <w:rsid w:val="1CF5F8CF"/>
    <w:rsid w:val="1D4F701E"/>
    <w:rsid w:val="1D97715A"/>
    <w:rsid w:val="1DA48386"/>
    <w:rsid w:val="1DC15F50"/>
    <w:rsid w:val="1EE3D999"/>
    <w:rsid w:val="1EEDD6CD"/>
    <w:rsid w:val="1F02B20B"/>
    <w:rsid w:val="1F0A2F14"/>
    <w:rsid w:val="1F4D6546"/>
    <w:rsid w:val="1F61583D"/>
    <w:rsid w:val="1FFB5181"/>
    <w:rsid w:val="2020EAC4"/>
    <w:rsid w:val="20315B9A"/>
    <w:rsid w:val="20652E92"/>
    <w:rsid w:val="20A50D78"/>
    <w:rsid w:val="2137AC6F"/>
    <w:rsid w:val="214E4BB7"/>
    <w:rsid w:val="218194D8"/>
    <w:rsid w:val="21AF30A6"/>
    <w:rsid w:val="21E2E702"/>
    <w:rsid w:val="2201FFC8"/>
    <w:rsid w:val="2206A22E"/>
    <w:rsid w:val="2213A42D"/>
    <w:rsid w:val="22E72032"/>
    <w:rsid w:val="2311483F"/>
    <w:rsid w:val="234D2CB0"/>
    <w:rsid w:val="2383361E"/>
    <w:rsid w:val="24F5F8FB"/>
    <w:rsid w:val="24F962F0"/>
    <w:rsid w:val="250AEBDC"/>
    <w:rsid w:val="25193673"/>
    <w:rsid w:val="254CD97C"/>
    <w:rsid w:val="2570290A"/>
    <w:rsid w:val="25B5522B"/>
    <w:rsid w:val="25C9949F"/>
    <w:rsid w:val="25EA7C9E"/>
    <w:rsid w:val="2607E19F"/>
    <w:rsid w:val="26333A46"/>
    <w:rsid w:val="26515ADF"/>
    <w:rsid w:val="26A7B7CE"/>
    <w:rsid w:val="26B99A10"/>
    <w:rsid w:val="26EA7C3A"/>
    <w:rsid w:val="271B3D47"/>
    <w:rsid w:val="2780A78A"/>
    <w:rsid w:val="2780E016"/>
    <w:rsid w:val="27A18CCB"/>
    <w:rsid w:val="27F23013"/>
    <w:rsid w:val="2823FBCD"/>
    <w:rsid w:val="2849B32E"/>
    <w:rsid w:val="284C2A78"/>
    <w:rsid w:val="29569910"/>
    <w:rsid w:val="2994050E"/>
    <w:rsid w:val="2994DF9B"/>
    <w:rsid w:val="2A5323A7"/>
    <w:rsid w:val="2A6543AA"/>
    <w:rsid w:val="2AC86F29"/>
    <w:rsid w:val="2AD66C3E"/>
    <w:rsid w:val="2AEB650C"/>
    <w:rsid w:val="2B38226A"/>
    <w:rsid w:val="2B5CAC8F"/>
    <w:rsid w:val="2BA154AC"/>
    <w:rsid w:val="2BBC2D7E"/>
    <w:rsid w:val="2C2E709A"/>
    <w:rsid w:val="2C542B6E"/>
    <w:rsid w:val="2C7FEBFE"/>
    <w:rsid w:val="2CB0B056"/>
    <w:rsid w:val="2CFED74C"/>
    <w:rsid w:val="2D1022B7"/>
    <w:rsid w:val="2D3464D1"/>
    <w:rsid w:val="2DB0D3AE"/>
    <w:rsid w:val="2E148D7E"/>
    <w:rsid w:val="2E95C5EC"/>
    <w:rsid w:val="2EA56BC8"/>
    <w:rsid w:val="2EACF6D0"/>
    <w:rsid w:val="2EB19614"/>
    <w:rsid w:val="2EF6F36C"/>
    <w:rsid w:val="2EF87649"/>
    <w:rsid w:val="2F3B6C7F"/>
    <w:rsid w:val="2F5747D6"/>
    <w:rsid w:val="2F7DA527"/>
    <w:rsid w:val="2FF96129"/>
    <w:rsid w:val="3011AD59"/>
    <w:rsid w:val="3043DB80"/>
    <w:rsid w:val="3085BA48"/>
    <w:rsid w:val="30D1CAA2"/>
    <w:rsid w:val="30EE4A0C"/>
    <w:rsid w:val="31F8308C"/>
    <w:rsid w:val="3202B688"/>
    <w:rsid w:val="32063192"/>
    <w:rsid w:val="3234FAB4"/>
    <w:rsid w:val="32983EB8"/>
    <w:rsid w:val="32CD5656"/>
    <w:rsid w:val="32D68605"/>
    <w:rsid w:val="330A760E"/>
    <w:rsid w:val="33317860"/>
    <w:rsid w:val="33596E9B"/>
    <w:rsid w:val="33706206"/>
    <w:rsid w:val="33AB243E"/>
    <w:rsid w:val="33D956C5"/>
    <w:rsid w:val="347C9D9D"/>
    <w:rsid w:val="348596F9"/>
    <w:rsid w:val="353695A7"/>
    <w:rsid w:val="3593026C"/>
    <w:rsid w:val="35C70D19"/>
    <w:rsid w:val="35FAB8D1"/>
    <w:rsid w:val="3636F84D"/>
    <w:rsid w:val="36A037AB"/>
    <w:rsid w:val="37059173"/>
    <w:rsid w:val="371693C0"/>
    <w:rsid w:val="37DBA79D"/>
    <w:rsid w:val="382214A2"/>
    <w:rsid w:val="38662624"/>
    <w:rsid w:val="38E03D16"/>
    <w:rsid w:val="38E697F3"/>
    <w:rsid w:val="39EB5AAB"/>
    <w:rsid w:val="3A6A01F3"/>
    <w:rsid w:val="3A83A719"/>
    <w:rsid w:val="3AA2FDB2"/>
    <w:rsid w:val="3B24C2FF"/>
    <w:rsid w:val="3C70CF51"/>
    <w:rsid w:val="3CEEF7A1"/>
    <w:rsid w:val="3D1E3522"/>
    <w:rsid w:val="3DC02699"/>
    <w:rsid w:val="3DE266B6"/>
    <w:rsid w:val="3E05276D"/>
    <w:rsid w:val="3E068969"/>
    <w:rsid w:val="3E27559A"/>
    <w:rsid w:val="3EA4B831"/>
    <w:rsid w:val="3EDA9BEA"/>
    <w:rsid w:val="40221E00"/>
    <w:rsid w:val="408D22CD"/>
    <w:rsid w:val="40A1578B"/>
    <w:rsid w:val="40CE5F54"/>
    <w:rsid w:val="410CA14B"/>
    <w:rsid w:val="41152ADD"/>
    <w:rsid w:val="41CFB4FE"/>
    <w:rsid w:val="424525B7"/>
    <w:rsid w:val="4247E8B8"/>
    <w:rsid w:val="4303676C"/>
    <w:rsid w:val="433E2A43"/>
    <w:rsid w:val="433F4E6B"/>
    <w:rsid w:val="434108FD"/>
    <w:rsid w:val="43EA6F53"/>
    <w:rsid w:val="4404B90B"/>
    <w:rsid w:val="4459C7B8"/>
    <w:rsid w:val="45F8CD72"/>
    <w:rsid w:val="460575EA"/>
    <w:rsid w:val="467A8B38"/>
    <w:rsid w:val="467C18C7"/>
    <w:rsid w:val="46CD3D13"/>
    <w:rsid w:val="476A0265"/>
    <w:rsid w:val="47AC0427"/>
    <w:rsid w:val="4839A21A"/>
    <w:rsid w:val="48E3800C"/>
    <w:rsid w:val="4959FDAD"/>
    <w:rsid w:val="4987B0DC"/>
    <w:rsid w:val="49A54BA7"/>
    <w:rsid w:val="49A69FFA"/>
    <w:rsid w:val="49F68024"/>
    <w:rsid w:val="4A366648"/>
    <w:rsid w:val="4A5C6490"/>
    <w:rsid w:val="4A9752F6"/>
    <w:rsid w:val="4AB59C7E"/>
    <w:rsid w:val="4AE4EF48"/>
    <w:rsid w:val="4AF3C962"/>
    <w:rsid w:val="4AF5B4E8"/>
    <w:rsid w:val="4B49E2DD"/>
    <w:rsid w:val="4B525924"/>
    <w:rsid w:val="4B6A536F"/>
    <w:rsid w:val="4C3C3EBC"/>
    <w:rsid w:val="4CAEDAEF"/>
    <w:rsid w:val="4CB6E0C9"/>
    <w:rsid w:val="4CB7FE07"/>
    <w:rsid w:val="4D198BE3"/>
    <w:rsid w:val="4E52814D"/>
    <w:rsid w:val="4E72EECE"/>
    <w:rsid w:val="4F067FD9"/>
    <w:rsid w:val="4F23C1D5"/>
    <w:rsid w:val="4F2B381A"/>
    <w:rsid w:val="4F3E3755"/>
    <w:rsid w:val="4F853B56"/>
    <w:rsid w:val="4FFFEFB9"/>
    <w:rsid w:val="5029A8FF"/>
    <w:rsid w:val="50DFF377"/>
    <w:rsid w:val="50F6A1E0"/>
    <w:rsid w:val="511E905E"/>
    <w:rsid w:val="5139720B"/>
    <w:rsid w:val="51856FEC"/>
    <w:rsid w:val="51983432"/>
    <w:rsid w:val="51E009AC"/>
    <w:rsid w:val="52278F28"/>
    <w:rsid w:val="524605EF"/>
    <w:rsid w:val="52B45BF1"/>
    <w:rsid w:val="5320B3DF"/>
    <w:rsid w:val="53774C91"/>
    <w:rsid w:val="539862AE"/>
    <w:rsid w:val="5410D3D7"/>
    <w:rsid w:val="541A7A06"/>
    <w:rsid w:val="548D18B9"/>
    <w:rsid w:val="54B2658C"/>
    <w:rsid w:val="54D70DF4"/>
    <w:rsid w:val="55011AE8"/>
    <w:rsid w:val="55D403BA"/>
    <w:rsid w:val="55FA2827"/>
    <w:rsid w:val="56169CFE"/>
    <w:rsid w:val="56236E3C"/>
    <w:rsid w:val="57240DCB"/>
    <w:rsid w:val="574C42AF"/>
    <w:rsid w:val="57BD3FDF"/>
    <w:rsid w:val="580C1458"/>
    <w:rsid w:val="582D6805"/>
    <w:rsid w:val="5836EEDC"/>
    <w:rsid w:val="5860C97B"/>
    <w:rsid w:val="5875DFB9"/>
    <w:rsid w:val="58AA8B52"/>
    <w:rsid w:val="59346F60"/>
    <w:rsid w:val="596375A6"/>
    <w:rsid w:val="59A4912F"/>
    <w:rsid w:val="59AF751F"/>
    <w:rsid w:val="59C0701F"/>
    <w:rsid w:val="59EEA412"/>
    <w:rsid w:val="5A508823"/>
    <w:rsid w:val="5A64169C"/>
    <w:rsid w:val="5A9A7D0E"/>
    <w:rsid w:val="5B45C9D7"/>
    <w:rsid w:val="5B6865CA"/>
    <w:rsid w:val="5C151BC8"/>
    <w:rsid w:val="5C1D72CF"/>
    <w:rsid w:val="5C7CCFA5"/>
    <w:rsid w:val="5CA8015E"/>
    <w:rsid w:val="5CC97F63"/>
    <w:rsid w:val="5D7903D8"/>
    <w:rsid w:val="5DA4A103"/>
    <w:rsid w:val="5DB57F6D"/>
    <w:rsid w:val="5DE1FEE6"/>
    <w:rsid w:val="5E279C68"/>
    <w:rsid w:val="5E7D9745"/>
    <w:rsid w:val="5E8BEA03"/>
    <w:rsid w:val="5E9B9560"/>
    <w:rsid w:val="5EFB44AE"/>
    <w:rsid w:val="5F33E579"/>
    <w:rsid w:val="5F6D8998"/>
    <w:rsid w:val="5F747455"/>
    <w:rsid w:val="5F78EE11"/>
    <w:rsid w:val="5FBE0695"/>
    <w:rsid w:val="60BE56B5"/>
    <w:rsid w:val="6110E3F8"/>
    <w:rsid w:val="611B429E"/>
    <w:rsid w:val="61A16EDB"/>
    <w:rsid w:val="629E12B0"/>
    <w:rsid w:val="63039B49"/>
    <w:rsid w:val="636B0AD0"/>
    <w:rsid w:val="63836CDA"/>
    <w:rsid w:val="639246D6"/>
    <w:rsid w:val="6395FF6E"/>
    <w:rsid w:val="63DE2661"/>
    <w:rsid w:val="6411EDE0"/>
    <w:rsid w:val="6443DE8B"/>
    <w:rsid w:val="64D06098"/>
    <w:rsid w:val="654BCA04"/>
    <w:rsid w:val="65943A0E"/>
    <w:rsid w:val="659FE260"/>
    <w:rsid w:val="65C6511D"/>
    <w:rsid w:val="65FE0C86"/>
    <w:rsid w:val="662804AB"/>
    <w:rsid w:val="66BE2817"/>
    <w:rsid w:val="66C10E5F"/>
    <w:rsid w:val="66E8E12F"/>
    <w:rsid w:val="66E9FD8E"/>
    <w:rsid w:val="67B260D7"/>
    <w:rsid w:val="67EDDE0E"/>
    <w:rsid w:val="67EFB102"/>
    <w:rsid w:val="67F8392B"/>
    <w:rsid w:val="6874631A"/>
    <w:rsid w:val="6929ECB9"/>
    <w:rsid w:val="6937C9A0"/>
    <w:rsid w:val="69497F8C"/>
    <w:rsid w:val="69658BCD"/>
    <w:rsid w:val="69D517B0"/>
    <w:rsid w:val="6A6190FA"/>
    <w:rsid w:val="6AA705B6"/>
    <w:rsid w:val="6AB32A2F"/>
    <w:rsid w:val="6AC09582"/>
    <w:rsid w:val="6BACCE05"/>
    <w:rsid w:val="6C2B0580"/>
    <w:rsid w:val="6C2FB26C"/>
    <w:rsid w:val="6CBF0C73"/>
    <w:rsid w:val="6CC5FEFA"/>
    <w:rsid w:val="6CD4C11E"/>
    <w:rsid w:val="6CE95E06"/>
    <w:rsid w:val="6D4617D3"/>
    <w:rsid w:val="6DE4B5EB"/>
    <w:rsid w:val="6E66BA19"/>
    <w:rsid w:val="6E7B85B4"/>
    <w:rsid w:val="6E7DDFCF"/>
    <w:rsid w:val="6E97F23D"/>
    <w:rsid w:val="6E9A1136"/>
    <w:rsid w:val="6EFFF001"/>
    <w:rsid w:val="7039644E"/>
    <w:rsid w:val="714EC17E"/>
    <w:rsid w:val="7154FC97"/>
    <w:rsid w:val="71700C06"/>
    <w:rsid w:val="717DA0AB"/>
    <w:rsid w:val="71D85CFC"/>
    <w:rsid w:val="7205AA0A"/>
    <w:rsid w:val="72207A9B"/>
    <w:rsid w:val="723EC1C5"/>
    <w:rsid w:val="724EFD25"/>
    <w:rsid w:val="729E3171"/>
    <w:rsid w:val="72AA634A"/>
    <w:rsid w:val="72CAA880"/>
    <w:rsid w:val="72D3CB98"/>
    <w:rsid w:val="7313FF86"/>
    <w:rsid w:val="7457DAA0"/>
    <w:rsid w:val="75007A2A"/>
    <w:rsid w:val="75CEE627"/>
    <w:rsid w:val="75DA473C"/>
    <w:rsid w:val="76BBCBA1"/>
    <w:rsid w:val="770E4577"/>
    <w:rsid w:val="7761072C"/>
    <w:rsid w:val="7786D5A3"/>
    <w:rsid w:val="77B6BF26"/>
    <w:rsid w:val="7802B9E1"/>
    <w:rsid w:val="78490922"/>
    <w:rsid w:val="78B5C377"/>
    <w:rsid w:val="798EF6D5"/>
    <w:rsid w:val="799B5810"/>
    <w:rsid w:val="79EB880A"/>
    <w:rsid w:val="7A107928"/>
    <w:rsid w:val="7AD14DC2"/>
    <w:rsid w:val="7B118BCA"/>
    <w:rsid w:val="7B63FF0E"/>
    <w:rsid w:val="7B917BA3"/>
    <w:rsid w:val="7BC72B05"/>
    <w:rsid w:val="7C1DE242"/>
    <w:rsid w:val="7C5E7A5D"/>
    <w:rsid w:val="7C75A269"/>
    <w:rsid w:val="7C774D77"/>
    <w:rsid w:val="7C8710D7"/>
    <w:rsid w:val="7D2A4A0A"/>
    <w:rsid w:val="7D886220"/>
    <w:rsid w:val="7DB383F1"/>
    <w:rsid w:val="7E01173E"/>
    <w:rsid w:val="7E4A60ED"/>
    <w:rsid w:val="7FCBB668"/>
    <w:rsid w:val="7FE374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3DEA2"/>
  <w15:docId w15:val="{ABD4E4BF-04A3-40E0-8280-A95C095C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DCE"/>
    <w:rPr>
      <w:rFonts w:asciiTheme="minorHAnsi" w:hAnsiTheme="minorHAnsi"/>
      <w:szCs w:val="24"/>
    </w:rPr>
  </w:style>
  <w:style w:type="paragraph" w:styleId="Heading1">
    <w:name w:val="heading 1"/>
    <w:basedOn w:val="Normal"/>
    <w:next w:val="Normal"/>
    <w:link w:val="Heading1Char"/>
    <w:qFormat/>
    <w:rsid w:val="00202D61"/>
    <w:pPr>
      <w:keepNext/>
      <w:keepLines/>
      <w:spacing w:before="240"/>
      <w:outlineLvl w:val="0"/>
    </w:pPr>
    <w:rPr>
      <w:rFonts w:eastAsiaTheme="majorEastAsia" w:cstheme="majorBidi"/>
      <w:b/>
      <w:szCs w:val="32"/>
    </w:rPr>
  </w:style>
  <w:style w:type="paragraph" w:styleId="Heading2">
    <w:name w:val="heading 2"/>
    <w:basedOn w:val="Normal"/>
    <w:next w:val="Normal"/>
    <w:link w:val="Heading2Char"/>
    <w:unhideWhenUsed/>
    <w:qFormat/>
    <w:rsid w:val="004A2C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3715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5477B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A48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477B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477B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47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477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3817"/>
    <w:pPr>
      <w:tabs>
        <w:tab w:val="center" w:pos="4320"/>
        <w:tab w:val="right" w:pos="8640"/>
      </w:tabs>
    </w:pPr>
  </w:style>
  <w:style w:type="paragraph" w:styleId="Footer">
    <w:name w:val="footer"/>
    <w:basedOn w:val="Normal"/>
    <w:link w:val="FooterChar"/>
    <w:uiPriority w:val="99"/>
    <w:rsid w:val="00D23817"/>
    <w:pPr>
      <w:tabs>
        <w:tab w:val="center" w:pos="4320"/>
        <w:tab w:val="right" w:pos="8640"/>
      </w:tabs>
    </w:pPr>
  </w:style>
  <w:style w:type="paragraph" w:styleId="NormalWeb">
    <w:name w:val="Normal (Web)"/>
    <w:basedOn w:val="Normal"/>
    <w:uiPriority w:val="99"/>
    <w:unhideWhenUsed/>
    <w:rsid w:val="00BA678C"/>
  </w:style>
  <w:style w:type="paragraph" w:styleId="BodyTextIndent">
    <w:name w:val="Body Text Indent"/>
    <w:basedOn w:val="Normal"/>
    <w:link w:val="BodyTextIndentChar"/>
    <w:rsid w:val="00164CE7"/>
    <w:pPr>
      <w:ind w:left="1080"/>
    </w:pPr>
    <w:rPr>
      <w:sz w:val="22"/>
      <w:szCs w:val="20"/>
      <w:lang w:val="en-GB"/>
    </w:rPr>
  </w:style>
  <w:style w:type="character" w:customStyle="1" w:styleId="BodyTextIndentChar">
    <w:name w:val="Body Text Indent Char"/>
    <w:basedOn w:val="DefaultParagraphFont"/>
    <w:link w:val="BodyTextIndent"/>
    <w:rsid w:val="00164CE7"/>
    <w:rPr>
      <w:sz w:val="22"/>
      <w:lang w:val="en-GB"/>
    </w:rPr>
  </w:style>
  <w:style w:type="paragraph" w:customStyle="1" w:styleId="Par1">
    <w:name w:val="Par. # 1"/>
    <w:basedOn w:val="Normal"/>
    <w:next w:val="Normal"/>
    <w:link w:val="Par1Char"/>
    <w:rsid w:val="004449EF"/>
    <w:pPr>
      <w:keepNext/>
      <w:numPr>
        <w:numId w:val="1"/>
      </w:numPr>
      <w:spacing w:after="290" w:line="290" w:lineRule="atLeast"/>
      <w:outlineLvl w:val="0"/>
    </w:pPr>
    <w:rPr>
      <w:b/>
      <w:szCs w:val="22"/>
      <w:lang w:val="en-CA"/>
    </w:rPr>
  </w:style>
  <w:style w:type="paragraph" w:customStyle="1" w:styleId="Par2">
    <w:name w:val="Par. # 2"/>
    <w:basedOn w:val="Par1"/>
    <w:next w:val="Normal"/>
    <w:rsid w:val="004449EF"/>
    <w:pPr>
      <w:numPr>
        <w:ilvl w:val="1"/>
      </w:numPr>
      <w:tabs>
        <w:tab w:val="num" w:pos="2220"/>
      </w:tabs>
      <w:spacing w:after="260" w:line="260" w:lineRule="atLeast"/>
      <w:outlineLvl w:val="1"/>
    </w:pPr>
    <w:rPr>
      <w:b w:val="0"/>
      <w:sz w:val="22"/>
    </w:rPr>
  </w:style>
  <w:style w:type="paragraph" w:customStyle="1" w:styleId="Par3">
    <w:name w:val="Par. # 3"/>
    <w:basedOn w:val="Par2"/>
    <w:next w:val="Normal"/>
    <w:link w:val="Par3Char"/>
    <w:rsid w:val="004449EF"/>
    <w:pPr>
      <w:numPr>
        <w:ilvl w:val="2"/>
      </w:numPr>
      <w:tabs>
        <w:tab w:val="clear" w:pos="1296"/>
        <w:tab w:val="num" w:pos="2940"/>
      </w:tabs>
      <w:outlineLvl w:val="2"/>
    </w:pPr>
  </w:style>
  <w:style w:type="character" w:customStyle="1" w:styleId="Par3Char">
    <w:name w:val="Par. # 3 Char"/>
    <w:basedOn w:val="DefaultParagraphFont"/>
    <w:link w:val="Par3"/>
    <w:locked/>
    <w:rsid w:val="004449EF"/>
    <w:rPr>
      <w:rFonts w:asciiTheme="minorHAnsi" w:hAnsiTheme="minorHAnsi"/>
      <w:sz w:val="22"/>
      <w:szCs w:val="22"/>
      <w:lang w:val="en-CA"/>
    </w:rPr>
  </w:style>
  <w:style w:type="paragraph" w:styleId="BalloonText">
    <w:name w:val="Balloon Text"/>
    <w:basedOn w:val="Normal"/>
    <w:link w:val="BalloonTextChar"/>
    <w:rsid w:val="008F78AD"/>
    <w:rPr>
      <w:rFonts w:ascii="Tahoma" w:hAnsi="Tahoma" w:cs="Tahoma"/>
      <w:sz w:val="16"/>
      <w:szCs w:val="16"/>
    </w:rPr>
  </w:style>
  <w:style w:type="character" w:customStyle="1" w:styleId="BalloonTextChar">
    <w:name w:val="Balloon Text Char"/>
    <w:basedOn w:val="DefaultParagraphFont"/>
    <w:link w:val="BalloonText"/>
    <w:rsid w:val="008F78AD"/>
    <w:rPr>
      <w:rFonts w:ascii="Tahoma" w:hAnsi="Tahoma" w:cs="Tahoma"/>
      <w:sz w:val="16"/>
      <w:szCs w:val="16"/>
    </w:rPr>
  </w:style>
  <w:style w:type="character" w:styleId="CommentReference">
    <w:name w:val="annotation reference"/>
    <w:basedOn w:val="DefaultParagraphFont"/>
    <w:uiPriority w:val="99"/>
    <w:rsid w:val="006C7717"/>
    <w:rPr>
      <w:sz w:val="16"/>
      <w:szCs w:val="16"/>
    </w:rPr>
  </w:style>
  <w:style w:type="paragraph" w:styleId="CommentText">
    <w:name w:val="annotation text"/>
    <w:basedOn w:val="Normal"/>
    <w:link w:val="CommentTextChar"/>
    <w:uiPriority w:val="99"/>
    <w:rsid w:val="006C7717"/>
    <w:rPr>
      <w:szCs w:val="20"/>
    </w:rPr>
  </w:style>
  <w:style w:type="character" w:customStyle="1" w:styleId="CommentTextChar">
    <w:name w:val="Comment Text Char"/>
    <w:basedOn w:val="DefaultParagraphFont"/>
    <w:link w:val="CommentText"/>
    <w:uiPriority w:val="99"/>
    <w:rsid w:val="006C7717"/>
  </w:style>
  <w:style w:type="paragraph" w:styleId="CommentSubject">
    <w:name w:val="annotation subject"/>
    <w:basedOn w:val="CommentText"/>
    <w:next w:val="CommentText"/>
    <w:link w:val="CommentSubjectChar"/>
    <w:rsid w:val="006C7717"/>
    <w:rPr>
      <w:b/>
      <w:bCs/>
    </w:rPr>
  </w:style>
  <w:style w:type="character" w:customStyle="1" w:styleId="CommentSubjectChar">
    <w:name w:val="Comment Subject Char"/>
    <w:basedOn w:val="CommentTextChar"/>
    <w:link w:val="CommentSubject"/>
    <w:rsid w:val="006C7717"/>
    <w:rPr>
      <w:b/>
      <w:bCs/>
    </w:rPr>
  </w:style>
  <w:style w:type="paragraph" w:styleId="Revision">
    <w:name w:val="Revision"/>
    <w:hidden/>
    <w:uiPriority w:val="99"/>
    <w:semiHidden/>
    <w:rsid w:val="006C7717"/>
    <w:rPr>
      <w:sz w:val="24"/>
      <w:szCs w:val="24"/>
    </w:rPr>
  </w:style>
  <w:style w:type="paragraph" w:styleId="BodyText">
    <w:name w:val="Body Text"/>
    <w:basedOn w:val="Normal"/>
    <w:link w:val="BodyTextChar"/>
    <w:rsid w:val="00E84998"/>
    <w:pPr>
      <w:spacing w:after="120"/>
    </w:pPr>
  </w:style>
  <w:style w:type="character" w:customStyle="1" w:styleId="BodyTextChar">
    <w:name w:val="Body Text Char"/>
    <w:basedOn w:val="DefaultParagraphFont"/>
    <w:link w:val="BodyText"/>
    <w:rsid w:val="00E84998"/>
    <w:rPr>
      <w:sz w:val="24"/>
      <w:szCs w:val="24"/>
    </w:rPr>
  </w:style>
  <w:style w:type="paragraph" w:customStyle="1" w:styleId="DecimalAligned">
    <w:name w:val="Decimal Aligned"/>
    <w:basedOn w:val="Normal"/>
    <w:uiPriority w:val="40"/>
    <w:qFormat/>
    <w:rsid w:val="00375BF5"/>
    <w:pPr>
      <w:tabs>
        <w:tab w:val="decimal" w:pos="360"/>
      </w:tabs>
      <w:spacing w:after="200" w:line="276" w:lineRule="auto"/>
    </w:pPr>
    <w:rPr>
      <w:rFonts w:eastAsiaTheme="minorEastAsia" w:cstheme="minorBidi"/>
      <w:sz w:val="22"/>
      <w:szCs w:val="22"/>
    </w:rPr>
  </w:style>
  <w:style w:type="paragraph" w:styleId="FootnoteText">
    <w:name w:val="footnote text"/>
    <w:basedOn w:val="Normal"/>
    <w:link w:val="FootnoteTextChar"/>
    <w:uiPriority w:val="99"/>
    <w:unhideWhenUsed/>
    <w:rsid w:val="00375BF5"/>
    <w:rPr>
      <w:rFonts w:eastAsiaTheme="minorEastAsia" w:cstheme="minorBidi"/>
      <w:szCs w:val="20"/>
    </w:rPr>
  </w:style>
  <w:style w:type="character" w:customStyle="1" w:styleId="FootnoteTextChar">
    <w:name w:val="Footnote Text Char"/>
    <w:basedOn w:val="DefaultParagraphFont"/>
    <w:link w:val="FootnoteText"/>
    <w:uiPriority w:val="99"/>
    <w:rsid w:val="00375BF5"/>
    <w:rPr>
      <w:rFonts w:asciiTheme="minorHAnsi" w:eastAsiaTheme="minorEastAsia" w:hAnsiTheme="minorHAnsi" w:cstheme="minorBidi"/>
    </w:rPr>
  </w:style>
  <w:style w:type="character" w:styleId="SubtleEmphasis">
    <w:name w:val="Subtle Emphasis"/>
    <w:basedOn w:val="DefaultParagraphFont"/>
    <w:uiPriority w:val="19"/>
    <w:qFormat/>
    <w:rsid w:val="00375BF5"/>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375BF5"/>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rsid w:val="00E5094C"/>
    <w:pPr>
      <w:spacing w:after="120" w:line="480" w:lineRule="auto"/>
      <w:ind w:left="360"/>
    </w:pPr>
  </w:style>
  <w:style w:type="character" w:customStyle="1" w:styleId="BodyTextIndent2Char">
    <w:name w:val="Body Text Indent 2 Char"/>
    <w:basedOn w:val="DefaultParagraphFont"/>
    <w:link w:val="BodyTextIndent2"/>
    <w:rsid w:val="00E5094C"/>
    <w:rPr>
      <w:sz w:val="24"/>
      <w:szCs w:val="24"/>
    </w:rPr>
  </w:style>
  <w:style w:type="paragraph" w:styleId="BodyTextIndent3">
    <w:name w:val="Body Text Indent 3"/>
    <w:basedOn w:val="Normal"/>
    <w:link w:val="BodyTextIndent3Char"/>
    <w:rsid w:val="00E5094C"/>
    <w:pPr>
      <w:spacing w:after="120"/>
      <w:ind w:left="360"/>
    </w:pPr>
    <w:rPr>
      <w:sz w:val="16"/>
      <w:szCs w:val="16"/>
    </w:rPr>
  </w:style>
  <w:style w:type="character" w:customStyle="1" w:styleId="BodyTextIndent3Char">
    <w:name w:val="Body Text Indent 3 Char"/>
    <w:basedOn w:val="DefaultParagraphFont"/>
    <w:link w:val="BodyTextIndent3"/>
    <w:rsid w:val="00E5094C"/>
    <w:rPr>
      <w:sz w:val="16"/>
      <w:szCs w:val="16"/>
    </w:rPr>
  </w:style>
  <w:style w:type="paragraph" w:styleId="ListBullet4">
    <w:name w:val="List Bullet 4"/>
    <w:basedOn w:val="Normal"/>
    <w:autoRedefine/>
    <w:rsid w:val="000E3FE5"/>
    <w:pPr>
      <w:tabs>
        <w:tab w:val="num" w:pos="1440"/>
      </w:tabs>
      <w:ind w:left="1440" w:hanging="360"/>
    </w:pPr>
    <w:rPr>
      <w:sz w:val="22"/>
      <w:szCs w:val="20"/>
    </w:rPr>
  </w:style>
  <w:style w:type="paragraph" w:customStyle="1" w:styleId="Notes">
    <w:name w:val="Notes"/>
    <w:rsid w:val="00584119"/>
    <w:pPr>
      <w:widowControl w:val="0"/>
      <w:tabs>
        <w:tab w:val="left" w:pos="288"/>
        <w:tab w:val="left" w:pos="4032"/>
        <w:tab w:val="left" w:pos="4608"/>
      </w:tabs>
      <w:autoSpaceDE w:val="0"/>
      <w:autoSpaceDN w:val="0"/>
      <w:adjustRightInd w:val="0"/>
      <w:spacing w:line="239" w:lineRule="exact"/>
      <w:jc w:val="both"/>
    </w:pPr>
    <w:rPr>
      <w:rFonts w:ascii="Univers" w:hAnsi="Univers"/>
      <w:color w:val="000000"/>
    </w:rPr>
  </w:style>
  <w:style w:type="paragraph" w:customStyle="1" w:styleId="Indent1">
    <w:name w:val="Indent 1"/>
    <w:basedOn w:val="Normal"/>
    <w:uiPriority w:val="99"/>
    <w:rsid w:val="00584119"/>
    <w:pPr>
      <w:spacing w:after="260" w:line="260" w:lineRule="atLeast"/>
      <w:ind w:left="431"/>
    </w:pPr>
    <w:rPr>
      <w:sz w:val="22"/>
      <w:szCs w:val="22"/>
      <w:lang w:val="en-CA"/>
    </w:rPr>
  </w:style>
  <w:style w:type="paragraph" w:styleId="ListParagraph">
    <w:name w:val="List Paragraph"/>
    <w:basedOn w:val="Normal"/>
    <w:link w:val="ListParagraphChar"/>
    <w:uiPriority w:val="34"/>
    <w:qFormat/>
    <w:rsid w:val="009321C3"/>
    <w:pPr>
      <w:spacing w:after="200" w:line="276" w:lineRule="auto"/>
      <w:ind w:left="720"/>
      <w:contextualSpacing/>
    </w:pPr>
    <w:rPr>
      <w:rFonts w:ascii="Calibri" w:eastAsia="SimSun" w:hAnsi="Calibri"/>
      <w:sz w:val="22"/>
      <w:szCs w:val="22"/>
      <w:lang w:eastAsia="zh-CN"/>
    </w:rPr>
  </w:style>
  <w:style w:type="paragraph" w:customStyle="1" w:styleId="Indent2">
    <w:name w:val="Indent 2"/>
    <w:basedOn w:val="Indent1"/>
    <w:rsid w:val="004461F6"/>
    <w:pPr>
      <w:ind w:left="864"/>
    </w:pPr>
  </w:style>
  <w:style w:type="character" w:customStyle="1" w:styleId="Par1Char">
    <w:name w:val="Par. # 1 Char"/>
    <w:link w:val="Par1"/>
    <w:rsid w:val="004461F6"/>
    <w:rPr>
      <w:rFonts w:asciiTheme="minorHAnsi" w:hAnsiTheme="minorHAnsi"/>
      <w:b/>
      <w:szCs w:val="22"/>
      <w:lang w:val="en-CA"/>
    </w:rPr>
  </w:style>
  <w:style w:type="paragraph" w:customStyle="1" w:styleId="TableText">
    <w:name w:val="Table Text"/>
    <w:basedOn w:val="Normal"/>
    <w:rsid w:val="00A24C8B"/>
    <w:pPr>
      <w:ind w:left="432" w:hanging="432"/>
    </w:pPr>
    <w:rPr>
      <w:sz w:val="22"/>
      <w:szCs w:val="22"/>
      <w:lang w:val="en-CA"/>
    </w:rPr>
  </w:style>
  <w:style w:type="paragraph" w:customStyle="1" w:styleId="TableHeading">
    <w:name w:val="Table Heading"/>
    <w:basedOn w:val="Normal"/>
    <w:rsid w:val="00A24C8B"/>
    <w:pPr>
      <w:ind w:right="144"/>
      <w:jc w:val="right"/>
    </w:pPr>
    <w:rPr>
      <w:b/>
      <w:sz w:val="22"/>
      <w:szCs w:val="20"/>
      <w:lang w:val="en-CA"/>
    </w:rPr>
  </w:style>
  <w:style w:type="paragraph" w:customStyle="1" w:styleId="BodyText05">
    <w:name w:val="BodyText 0.5"/>
    <w:aliases w:val="B5"/>
    <w:basedOn w:val="BodyText"/>
    <w:rsid w:val="00A24C8B"/>
    <w:pPr>
      <w:spacing w:after="240"/>
      <w:ind w:firstLine="720"/>
    </w:pPr>
    <w:rPr>
      <w:sz w:val="22"/>
      <w:lang w:val="en-CA"/>
    </w:rPr>
  </w:style>
  <w:style w:type="paragraph" w:customStyle="1" w:styleId="Default">
    <w:name w:val="Default"/>
    <w:rsid w:val="007D3338"/>
    <w:pPr>
      <w:autoSpaceDE w:val="0"/>
      <w:autoSpaceDN w:val="0"/>
      <w:adjustRightInd w:val="0"/>
    </w:pPr>
    <w:rPr>
      <w:rFonts w:ascii="Arial" w:eastAsia="Calibri" w:hAnsi="Arial" w:cs="Arial"/>
      <w:color w:val="000000"/>
      <w:sz w:val="24"/>
      <w:szCs w:val="24"/>
    </w:rPr>
  </w:style>
  <w:style w:type="paragraph" w:styleId="BodyText3">
    <w:name w:val="Body Text 3"/>
    <w:basedOn w:val="Normal"/>
    <w:link w:val="BodyText3Char"/>
    <w:rsid w:val="00AC269E"/>
    <w:pPr>
      <w:spacing w:after="120"/>
    </w:pPr>
    <w:rPr>
      <w:sz w:val="16"/>
      <w:szCs w:val="16"/>
    </w:rPr>
  </w:style>
  <w:style w:type="character" w:customStyle="1" w:styleId="BodyText3Char">
    <w:name w:val="Body Text 3 Char"/>
    <w:basedOn w:val="DefaultParagraphFont"/>
    <w:link w:val="BodyText3"/>
    <w:rsid w:val="00AC269E"/>
    <w:rPr>
      <w:sz w:val="16"/>
      <w:szCs w:val="16"/>
    </w:rPr>
  </w:style>
  <w:style w:type="character" w:styleId="Hyperlink">
    <w:name w:val="Hyperlink"/>
    <w:basedOn w:val="DefaultParagraphFont"/>
    <w:rsid w:val="006E7C06"/>
    <w:rPr>
      <w:color w:val="0000FF" w:themeColor="hyperlink"/>
      <w:u w:val="single"/>
    </w:rPr>
  </w:style>
  <w:style w:type="character" w:customStyle="1" w:styleId="FooterChar">
    <w:name w:val="Footer Char"/>
    <w:basedOn w:val="DefaultParagraphFont"/>
    <w:link w:val="Footer"/>
    <w:uiPriority w:val="99"/>
    <w:rsid w:val="002A0B40"/>
    <w:rPr>
      <w:sz w:val="24"/>
      <w:szCs w:val="24"/>
    </w:rPr>
  </w:style>
  <w:style w:type="paragraph" w:styleId="List">
    <w:name w:val="List"/>
    <w:basedOn w:val="BodyText"/>
    <w:rsid w:val="00242DCA"/>
    <w:pPr>
      <w:spacing w:before="240" w:after="0"/>
      <w:ind w:left="1080" w:hanging="1080"/>
    </w:pPr>
    <w:rPr>
      <w:szCs w:val="20"/>
      <w:lang w:val="en-GB"/>
    </w:rPr>
  </w:style>
  <w:style w:type="paragraph" w:styleId="BodyText2">
    <w:name w:val="Body Text 2"/>
    <w:basedOn w:val="Normal"/>
    <w:link w:val="BodyText2Char"/>
    <w:rsid w:val="000049EE"/>
    <w:pPr>
      <w:spacing w:after="120" w:line="480" w:lineRule="auto"/>
    </w:pPr>
  </w:style>
  <w:style w:type="character" w:customStyle="1" w:styleId="BodyText2Char">
    <w:name w:val="Body Text 2 Char"/>
    <w:basedOn w:val="DefaultParagraphFont"/>
    <w:link w:val="BodyText2"/>
    <w:rsid w:val="000049EE"/>
    <w:rPr>
      <w:sz w:val="24"/>
      <w:szCs w:val="24"/>
    </w:rPr>
  </w:style>
  <w:style w:type="paragraph" w:customStyle="1" w:styleId="NormalCalibri">
    <w:name w:val="Normal + Calibri"/>
    <w:aliases w:val="11 pt,Justified,Left:  1.25 cm,Hanging:  0.02 cm + Before:  ..."/>
    <w:basedOn w:val="Normal"/>
    <w:uiPriority w:val="99"/>
    <w:rsid w:val="00A42783"/>
    <w:pPr>
      <w:overflowPunct w:val="0"/>
      <w:autoSpaceDE w:val="0"/>
      <w:autoSpaceDN w:val="0"/>
      <w:adjustRightInd w:val="0"/>
      <w:spacing w:before="120" w:line="280" w:lineRule="atLeast"/>
      <w:ind w:left="720"/>
      <w:textAlignment w:val="baseline"/>
    </w:pPr>
    <w:rPr>
      <w:rFonts w:ascii="Calibri" w:hAnsi="Calibri"/>
      <w:sz w:val="22"/>
      <w:szCs w:val="22"/>
      <w:lang w:val="en-GB"/>
    </w:rPr>
  </w:style>
  <w:style w:type="paragraph" w:customStyle="1" w:styleId="NormalPB">
    <w:name w:val="Normal PB"/>
    <w:rsid w:val="00D02370"/>
    <w:pPr>
      <w:widowControl w:val="0"/>
      <w:autoSpaceDE w:val="0"/>
      <w:autoSpaceDN w:val="0"/>
      <w:adjustRightInd w:val="0"/>
      <w:spacing w:line="260" w:lineRule="atLeast"/>
      <w:ind w:right="1439"/>
      <w:jc w:val="both"/>
    </w:pPr>
    <w:rPr>
      <w:rFonts w:ascii="Arial" w:hAnsi="Arial" w:cs="Arial"/>
    </w:rPr>
  </w:style>
  <w:style w:type="paragraph" w:customStyle="1" w:styleId="FS1">
    <w:name w:val="FS1"/>
    <w:basedOn w:val="Normal"/>
    <w:rsid w:val="00D02370"/>
    <w:pPr>
      <w:tabs>
        <w:tab w:val="decimal" w:pos="7280"/>
        <w:tab w:val="decimal" w:pos="9000"/>
      </w:tabs>
      <w:overflowPunct w:val="0"/>
      <w:autoSpaceDE w:val="0"/>
      <w:autoSpaceDN w:val="0"/>
      <w:adjustRightInd w:val="0"/>
      <w:ind w:left="180" w:hanging="180"/>
      <w:textAlignment w:val="baseline"/>
    </w:pPr>
    <w:rPr>
      <w:rFonts w:ascii="Arial" w:hAnsi="Arial" w:cs="Arial"/>
      <w:szCs w:val="20"/>
    </w:rPr>
  </w:style>
  <w:style w:type="paragraph" w:customStyle="1" w:styleId="N-Body0Indent">
    <w:name w:val="N-Body 0 Indent"/>
    <w:uiPriority w:val="99"/>
    <w:locked/>
    <w:rsid w:val="00D02370"/>
    <w:pPr>
      <w:widowControl w:val="0"/>
      <w:autoSpaceDE w:val="0"/>
      <w:autoSpaceDN w:val="0"/>
      <w:adjustRightInd w:val="0"/>
      <w:jc w:val="both"/>
    </w:pPr>
    <w:rPr>
      <w:color w:val="000000"/>
      <w:sz w:val="22"/>
      <w:szCs w:val="22"/>
    </w:rPr>
  </w:style>
  <w:style w:type="character" w:customStyle="1" w:styleId="PWFSLetterDate">
    <w:name w:val="PWFSLetterDate"/>
    <w:rsid w:val="001B27C7"/>
    <w:rPr>
      <w:spacing w:val="-2"/>
      <w:sz w:val="22"/>
      <w:lang w:val="en-GB"/>
    </w:rPr>
  </w:style>
  <w:style w:type="paragraph" w:styleId="NoSpacing">
    <w:name w:val="No Spacing"/>
    <w:uiPriority w:val="1"/>
    <w:qFormat/>
    <w:rsid w:val="00270ED1"/>
    <w:rPr>
      <w:rFonts w:ascii="Arial" w:hAnsi="Arial"/>
      <w:lang w:val="en-CA"/>
    </w:rPr>
  </w:style>
  <w:style w:type="paragraph" w:customStyle="1" w:styleId="NotesMainHeading">
    <w:name w:val="Notes Main Heading"/>
    <w:basedOn w:val="Normal"/>
    <w:next w:val="Normal"/>
    <w:rsid w:val="00AC3499"/>
    <w:pPr>
      <w:keepNext/>
      <w:spacing w:before="240"/>
    </w:pPr>
    <w:rPr>
      <w:rFonts w:ascii="Times" w:hAnsi="Times"/>
      <w:b/>
      <w:caps/>
      <w:szCs w:val="20"/>
    </w:rPr>
  </w:style>
  <w:style w:type="paragraph" w:styleId="ListContinue">
    <w:name w:val="List Continue"/>
    <w:basedOn w:val="Normal"/>
    <w:rsid w:val="009E5735"/>
    <w:pPr>
      <w:spacing w:after="120"/>
      <w:ind w:left="283"/>
      <w:contextualSpacing/>
    </w:pPr>
  </w:style>
  <w:style w:type="paragraph" w:customStyle="1" w:styleId="Normaltimeroman9pts">
    <w:name w:val="Normal + time roman 9pts"/>
    <w:basedOn w:val="Heading5"/>
    <w:rsid w:val="006A4897"/>
    <w:pPr>
      <w:keepLines w:val="0"/>
      <w:spacing w:before="0"/>
    </w:pPr>
    <w:rPr>
      <w:rFonts w:ascii="Times New Roman" w:eastAsia="Times New Roman" w:hAnsi="Times New Roman" w:cs="Times New Roman"/>
      <w:color w:val="auto"/>
      <w:sz w:val="18"/>
      <w:szCs w:val="18"/>
    </w:rPr>
  </w:style>
  <w:style w:type="character" w:customStyle="1" w:styleId="Heading5Char">
    <w:name w:val="Heading 5 Char"/>
    <w:basedOn w:val="DefaultParagraphFont"/>
    <w:link w:val="Heading5"/>
    <w:semiHidden/>
    <w:rsid w:val="006A4897"/>
    <w:rPr>
      <w:rFonts w:asciiTheme="majorHAnsi" w:eastAsiaTheme="majorEastAsia" w:hAnsiTheme="majorHAnsi" w:cstheme="majorBidi"/>
      <w:color w:val="365F91" w:themeColor="accent1" w:themeShade="BF"/>
      <w:sz w:val="24"/>
      <w:szCs w:val="24"/>
    </w:rPr>
  </w:style>
  <w:style w:type="character" w:customStyle="1" w:styleId="Heading2Char">
    <w:name w:val="Heading 2 Char"/>
    <w:basedOn w:val="DefaultParagraphFont"/>
    <w:link w:val="Heading2"/>
    <w:rsid w:val="004A2C1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614FA1"/>
    <w:rPr>
      <w:rFonts w:ascii="Calibri" w:eastAsia="SimSun" w:hAnsi="Calibri"/>
      <w:sz w:val="22"/>
      <w:szCs w:val="22"/>
      <w:lang w:eastAsia="zh-CN"/>
    </w:rPr>
  </w:style>
  <w:style w:type="paragraph" w:customStyle="1" w:styleId="TableParagraph">
    <w:name w:val="Table Paragraph"/>
    <w:basedOn w:val="Normal"/>
    <w:uiPriority w:val="1"/>
    <w:qFormat/>
    <w:rsid w:val="00617247"/>
    <w:pPr>
      <w:widowControl w:val="0"/>
      <w:autoSpaceDE w:val="0"/>
      <w:autoSpaceDN w:val="0"/>
    </w:pPr>
    <w:rPr>
      <w:rFonts w:ascii="Arial" w:eastAsia="Arial" w:hAnsi="Arial" w:cs="Arial"/>
      <w:sz w:val="22"/>
      <w:szCs w:val="22"/>
      <w:lang w:bidi="en-US"/>
    </w:rPr>
  </w:style>
  <w:style w:type="character" w:customStyle="1" w:styleId="Heading1Char">
    <w:name w:val="Heading 1 Char"/>
    <w:basedOn w:val="DefaultParagraphFont"/>
    <w:link w:val="Heading1"/>
    <w:rsid w:val="00202D61"/>
    <w:rPr>
      <w:rFonts w:asciiTheme="minorHAnsi" w:eastAsiaTheme="majorEastAsia" w:hAnsiTheme="minorHAnsi" w:cstheme="majorBidi"/>
      <w:b/>
      <w:szCs w:val="32"/>
    </w:rPr>
  </w:style>
  <w:style w:type="paragraph" w:styleId="ListBullet">
    <w:name w:val="List Bullet"/>
    <w:basedOn w:val="Normal"/>
    <w:rsid w:val="00E35058"/>
    <w:pPr>
      <w:numPr>
        <w:numId w:val="3"/>
      </w:numPr>
      <w:contextualSpacing/>
    </w:pPr>
  </w:style>
  <w:style w:type="paragraph" w:customStyle="1" w:styleId="Ne2">
    <w:name w:val="Ne2"/>
    <w:basedOn w:val="Normal"/>
    <w:link w:val="Ne2Char"/>
    <w:uiPriority w:val="99"/>
    <w:rsid w:val="006C54CF"/>
    <w:pPr>
      <w:overflowPunct w:val="0"/>
      <w:autoSpaceDE w:val="0"/>
      <w:autoSpaceDN w:val="0"/>
      <w:adjustRightInd w:val="0"/>
      <w:spacing w:before="120" w:line="280" w:lineRule="atLeast"/>
      <w:ind w:left="360"/>
      <w:textAlignment w:val="baseline"/>
    </w:pPr>
    <w:rPr>
      <w:rFonts w:ascii="Arial" w:hAnsi="Arial"/>
      <w:sz w:val="18"/>
      <w:szCs w:val="20"/>
    </w:rPr>
  </w:style>
  <w:style w:type="character" w:customStyle="1" w:styleId="Ne2Char">
    <w:name w:val="Ne2 Char"/>
    <w:basedOn w:val="DefaultParagraphFont"/>
    <w:link w:val="Ne2"/>
    <w:uiPriority w:val="99"/>
    <w:rsid w:val="006C54CF"/>
    <w:rPr>
      <w:rFonts w:ascii="Arial" w:hAnsi="Arial"/>
      <w:sz w:val="18"/>
    </w:rPr>
  </w:style>
  <w:style w:type="character" w:customStyle="1" w:styleId="UnresolvedMention1">
    <w:name w:val="Unresolved Mention1"/>
    <w:basedOn w:val="DefaultParagraphFont"/>
    <w:uiPriority w:val="99"/>
    <w:semiHidden/>
    <w:unhideWhenUsed/>
    <w:rsid w:val="0009516E"/>
    <w:rPr>
      <w:color w:val="605E5C"/>
      <w:shd w:val="clear" w:color="auto" w:fill="E1DFDD"/>
    </w:rPr>
  </w:style>
  <w:style w:type="paragraph" w:customStyle="1" w:styleId="headercas">
    <w:name w:val="headercas"/>
    <w:basedOn w:val="Normal"/>
    <w:rsid w:val="00C6728E"/>
    <w:pPr>
      <w:spacing w:before="65" w:after="65"/>
    </w:pPr>
    <w:rPr>
      <w:b/>
      <w:bCs/>
      <w:sz w:val="23"/>
      <w:szCs w:val="23"/>
    </w:rPr>
  </w:style>
  <w:style w:type="paragraph" w:customStyle="1" w:styleId="l5cas">
    <w:name w:val="l5cas"/>
    <w:basedOn w:val="Normal"/>
    <w:rsid w:val="00C6728E"/>
    <w:pPr>
      <w:spacing w:before="65" w:after="65"/>
    </w:pPr>
    <w:rPr>
      <w:b/>
      <w:bCs/>
      <w:sz w:val="22"/>
      <w:szCs w:val="22"/>
    </w:rPr>
  </w:style>
  <w:style w:type="paragraph" w:customStyle="1" w:styleId="paragraphnoindent">
    <w:name w:val="paragraphnoindent"/>
    <w:basedOn w:val="Normal"/>
    <w:rsid w:val="00C6728E"/>
    <w:pPr>
      <w:spacing w:before="65" w:after="65"/>
    </w:pPr>
    <w:rPr>
      <w:sz w:val="22"/>
      <w:szCs w:val="22"/>
    </w:rPr>
  </w:style>
  <w:style w:type="character" w:customStyle="1" w:styleId="Heading3Char">
    <w:name w:val="Heading 3 Char"/>
    <w:basedOn w:val="DefaultParagraphFont"/>
    <w:link w:val="Heading3"/>
    <w:semiHidden/>
    <w:rsid w:val="0083715F"/>
    <w:rPr>
      <w:rFonts w:asciiTheme="majorHAnsi" w:eastAsiaTheme="majorEastAsia" w:hAnsiTheme="majorHAnsi" w:cstheme="majorBidi"/>
      <w:color w:val="243F60" w:themeColor="accent1" w:themeShade="7F"/>
      <w:sz w:val="24"/>
      <w:szCs w:val="24"/>
    </w:rPr>
  </w:style>
  <w:style w:type="paragraph" w:customStyle="1" w:styleId="FSheading">
    <w:name w:val="FS heading"/>
    <w:basedOn w:val="ListParagraph"/>
    <w:link w:val="FSheadingChar"/>
    <w:rsid w:val="00C25E23"/>
    <w:pPr>
      <w:numPr>
        <w:numId w:val="4"/>
      </w:numPr>
      <w:spacing w:after="120" w:line="240" w:lineRule="auto"/>
    </w:pPr>
    <w:rPr>
      <w:rFonts w:asciiTheme="minorHAnsi" w:eastAsiaTheme="minorHAnsi" w:hAnsiTheme="minorHAnsi" w:cstheme="minorBidi"/>
      <w:b/>
    </w:rPr>
  </w:style>
  <w:style w:type="character" w:customStyle="1" w:styleId="FSheadingChar">
    <w:name w:val="FS heading Char"/>
    <w:basedOn w:val="ListParagraphChar"/>
    <w:link w:val="FSheading"/>
    <w:rsid w:val="00C25E23"/>
    <w:rPr>
      <w:rFonts w:asciiTheme="minorHAnsi" w:eastAsiaTheme="minorHAnsi" w:hAnsiTheme="minorHAnsi" w:cstheme="minorBidi"/>
      <w:b/>
      <w:sz w:val="22"/>
      <w:szCs w:val="22"/>
      <w:lang w:eastAsia="zh-CN"/>
    </w:rPr>
  </w:style>
  <w:style w:type="paragraph" w:customStyle="1" w:styleId="mdc-article-paragraph">
    <w:name w:val="mdc-article-paragraph"/>
    <w:basedOn w:val="Normal"/>
    <w:rsid w:val="00E11482"/>
    <w:pPr>
      <w:spacing w:before="100" w:beforeAutospacing="1" w:after="100" w:afterAutospacing="1"/>
    </w:pPr>
  </w:style>
  <w:style w:type="table" w:customStyle="1" w:styleId="TableGrid1">
    <w:name w:val="Table Grid1"/>
    <w:basedOn w:val="TableNormal"/>
    <w:next w:val="TableGrid"/>
    <w:uiPriority w:val="39"/>
    <w:rsid w:val="008B6F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75D0F"/>
    <w:rPr>
      <w:sz w:val="24"/>
      <w:szCs w:val="24"/>
    </w:rPr>
  </w:style>
  <w:style w:type="table" w:customStyle="1" w:styleId="Calendar2">
    <w:name w:val="Calendar 2"/>
    <w:basedOn w:val="TableNormal"/>
    <w:uiPriority w:val="99"/>
    <w:qFormat/>
    <w:rsid w:val="00B936F6"/>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PlaceholderText">
    <w:name w:val="Placeholder Text"/>
    <w:basedOn w:val="DefaultParagraphFont"/>
    <w:uiPriority w:val="99"/>
    <w:semiHidden/>
    <w:rsid w:val="008A3CF3"/>
    <w:rPr>
      <w:color w:val="808080"/>
    </w:rPr>
  </w:style>
  <w:style w:type="paragraph" w:styleId="Bibliography">
    <w:name w:val="Bibliography"/>
    <w:basedOn w:val="Normal"/>
    <w:next w:val="Normal"/>
    <w:uiPriority w:val="37"/>
    <w:semiHidden/>
    <w:unhideWhenUsed/>
    <w:rsid w:val="005477B8"/>
  </w:style>
  <w:style w:type="paragraph" w:styleId="BlockText">
    <w:name w:val="Block Text"/>
    <w:basedOn w:val="Normal"/>
    <w:semiHidden/>
    <w:unhideWhenUsed/>
    <w:rsid w:val="005477B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FirstIndent">
    <w:name w:val="Body Text First Indent"/>
    <w:basedOn w:val="BodyText"/>
    <w:link w:val="BodyTextFirstIndentChar"/>
    <w:semiHidden/>
    <w:unhideWhenUsed/>
    <w:rsid w:val="005477B8"/>
    <w:pPr>
      <w:spacing w:after="0"/>
      <w:ind w:firstLine="360"/>
    </w:pPr>
  </w:style>
  <w:style w:type="character" w:customStyle="1" w:styleId="BodyTextFirstIndentChar">
    <w:name w:val="Body Text First Indent Char"/>
    <w:basedOn w:val="BodyTextChar"/>
    <w:link w:val="BodyTextFirstIndent"/>
    <w:semiHidden/>
    <w:rsid w:val="005477B8"/>
    <w:rPr>
      <w:sz w:val="24"/>
      <w:szCs w:val="24"/>
    </w:rPr>
  </w:style>
  <w:style w:type="paragraph" w:styleId="BodyTextFirstIndent2">
    <w:name w:val="Body Text First Indent 2"/>
    <w:basedOn w:val="BodyTextIndent"/>
    <w:link w:val="BodyTextFirstIndent2Char"/>
    <w:semiHidden/>
    <w:unhideWhenUsed/>
    <w:rsid w:val="005477B8"/>
    <w:pPr>
      <w:ind w:left="360" w:firstLine="360"/>
    </w:pPr>
    <w:rPr>
      <w:sz w:val="24"/>
      <w:szCs w:val="24"/>
      <w:lang w:val="en-US"/>
    </w:rPr>
  </w:style>
  <w:style w:type="character" w:customStyle="1" w:styleId="BodyTextFirstIndent2Char">
    <w:name w:val="Body Text First Indent 2 Char"/>
    <w:basedOn w:val="BodyTextIndentChar"/>
    <w:link w:val="BodyTextFirstIndent2"/>
    <w:semiHidden/>
    <w:rsid w:val="005477B8"/>
    <w:rPr>
      <w:rFonts w:asciiTheme="minorHAnsi" w:hAnsiTheme="minorHAnsi"/>
      <w:sz w:val="24"/>
      <w:szCs w:val="24"/>
      <w:lang w:val="en-GB"/>
    </w:rPr>
  </w:style>
  <w:style w:type="paragraph" w:styleId="Caption">
    <w:name w:val="caption"/>
    <w:basedOn w:val="Normal"/>
    <w:next w:val="Normal"/>
    <w:semiHidden/>
    <w:unhideWhenUsed/>
    <w:qFormat/>
    <w:rsid w:val="005477B8"/>
    <w:pPr>
      <w:spacing w:after="200"/>
    </w:pPr>
    <w:rPr>
      <w:i/>
      <w:iCs/>
      <w:color w:val="1F497D" w:themeColor="text2"/>
      <w:sz w:val="18"/>
      <w:szCs w:val="18"/>
    </w:rPr>
  </w:style>
  <w:style w:type="paragraph" w:styleId="Closing">
    <w:name w:val="Closing"/>
    <w:basedOn w:val="Normal"/>
    <w:link w:val="ClosingChar"/>
    <w:semiHidden/>
    <w:unhideWhenUsed/>
    <w:rsid w:val="005477B8"/>
    <w:pPr>
      <w:ind w:left="4320"/>
    </w:pPr>
  </w:style>
  <w:style w:type="character" w:customStyle="1" w:styleId="ClosingChar">
    <w:name w:val="Closing Char"/>
    <w:basedOn w:val="DefaultParagraphFont"/>
    <w:link w:val="Closing"/>
    <w:semiHidden/>
    <w:rsid w:val="005477B8"/>
    <w:rPr>
      <w:sz w:val="24"/>
      <w:szCs w:val="24"/>
    </w:rPr>
  </w:style>
  <w:style w:type="paragraph" w:styleId="Date">
    <w:name w:val="Date"/>
    <w:basedOn w:val="Normal"/>
    <w:next w:val="Normal"/>
    <w:link w:val="DateChar"/>
    <w:rsid w:val="005477B8"/>
  </w:style>
  <w:style w:type="character" w:customStyle="1" w:styleId="DateChar">
    <w:name w:val="Date Char"/>
    <w:basedOn w:val="DefaultParagraphFont"/>
    <w:link w:val="Date"/>
    <w:rsid w:val="005477B8"/>
    <w:rPr>
      <w:sz w:val="24"/>
      <w:szCs w:val="24"/>
    </w:rPr>
  </w:style>
  <w:style w:type="paragraph" w:styleId="DocumentMap">
    <w:name w:val="Document Map"/>
    <w:basedOn w:val="Normal"/>
    <w:link w:val="DocumentMapChar"/>
    <w:semiHidden/>
    <w:unhideWhenUsed/>
    <w:rsid w:val="005477B8"/>
    <w:rPr>
      <w:rFonts w:ascii="Segoe UI" w:hAnsi="Segoe UI" w:cs="Segoe UI"/>
      <w:sz w:val="16"/>
      <w:szCs w:val="16"/>
    </w:rPr>
  </w:style>
  <w:style w:type="character" w:customStyle="1" w:styleId="DocumentMapChar">
    <w:name w:val="Document Map Char"/>
    <w:basedOn w:val="DefaultParagraphFont"/>
    <w:link w:val="DocumentMap"/>
    <w:semiHidden/>
    <w:rsid w:val="005477B8"/>
    <w:rPr>
      <w:rFonts w:ascii="Segoe UI" w:hAnsi="Segoe UI" w:cs="Segoe UI"/>
      <w:sz w:val="16"/>
      <w:szCs w:val="16"/>
    </w:rPr>
  </w:style>
  <w:style w:type="paragraph" w:styleId="E-mailSignature">
    <w:name w:val="E-mail Signature"/>
    <w:basedOn w:val="Normal"/>
    <w:link w:val="E-mailSignatureChar"/>
    <w:semiHidden/>
    <w:unhideWhenUsed/>
    <w:rsid w:val="005477B8"/>
  </w:style>
  <w:style w:type="character" w:customStyle="1" w:styleId="E-mailSignatureChar">
    <w:name w:val="E-mail Signature Char"/>
    <w:basedOn w:val="DefaultParagraphFont"/>
    <w:link w:val="E-mailSignature"/>
    <w:semiHidden/>
    <w:rsid w:val="005477B8"/>
    <w:rPr>
      <w:sz w:val="24"/>
      <w:szCs w:val="24"/>
    </w:rPr>
  </w:style>
  <w:style w:type="paragraph" w:styleId="EndnoteText">
    <w:name w:val="endnote text"/>
    <w:basedOn w:val="Normal"/>
    <w:link w:val="EndnoteTextChar"/>
    <w:semiHidden/>
    <w:unhideWhenUsed/>
    <w:rsid w:val="005477B8"/>
    <w:rPr>
      <w:szCs w:val="20"/>
    </w:rPr>
  </w:style>
  <w:style w:type="character" w:customStyle="1" w:styleId="EndnoteTextChar">
    <w:name w:val="Endnote Text Char"/>
    <w:basedOn w:val="DefaultParagraphFont"/>
    <w:link w:val="EndnoteText"/>
    <w:semiHidden/>
    <w:rsid w:val="005477B8"/>
  </w:style>
  <w:style w:type="paragraph" w:styleId="EnvelopeAddress">
    <w:name w:val="envelope address"/>
    <w:basedOn w:val="Normal"/>
    <w:semiHidden/>
    <w:unhideWhenUsed/>
    <w:rsid w:val="005477B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5477B8"/>
    <w:rPr>
      <w:rFonts w:asciiTheme="majorHAnsi" w:eastAsiaTheme="majorEastAsia" w:hAnsiTheme="majorHAnsi" w:cstheme="majorBidi"/>
      <w:szCs w:val="20"/>
    </w:rPr>
  </w:style>
  <w:style w:type="character" w:customStyle="1" w:styleId="Heading4Char">
    <w:name w:val="Heading 4 Char"/>
    <w:basedOn w:val="DefaultParagraphFont"/>
    <w:link w:val="Heading4"/>
    <w:semiHidden/>
    <w:rsid w:val="005477B8"/>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5477B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5477B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547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477B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5477B8"/>
    <w:rPr>
      <w:i/>
      <w:iCs/>
    </w:rPr>
  </w:style>
  <w:style w:type="character" w:customStyle="1" w:styleId="HTMLAddressChar">
    <w:name w:val="HTML Address Char"/>
    <w:basedOn w:val="DefaultParagraphFont"/>
    <w:link w:val="HTMLAddress"/>
    <w:semiHidden/>
    <w:rsid w:val="005477B8"/>
    <w:rPr>
      <w:i/>
      <w:iCs/>
      <w:sz w:val="24"/>
      <w:szCs w:val="24"/>
    </w:rPr>
  </w:style>
  <w:style w:type="paragraph" w:styleId="HTMLPreformatted">
    <w:name w:val="HTML Preformatted"/>
    <w:basedOn w:val="Normal"/>
    <w:link w:val="HTMLPreformattedChar"/>
    <w:semiHidden/>
    <w:unhideWhenUsed/>
    <w:rsid w:val="005477B8"/>
    <w:rPr>
      <w:rFonts w:ascii="Consolas" w:hAnsi="Consolas"/>
      <w:szCs w:val="20"/>
    </w:rPr>
  </w:style>
  <w:style w:type="character" w:customStyle="1" w:styleId="HTMLPreformattedChar">
    <w:name w:val="HTML Preformatted Char"/>
    <w:basedOn w:val="DefaultParagraphFont"/>
    <w:link w:val="HTMLPreformatted"/>
    <w:semiHidden/>
    <w:rsid w:val="005477B8"/>
    <w:rPr>
      <w:rFonts w:ascii="Consolas" w:hAnsi="Consolas"/>
    </w:rPr>
  </w:style>
  <w:style w:type="paragraph" w:styleId="Index1">
    <w:name w:val="index 1"/>
    <w:basedOn w:val="Normal"/>
    <w:next w:val="Normal"/>
    <w:autoRedefine/>
    <w:semiHidden/>
    <w:unhideWhenUsed/>
    <w:rsid w:val="005477B8"/>
    <w:pPr>
      <w:ind w:left="240" w:hanging="240"/>
    </w:pPr>
  </w:style>
  <w:style w:type="paragraph" w:styleId="Index2">
    <w:name w:val="index 2"/>
    <w:basedOn w:val="Normal"/>
    <w:next w:val="Normal"/>
    <w:autoRedefine/>
    <w:semiHidden/>
    <w:unhideWhenUsed/>
    <w:rsid w:val="005477B8"/>
    <w:pPr>
      <w:ind w:left="480" w:hanging="240"/>
    </w:pPr>
  </w:style>
  <w:style w:type="paragraph" w:styleId="Index3">
    <w:name w:val="index 3"/>
    <w:basedOn w:val="Normal"/>
    <w:next w:val="Normal"/>
    <w:autoRedefine/>
    <w:semiHidden/>
    <w:unhideWhenUsed/>
    <w:rsid w:val="005477B8"/>
    <w:pPr>
      <w:ind w:left="720" w:hanging="240"/>
    </w:pPr>
  </w:style>
  <w:style w:type="paragraph" w:styleId="Index4">
    <w:name w:val="index 4"/>
    <w:basedOn w:val="Normal"/>
    <w:next w:val="Normal"/>
    <w:autoRedefine/>
    <w:semiHidden/>
    <w:unhideWhenUsed/>
    <w:rsid w:val="005477B8"/>
    <w:pPr>
      <w:ind w:left="960" w:hanging="240"/>
    </w:pPr>
  </w:style>
  <w:style w:type="paragraph" w:styleId="Index5">
    <w:name w:val="index 5"/>
    <w:basedOn w:val="Normal"/>
    <w:next w:val="Normal"/>
    <w:autoRedefine/>
    <w:semiHidden/>
    <w:unhideWhenUsed/>
    <w:rsid w:val="005477B8"/>
    <w:pPr>
      <w:ind w:left="1200" w:hanging="240"/>
    </w:pPr>
  </w:style>
  <w:style w:type="paragraph" w:styleId="Index6">
    <w:name w:val="index 6"/>
    <w:basedOn w:val="Normal"/>
    <w:next w:val="Normal"/>
    <w:autoRedefine/>
    <w:semiHidden/>
    <w:unhideWhenUsed/>
    <w:rsid w:val="005477B8"/>
    <w:pPr>
      <w:ind w:left="1440" w:hanging="240"/>
    </w:pPr>
  </w:style>
  <w:style w:type="paragraph" w:styleId="Index7">
    <w:name w:val="index 7"/>
    <w:basedOn w:val="Normal"/>
    <w:next w:val="Normal"/>
    <w:autoRedefine/>
    <w:semiHidden/>
    <w:unhideWhenUsed/>
    <w:rsid w:val="005477B8"/>
    <w:pPr>
      <w:ind w:left="1680" w:hanging="240"/>
    </w:pPr>
  </w:style>
  <w:style w:type="paragraph" w:styleId="Index8">
    <w:name w:val="index 8"/>
    <w:basedOn w:val="Normal"/>
    <w:next w:val="Normal"/>
    <w:autoRedefine/>
    <w:semiHidden/>
    <w:unhideWhenUsed/>
    <w:rsid w:val="005477B8"/>
    <w:pPr>
      <w:ind w:left="1920" w:hanging="240"/>
    </w:pPr>
  </w:style>
  <w:style w:type="paragraph" w:styleId="Index9">
    <w:name w:val="index 9"/>
    <w:basedOn w:val="Normal"/>
    <w:next w:val="Normal"/>
    <w:autoRedefine/>
    <w:semiHidden/>
    <w:unhideWhenUsed/>
    <w:rsid w:val="005477B8"/>
    <w:pPr>
      <w:ind w:left="2160" w:hanging="240"/>
    </w:pPr>
  </w:style>
  <w:style w:type="paragraph" w:styleId="IndexHeading">
    <w:name w:val="index heading"/>
    <w:basedOn w:val="Normal"/>
    <w:next w:val="Index1"/>
    <w:semiHidden/>
    <w:unhideWhenUsed/>
    <w:rsid w:val="005477B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77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77B8"/>
    <w:rPr>
      <w:i/>
      <w:iCs/>
      <w:color w:val="4F81BD" w:themeColor="accent1"/>
      <w:sz w:val="24"/>
      <w:szCs w:val="24"/>
    </w:rPr>
  </w:style>
  <w:style w:type="paragraph" w:styleId="List2">
    <w:name w:val="List 2"/>
    <w:basedOn w:val="Normal"/>
    <w:semiHidden/>
    <w:unhideWhenUsed/>
    <w:rsid w:val="005477B8"/>
    <w:pPr>
      <w:ind w:left="720" w:hanging="360"/>
      <w:contextualSpacing/>
    </w:pPr>
  </w:style>
  <w:style w:type="paragraph" w:styleId="List3">
    <w:name w:val="List 3"/>
    <w:basedOn w:val="Normal"/>
    <w:rsid w:val="005477B8"/>
    <w:pPr>
      <w:ind w:left="1080" w:hanging="360"/>
      <w:contextualSpacing/>
    </w:pPr>
  </w:style>
  <w:style w:type="paragraph" w:styleId="List4">
    <w:name w:val="List 4"/>
    <w:basedOn w:val="Normal"/>
    <w:rsid w:val="005477B8"/>
    <w:pPr>
      <w:ind w:left="1440" w:hanging="360"/>
      <w:contextualSpacing/>
    </w:pPr>
  </w:style>
  <w:style w:type="paragraph" w:styleId="List5">
    <w:name w:val="List 5"/>
    <w:basedOn w:val="Normal"/>
    <w:semiHidden/>
    <w:unhideWhenUsed/>
    <w:rsid w:val="005477B8"/>
    <w:pPr>
      <w:ind w:left="1800" w:hanging="360"/>
      <w:contextualSpacing/>
    </w:pPr>
  </w:style>
  <w:style w:type="paragraph" w:styleId="ListBullet2">
    <w:name w:val="List Bullet 2"/>
    <w:basedOn w:val="Normal"/>
    <w:semiHidden/>
    <w:unhideWhenUsed/>
    <w:rsid w:val="005477B8"/>
    <w:pPr>
      <w:numPr>
        <w:numId w:val="6"/>
      </w:numPr>
      <w:contextualSpacing/>
    </w:pPr>
  </w:style>
  <w:style w:type="paragraph" w:styleId="ListBullet3">
    <w:name w:val="List Bullet 3"/>
    <w:basedOn w:val="Normal"/>
    <w:semiHidden/>
    <w:unhideWhenUsed/>
    <w:rsid w:val="005477B8"/>
    <w:pPr>
      <w:numPr>
        <w:numId w:val="7"/>
      </w:numPr>
      <w:contextualSpacing/>
    </w:pPr>
  </w:style>
  <w:style w:type="paragraph" w:styleId="ListBullet5">
    <w:name w:val="List Bullet 5"/>
    <w:basedOn w:val="Normal"/>
    <w:semiHidden/>
    <w:unhideWhenUsed/>
    <w:rsid w:val="005477B8"/>
    <w:pPr>
      <w:numPr>
        <w:numId w:val="8"/>
      </w:numPr>
      <w:contextualSpacing/>
    </w:pPr>
  </w:style>
  <w:style w:type="paragraph" w:styleId="ListContinue2">
    <w:name w:val="List Continue 2"/>
    <w:basedOn w:val="Normal"/>
    <w:semiHidden/>
    <w:unhideWhenUsed/>
    <w:rsid w:val="005477B8"/>
    <w:pPr>
      <w:spacing w:after="120"/>
      <w:ind w:left="720"/>
      <w:contextualSpacing/>
    </w:pPr>
  </w:style>
  <w:style w:type="paragraph" w:styleId="ListContinue3">
    <w:name w:val="List Continue 3"/>
    <w:basedOn w:val="Normal"/>
    <w:semiHidden/>
    <w:unhideWhenUsed/>
    <w:rsid w:val="005477B8"/>
    <w:pPr>
      <w:spacing w:after="120"/>
      <w:ind w:left="1080"/>
      <w:contextualSpacing/>
    </w:pPr>
  </w:style>
  <w:style w:type="paragraph" w:styleId="ListContinue4">
    <w:name w:val="List Continue 4"/>
    <w:basedOn w:val="Normal"/>
    <w:semiHidden/>
    <w:unhideWhenUsed/>
    <w:rsid w:val="005477B8"/>
    <w:pPr>
      <w:spacing w:after="120"/>
      <w:ind w:left="1440"/>
      <w:contextualSpacing/>
    </w:pPr>
  </w:style>
  <w:style w:type="paragraph" w:styleId="ListContinue5">
    <w:name w:val="List Continue 5"/>
    <w:basedOn w:val="Normal"/>
    <w:semiHidden/>
    <w:unhideWhenUsed/>
    <w:rsid w:val="005477B8"/>
    <w:pPr>
      <w:spacing w:after="120"/>
      <w:ind w:left="1800"/>
      <w:contextualSpacing/>
    </w:pPr>
  </w:style>
  <w:style w:type="paragraph" w:styleId="ListNumber">
    <w:name w:val="List Number"/>
    <w:basedOn w:val="Normal"/>
    <w:semiHidden/>
    <w:unhideWhenUsed/>
    <w:rsid w:val="005477B8"/>
    <w:pPr>
      <w:numPr>
        <w:numId w:val="9"/>
      </w:numPr>
      <w:contextualSpacing/>
    </w:pPr>
  </w:style>
  <w:style w:type="paragraph" w:styleId="ListNumber2">
    <w:name w:val="List Number 2"/>
    <w:basedOn w:val="Normal"/>
    <w:semiHidden/>
    <w:unhideWhenUsed/>
    <w:rsid w:val="005477B8"/>
    <w:pPr>
      <w:numPr>
        <w:numId w:val="10"/>
      </w:numPr>
      <w:contextualSpacing/>
    </w:pPr>
  </w:style>
  <w:style w:type="paragraph" w:styleId="ListNumber3">
    <w:name w:val="List Number 3"/>
    <w:basedOn w:val="Normal"/>
    <w:semiHidden/>
    <w:unhideWhenUsed/>
    <w:rsid w:val="005477B8"/>
    <w:pPr>
      <w:numPr>
        <w:numId w:val="11"/>
      </w:numPr>
      <w:contextualSpacing/>
    </w:pPr>
  </w:style>
  <w:style w:type="paragraph" w:styleId="ListNumber4">
    <w:name w:val="List Number 4"/>
    <w:basedOn w:val="Normal"/>
    <w:semiHidden/>
    <w:unhideWhenUsed/>
    <w:rsid w:val="005477B8"/>
    <w:pPr>
      <w:numPr>
        <w:numId w:val="12"/>
      </w:numPr>
      <w:contextualSpacing/>
    </w:pPr>
  </w:style>
  <w:style w:type="paragraph" w:styleId="ListNumber5">
    <w:name w:val="List Number 5"/>
    <w:basedOn w:val="Normal"/>
    <w:semiHidden/>
    <w:unhideWhenUsed/>
    <w:rsid w:val="005477B8"/>
    <w:pPr>
      <w:numPr>
        <w:numId w:val="13"/>
      </w:numPr>
      <w:contextualSpacing/>
    </w:pPr>
  </w:style>
  <w:style w:type="paragraph" w:styleId="MacroText">
    <w:name w:val="macro"/>
    <w:link w:val="MacroTextChar"/>
    <w:semiHidden/>
    <w:unhideWhenUsed/>
    <w:rsid w:val="005477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5477B8"/>
    <w:rPr>
      <w:rFonts w:ascii="Consolas" w:hAnsi="Consolas"/>
    </w:rPr>
  </w:style>
  <w:style w:type="paragraph" w:styleId="MessageHeader">
    <w:name w:val="Message Header"/>
    <w:basedOn w:val="Normal"/>
    <w:link w:val="MessageHeaderChar"/>
    <w:rsid w:val="005477B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5477B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5477B8"/>
    <w:pPr>
      <w:ind w:left="720"/>
    </w:pPr>
  </w:style>
  <w:style w:type="paragraph" w:styleId="NoteHeading">
    <w:name w:val="Note Heading"/>
    <w:basedOn w:val="Normal"/>
    <w:next w:val="Normal"/>
    <w:link w:val="NoteHeadingChar"/>
    <w:semiHidden/>
    <w:unhideWhenUsed/>
    <w:rsid w:val="005477B8"/>
  </w:style>
  <w:style w:type="character" w:customStyle="1" w:styleId="NoteHeadingChar">
    <w:name w:val="Note Heading Char"/>
    <w:basedOn w:val="DefaultParagraphFont"/>
    <w:link w:val="NoteHeading"/>
    <w:semiHidden/>
    <w:rsid w:val="005477B8"/>
    <w:rPr>
      <w:sz w:val="24"/>
      <w:szCs w:val="24"/>
    </w:rPr>
  </w:style>
  <w:style w:type="paragraph" w:styleId="PlainText">
    <w:name w:val="Plain Text"/>
    <w:basedOn w:val="Normal"/>
    <w:link w:val="PlainTextChar"/>
    <w:semiHidden/>
    <w:unhideWhenUsed/>
    <w:rsid w:val="005477B8"/>
    <w:rPr>
      <w:rFonts w:ascii="Consolas" w:hAnsi="Consolas"/>
      <w:sz w:val="21"/>
      <w:szCs w:val="21"/>
    </w:rPr>
  </w:style>
  <w:style w:type="character" w:customStyle="1" w:styleId="PlainTextChar">
    <w:name w:val="Plain Text Char"/>
    <w:basedOn w:val="DefaultParagraphFont"/>
    <w:link w:val="PlainText"/>
    <w:semiHidden/>
    <w:rsid w:val="005477B8"/>
    <w:rPr>
      <w:rFonts w:ascii="Consolas" w:hAnsi="Consolas"/>
      <w:sz w:val="21"/>
      <w:szCs w:val="21"/>
    </w:rPr>
  </w:style>
  <w:style w:type="paragraph" w:styleId="Quote">
    <w:name w:val="Quote"/>
    <w:basedOn w:val="Normal"/>
    <w:next w:val="Normal"/>
    <w:link w:val="QuoteChar"/>
    <w:uiPriority w:val="29"/>
    <w:qFormat/>
    <w:rsid w:val="00547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77B8"/>
    <w:rPr>
      <w:i/>
      <w:iCs/>
      <w:color w:val="404040" w:themeColor="text1" w:themeTint="BF"/>
      <w:sz w:val="24"/>
      <w:szCs w:val="24"/>
    </w:rPr>
  </w:style>
  <w:style w:type="paragraph" w:styleId="Salutation">
    <w:name w:val="Salutation"/>
    <w:basedOn w:val="Normal"/>
    <w:next w:val="Normal"/>
    <w:link w:val="SalutationChar"/>
    <w:rsid w:val="005477B8"/>
  </w:style>
  <w:style w:type="character" w:customStyle="1" w:styleId="SalutationChar">
    <w:name w:val="Salutation Char"/>
    <w:basedOn w:val="DefaultParagraphFont"/>
    <w:link w:val="Salutation"/>
    <w:rsid w:val="005477B8"/>
    <w:rPr>
      <w:sz w:val="24"/>
      <w:szCs w:val="24"/>
    </w:rPr>
  </w:style>
  <w:style w:type="paragraph" w:styleId="Signature">
    <w:name w:val="Signature"/>
    <w:basedOn w:val="Normal"/>
    <w:link w:val="SignatureChar"/>
    <w:semiHidden/>
    <w:unhideWhenUsed/>
    <w:rsid w:val="005477B8"/>
    <w:pPr>
      <w:ind w:left="4320"/>
    </w:pPr>
  </w:style>
  <w:style w:type="character" w:customStyle="1" w:styleId="SignatureChar">
    <w:name w:val="Signature Char"/>
    <w:basedOn w:val="DefaultParagraphFont"/>
    <w:link w:val="Signature"/>
    <w:semiHidden/>
    <w:rsid w:val="005477B8"/>
    <w:rPr>
      <w:sz w:val="24"/>
      <w:szCs w:val="24"/>
    </w:rPr>
  </w:style>
  <w:style w:type="paragraph" w:styleId="Subtitle">
    <w:name w:val="Subtitle"/>
    <w:basedOn w:val="Normal"/>
    <w:next w:val="Normal"/>
    <w:link w:val="SubtitleChar"/>
    <w:qFormat/>
    <w:rsid w:val="005477B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477B8"/>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5477B8"/>
    <w:pPr>
      <w:ind w:left="240" w:hanging="240"/>
    </w:pPr>
  </w:style>
  <w:style w:type="paragraph" w:styleId="TableofFigures">
    <w:name w:val="table of figures"/>
    <w:basedOn w:val="Normal"/>
    <w:next w:val="Normal"/>
    <w:semiHidden/>
    <w:unhideWhenUsed/>
    <w:rsid w:val="005477B8"/>
  </w:style>
  <w:style w:type="paragraph" w:styleId="Title">
    <w:name w:val="Title"/>
    <w:basedOn w:val="Normal"/>
    <w:next w:val="Normal"/>
    <w:link w:val="TitleChar"/>
    <w:qFormat/>
    <w:rsid w:val="005477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77B8"/>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5477B8"/>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5477B8"/>
    <w:pPr>
      <w:spacing w:after="100"/>
    </w:pPr>
  </w:style>
  <w:style w:type="paragraph" w:styleId="TOC2">
    <w:name w:val="toc 2"/>
    <w:basedOn w:val="Normal"/>
    <w:next w:val="Normal"/>
    <w:autoRedefine/>
    <w:semiHidden/>
    <w:unhideWhenUsed/>
    <w:rsid w:val="005477B8"/>
    <w:pPr>
      <w:spacing w:after="100"/>
      <w:ind w:left="240"/>
    </w:pPr>
  </w:style>
  <w:style w:type="paragraph" w:styleId="TOC3">
    <w:name w:val="toc 3"/>
    <w:basedOn w:val="Normal"/>
    <w:next w:val="Normal"/>
    <w:autoRedefine/>
    <w:semiHidden/>
    <w:unhideWhenUsed/>
    <w:rsid w:val="005477B8"/>
    <w:pPr>
      <w:spacing w:after="100"/>
      <w:ind w:left="480"/>
    </w:pPr>
  </w:style>
  <w:style w:type="paragraph" w:styleId="TOC4">
    <w:name w:val="toc 4"/>
    <w:basedOn w:val="Normal"/>
    <w:next w:val="Normal"/>
    <w:autoRedefine/>
    <w:semiHidden/>
    <w:unhideWhenUsed/>
    <w:rsid w:val="005477B8"/>
    <w:pPr>
      <w:spacing w:after="100"/>
      <w:ind w:left="720"/>
    </w:pPr>
  </w:style>
  <w:style w:type="paragraph" w:styleId="TOC5">
    <w:name w:val="toc 5"/>
    <w:basedOn w:val="Normal"/>
    <w:next w:val="Normal"/>
    <w:autoRedefine/>
    <w:semiHidden/>
    <w:unhideWhenUsed/>
    <w:rsid w:val="005477B8"/>
    <w:pPr>
      <w:spacing w:after="100"/>
      <w:ind w:left="960"/>
    </w:pPr>
  </w:style>
  <w:style w:type="paragraph" w:styleId="TOC6">
    <w:name w:val="toc 6"/>
    <w:basedOn w:val="Normal"/>
    <w:next w:val="Normal"/>
    <w:autoRedefine/>
    <w:semiHidden/>
    <w:unhideWhenUsed/>
    <w:rsid w:val="005477B8"/>
    <w:pPr>
      <w:spacing w:after="100"/>
      <w:ind w:left="1200"/>
    </w:pPr>
  </w:style>
  <w:style w:type="paragraph" w:styleId="TOC7">
    <w:name w:val="toc 7"/>
    <w:basedOn w:val="Normal"/>
    <w:next w:val="Normal"/>
    <w:autoRedefine/>
    <w:semiHidden/>
    <w:unhideWhenUsed/>
    <w:rsid w:val="005477B8"/>
    <w:pPr>
      <w:spacing w:after="100"/>
      <w:ind w:left="1440"/>
    </w:pPr>
  </w:style>
  <w:style w:type="paragraph" w:styleId="TOC8">
    <w:name w:val="toc 8"/>
    <w:basedOn w:val="Normal"/>
    <w:next w:val="Normal"/>
    <w:autoRedefine/>
    <w:semiHidden/>
    <w:unhideWhenUsed/>
    <w:rsid w:val="005477B8"/>
    <w:pPr>
      <w:spacing w:after="100"/>
      <w:ind w:left="1680"/>
    </w:pPr>
  </w:style>
  <w:style w:type="paragraph" w:styleId="TOC9">
    <w:name w:val="toc 9"/>
    <w:basedOn w:val="Normal"/>
    <w:next w:val="Normal"/>
    <w:autoRedefine/>
    <w:semiHidden/>
    <w:unhideWhenUsed/>
    <w:rsid w:val="005477B8"/>
    <w:pPr>
      <w:spacing w:after="100"/>
      <w:ind w:left="1920"/>
    </w:pPr>
  </w:style>
  <w:style w:type="paragraph" w:styleId="TOCHeading">
    <w:name w:val="TOC Heading"/>
    <w:basedOn w:val="Heading1"/>
    <w:next w:val="Normal"/>
    <w:uiPriority w:val="39"/>
    <w:semiHidden/>
    <w:unhideWhenUsed/>
    <w:qFormat/>
    <w:rsid w:val="005477B8"/>
    <w:pPr>
      <w:outlineLvl w:val="9"/>
    </w:pPr>
    <w:rPr>
      <w:rFonts w:asciiTheme="majorHAnsi" w:hAnsiTheme="majorHAnsi"/>
      <w:b w:val="0"/>
      <w:color w:val="365F91" w:themeColor="accent1" w:themeShade="BF"/>
      <w:sz w:val="32"/>
    </w:rPr>
  </w:style>
  <w:style w:type="table" w:styleId="LightList">
    <w:name w:val="Light List"/>
    <w:basedOn w:val="TableNormal"/>
    <w:uiPriority w:val="61"/>
    <w:rsid w:val="00AA0D89"/>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603DE1"/>
    <w:rPr>
      <w:i/>
      <w:iCs/>
    </w:rPr>
  </w:style>
  <w:style w:type="numbering" w:customStyle="1" w:styleId="CurrentList1">
    <w:name w:val="Current List1"/>
    <w:uiPriority w:val="99"/>
    <w:rsid w:val="00BB1C3D"/>
    <w:pPr>
      <w:numPr>
        <w:numId w:val="18"/>
      </w:numPr>
    </w:pPr>
  </w:style>
  <w:style w:type="numbering" w:customStyle="1" w:styleId="CurrentList2">
    <w:name w:val="Current List2"/>
    <w:uiPriority w:val="99"/>
    <w:rsid w:val="00716D2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01">
      <w:bodyDiv w:val="1"/>
      <w:marLeft w:val="0"/>
      <w:marRight w:val="0"/>
      <w:marTop w:val="0"/>
      <w:marBottom w:val="0"/>
      <w:divBdr>
        <w:top w:val="none" w:sz="0" w:space="0" w:color="auto"/>
        <w:left w:val="none" w:sz="0" w:space="0" w:color="auto"/>
        <w:bottom w:val="none" w:sz="0" w:space="0" w:color="auto"/>
        <w:right w:val="none" w:sz="0" w:space="0" w:color="auto"/>
      </w:divBdr>
    </w:div>
    <w:div w:id="6447369">
      <w:bodyDiv w:val="1"/>
      <w:marLeft w:val="0"/>
      <w:marRight w:val="0"/>
      <w:marTop w:val="0"/>
      <w:marBottom w:val="0"/>
      <w:divBdr>
        <w:top w:val="none" w:sz="0" w:space="0" w:color="auto"/>
        <w:left w:val="none" w:sz="0" w:space="0" w:color="auto"/>
        <w:bottom w:val="none" w:sz="0" w:space="0" w:color="auto"/>
        <w:right w:val="none" w:sz="0" w:space="0" w:color="auto"/>
      </w:divBdr>
    </w:div>
    <w:div w:id="9307774">
      <w:bodyDiv w:val="1"/>
      <w:marLeft w:val="0"/>
      <w:marRight w:val="0"/>
      <w:marTop w:val="0"/>
      <w:marBottom w:val="0"/>
      <w:divBdr>
        <w:top w:val="none" w:sz="0" w:space="0" w:color="auto"/>
        <w:left w:val="none" w:sz="0" w:space="0" w:color="auto"/>
        <w:bottom w:val="none" w:sz="0" w:space="0" w:color="auto"/>
        <w:right w:val="none" w:sz="0" w:space="0" w:color="auto"/>
      </w:divBdr>
    </w:div>
    <w:div w:id="10039066">
      <w:bodyDiv w:val="1"/>
      <w:marLeft w:val="0"/>
      <w:marRight w:val="0"/>
      <w:marTop w:val="0"/>
      <w:marBottom w:val="0"/>
      <w:divBdr>
        <w:top w:val="none" w:sz="0" w:space="0" w:color="auto"/>
        <w:left w:val="none" w:sz="0" w:space="0" w:color="auto"/>
        <w:bottom w:val="none" w:sz="0" w:space="0" w:color="auto"/>
        <w:right w:val="none" w:sz="0" w:space="0" w:color="auto"/>
      </w:divBdr>
    </w:div>
    <w:div w:id="11344164">
      <w:bodyDiv w:val="1"/>
      <w:marLeft w:val="0"/>
      <w:marRight w:val="0"/>
      <w:marTop w:val="0"/>
      <w:marBottom w:val="0"/>
      <w:divBdr>
        <w:top w:val="none" w:sz="0" w:space="0" w:color="auto"/>
        <w:left w:val="none" w:sz="0" w:space="0" w:color="auto"/>
        <w:bottom w:val="none" w:sz="0" w:space="0" w:color="auto"/>
        <w:right w:val="none" w:sz="0" w:space="0" w:color="auto"/>
      </w:divBdr>
    </w:div>
    <w:div w:id="12153120">
      <w:bodyDiv w:val="1"/>
      <w:marLeft w:val="0"/>
      <w:marRight w:val="0"/>
      <w:marTop w:val="0"/>
      <w:marBottom w:val="0"/>
      <w:divBdr>
        <w:top w:val="none" w:sz="0" w:space="0" w:color="auto"/>
        <w:left w:val="none" w:sz="0" w:space="0" w:color="auto"/>
        <w:bottom w:val="none" w:sz="0" w:space="0" w:color="auto"/>
        <w:right w:val="none" w:sz="0" w:space="0" w:color="auto"/>
      </w:divBdr>
    </w:div>
    <w:div w:id="13384510">
      <w:bodyDiv w:val="1"/>
      <w:marLeft w:val="0"/>
      <w:marRight w:val="0"/>
      <w:marTop w:val="0"/>
      <w:marBottom w:val="0"/>
      <w:divBdr>
        <w:top w:val="none" w:sz="0" w:space="0" w:color="auto"/>
        <w:left w:val="none" w:sz="0" w:space="0" w:color="auto"/>
        <w:bottom w:val="none" w:sz="0" w:space="0" w:color="auto"/>
        <w:right w:val="none" w:sz="0" w:space="0" w:color="auto"/>
      </w:divBdr>
    </w:div>
    <w:div w:id="14235737">
      <w:bodyDiv w:val="1"/>
      <w:marLeft w:val="0"/>
      <w:marRight w:val="0"/>
      <w:marTop w:val="0"/>
      <w:marBottom w:val="0"/>
      <w:divBdr>
        <w:top w:val="none" w:sz="0" w:space="0" w:color="auto"/>
        <w:left w:val="none" w:sz="0" w:space="0" w:color="auto"/>
        <w:bottom w:val="none" w:sz="0" w:space="0" w:color="auto"/>
        <w:right w:val="none" w:sz="0" w:space="0" w:color="auto"/>
      </w:divBdr>
    </w:div>
    <w:div w:id="17851904">
      <w:bodyDiv w:val="1"/>
      <w:marLeft w:val="0"/>
      <w:marRight w:val="0"/>
      <w:marTop w:val="0"/>
      <w:marBottom w:val="0"/>
      <w:divBdr>
        <w:top w:val="none" w:sz="0" w:space="0" w:color="auto"/>
        <w:left w:val="none" w:sz="0" w:space="0" w:color="auto"/>
        <w:bottom w:val="none" w:sz="0" w:space="0" w:color="auto"/>
        <w:right w:val="none" w:sz="0" w:space="0" w:color="auto"/>
      </w:divBdr>
    </w:div>
    <w:div w:id="18090353">
      <w:bodyDiv w:val="1"/>
      <w:marLeft w:val="0"/>
      <w:marRight w:val="0"/>
      <w:marTop w:val="0"/>
      <w:marBottom w:val="0"/>
      <w:divBdr>
        <w:top w:val="none" w:sz="0" w:space="0" w:color="auto"/>
        <w:left w:val="none" w:sz="0" w:space="0" w:color="auto"/>
        <w:bottom w:val="none" w:sz="0" w:space="0" w:color="auto"/>
        <w:right w:val="none" w:sz="0" w:space="0" w:color="auto"/>
      </w:divBdr>
    </w:div>
    <w:div w:id="18314487">
      <w:bodyDiv w:val="1"/>
      <w:marLeft w:val="0"/>
      <w:marRight w:val="0"/>
      <w:marTop w:val="0"/>
      <w:marBottom w:val="0"/>
      <w:divBdr>
        <w:top w:val="none" w:sz="0" w:space="0" w:color="auto"/>
        <w:left w:val="none" w:sz="0" w:space="0" w:color="auto"/>
        <w:bottom w:val="none" w:sz="0" w:space="0" w:color="auto"/>
        <w:right w:val="none" w:sz="0" w:space="0" w:color="auto"/>
      </w:divBdr>
    </w:div>
    <w:div w:id="18821314">
      <w:bodyDiv w:val="1"/>
      <w:marLeft w:val="0"/>
      <w:marRight w:val="0"/>
      <w:marTop w:val="0"/>
      <w:marBottom w:val="0"/>
      <w:divBdr>
        <w:top w:val="none" w:sz="0" w:space="0" w:color="auto"/>
        <w:left w:val="none" w:sz="0" w:space="0" w:color="auto"/>
        <w:bottom w:val="none" w:sz="0" w:space="0" w:color="auto"/>
        <w:right w:val="none" w:sz="0" w:space="0" w:color="auto"/>
      </w:divBdr>
    </w:div>
    <w:div w:id="20208808">
      <w:bodyDiv w:val="1"/>
      <w:marLeft w:val="0"/>
      <w:marRight w:val="0"/>
      <w:marTop w:val="0"/>
      <w:marBottom w:val="0"/>
      <w:divBdr>
        <w:top w:val="none" w:sz="0" w:space="0" w:color="auto"/>
        <w:left w:val="none" w:sz="0" w:space="0" w:color="auto"/>
        <w:bottom w:val="none" w:sz="0" w:space="0" w:color="auto"/>
        <w:right w:val="none" w:sz="0" w:space="0" w:color="auto"/>
      </w:divBdr>
    </w:div>
    <w:div w:id="20479462">
      <w:bodyDiv w:val="1"/>
      <w:marLeft w:val="0"/>
      <w:marRight w:val="0"/>
      <w:marTop w:val="0"/>
      <w:marBottom w:val="0"/>
      <w:divBdr>
        <w:top w:val="none" w:sz="0" w:space="0" w:color="auto"/>
        <w:left w:val="none" w:sz="0" w:space="0" w:color="auto"/>
        <w:bottom w:val="none" w:sz="0" w:space="0" w:color="auto"/>
        <w:right w:val="none" w:sz="0" w:space="0" w:color="auto"/>
      </w:divBdr>
    </w:div>
    <w:div w:id="20516921">
      <w:bodyDiv w:val="1"/>
      <w:marLeft w:val="0"/>
      <w:marRight w:val="0"/>
      <w:marTop w:val="0"/>
      <w:marBottom w:val="0"/>
      <w:divBdr>
        <w:top w:val="none" w:sz="0" w:space="0" w:color="auto"/>
        <w:left w:val="none" w:sz="0" w:space="0" w:color="auto"/>
        <w:bottom w:val="none" w:sz="0" w:space="0" w:color="auto"/>
        <w:right w:val="none" w:sz="0" w:space="0" w:color="auto"/>
      </w:divBdr>
    </w:div>
    <w:div w:id="22556331">
      <w:bodyDiv w:val="1"/>
      <w:marLeft w:val="0"/>
      <w:marRight w:val="0"/>
      <w:marTop w:val="0"/>
      <w:marBottom w:val="0"/>
      <w:divBdr>
        <w:top w:val="none" w:sz="0" w:space="0" w:color="auto"/>
        <w:left w:val="none" w:sz="0" w:space="0" w:color="auto"/>
        <w:bottom w:val="none" w:sz="0" w:space="0" w:color="auto"/>
        <w:right w:val="none" w:sz="0" w:space="0" w:color="auto"/>
      </w:divBdr>
    </w:div>
    <w:div w:id="26224667">
      <w:bodyDiv w:val="1"/>
      <w:marLeft w:val="0"/>
      <w:marRight w:val="0"/>
      <w:marTop w:val="0"/>
      <w:marBottom w:val="0"/>
      <w:divBdr>
        <w:top w:val="none" w:sz="0" w:space="0" w:color="auto"/>
        <w:left w:val="none" w:sz="0" w:space="0" w:color="auto"/>
        <w:bottom w:val="none" w:sz="0" w:space="0" w:color="auto"/>
        <w:right w:val="none" w:sz="0" w:space="0" w:color="auto"/>
      </w:divBdr>
    </w:div>
    <w:div w:id="28576343">
      <w:bodyDiv w:val="1"/>
      <w:marLeft w:val="0"/>
      <w:marRight w:val="0"/>
      <w:marTop w:val="0"/>
      <w:marBottom w:val="0"/>
      <w:divBdr>
        <w:top w:val="none" w:sz="0" w:space="0" w:color="auto"/>
        <w:left w:val="none" w:sz="0" w:space="0" w:color="auto"/>
        <w:bottom w:val="none" w:sz="0" w:space="0" w:color="auto"/>
        <w:right w:val="none" w:sz="0" w:space="0" w:color="auto"/>
      </w:divBdr>
    </w:div>
    <w:div w:id="28577605">
      <w:bodyDiv w:val="1"/>
      <w:marLeft w:val="0"/>
      <w:marRight w:val="0"/>
      <w:marTop w:val="0"/>
      <w:marBottom w:val="0"/>
      <w:divBdr>
        <w:top w:val="none" w:sz="0" w:space="0" w:color="auto"/>
        <w:left w:val="none" w:sz="0" w:space="0" w:color="auto"/>
        <w:bottom w:val="none" w:sz="0" w:space="0" w:color="auto"/>
        <w:right w:val="none" w:sz="0" w:space="0" w:color="auto"/>
      </w:divBdr>
    </w:div>
    <w:div w:id="32463067">
      <w:bodyDiv w:val="1"/>
      <w:marLeft w:val="0"/>
      <w:marRight w:val="0"/>
      <w:marTop w:val="0"/>
      <w:marBottom w:val="0"/>
      <w:divBdr>
        <w:top w:val="none" w:sz="0" w:space="0" w:color="auto"/>
        <w:left w:val="none" w:sz="0" w:space="0" w:color="auto"/>
        <w:bottom w:val="none" w:sz="0" w:space="0" w:color="auto"/>
        <w:right w:val="none" w:sz="0" w:space="0" w:color="auto"/>
      </w:divBdr>
    </w:div>
    <w:div w:id="34820270">
      <w:bodyDiv w:val="1"/>
      <w:marLeft w:val="0"/>
      <w:marRight w:val="0"/>
      <w:marTop w:val="0"/>
      <w:marBottom w:val="0"/>
      <w:divBdr>
        <w:top w:val="none" w:sz="0" w:space="0" w:color="auto"/>
        <w:left w:val="none" w:sz="0" w:space="0" w:color="auto"/>
        <w:bottom w:val="none" w:sz="0" w:space="0" w:color="auto"/>
        <w:right w:val="none" w:sz="0" w:space="0" w:color="auto"/>
      </w:divBdr>
    </w:div>
    <w:div w:id="40252110">
      <w:bodyDiv w:val="1"/>
      <w:marLeft w:val="0"/>
      <w:marRight w:val="0"/>
      <w:marTop w:val="0"/>
      <w:marBottom w:val="0"/>
      <w:divBdr>
        <w:top w:val="none" w:sz="0" w:space="0" w:color="auto"/>
        <w:left w:val="none" w:sz="0" w:space="0" w:color="auto"/>
        <w:bottom w:val="none" w:sz="0" w:space="0" w:color="auto"/>
        <w:right w:val="none" w:sz="0" w:space="0" w:color="auto"/>
      </w:divBdr>
    </w:div>
    <w:div w:id="45416490">
      <w:bodyDiv w:val="1"/>
      <w:marLeft w:val="0"/>
      <w:marRight w:val="0"/>
      <w:marTop w:val="0"/>
      <w:marBottom w:val="0"/>
      <w:divBdr>
        <w:top w:val="none" w:sz="0" w:space="0" w:color="auto"/>
        <w:left w:val="none" w:sz="0" w:space="0" w:color="auto"/>
        <w:bottom w:val="none" w:sz="0" w:space="0" w:color="auto"/>
        <w:right w:val="none" w:sz="0" w:space="0" w:color="auto"/>
      </w:divBdr>
    </w:div>
    <w:div w:id="46809057">
      <w:bodyDiv w:val="1"/>
      <w:marLeft w:val="0"/>
      <w:marRight w:val="0"/>
      <w:marTop w:val="0"/>
      <w:marBottom w:val="0"/>
      <w:divBdr>
        <w:top w:val="none" w:sz="0" w:space="0" w:color="auto"/>
        <w:left w:val="none" w:sz="0" w:space="0" w:color="auto"/>
        <w:bottom w:val="none" w:sz="0" w:space="0" w:color="auto"/>
        <w:right w:val="none" w:sz="0" w:space="0" w:color="auto"/>
      </w:divBdr>
    </w:div>
    <w:div w:id="59715814">
      <w:bodyDiv w:val="1"/>
      <w:marLeft w:val="0"/>
      <w:marRight w:val="0"/>
      <w:marTop w:val="0"/>
      <w:marBottom w:val="0"/>
      <w:divBdr>
        <w:top w:val="none" w:sz="0" w:space="0" w:color="auto"/>
        <w:left w:val="none" w:sz="0" w:space="0" w:color="auto"/>
        <w:bottom w:val="none" w:sz="0" w:space="0" w:color="auto"/>
        <w:right w:val="none" w:sz="0" w:space="0" w:color="auto"/>
      </w:divBdr>
    </w:div>
    <w:div w:id="60643611">
      <w:bodyDiv w:val="1"/>
      <w:marLeft w:val="0"/>
      <w:marRight w:val="0"/>
      <w:marTop w:val="0"/>
      <w:marBottom w:val="0"/>
      <w:divBdr>
        <w:top w:val="none" w:sz="0" w:space="0" w:color="auto"/>
        <w:left w:val="none" w:sz="0" w:space="0" w:color="auto"/>
        <w:bottom w:val="none" w:sz="0" w:space="0" w:color="auto"/>
        <w:right w:val="none" w:sz="0" w:space="0" w:color="auto"/>
      </w:divBdr>
    </w:div>
    <w:div w:id="63918779">
      <w:bodyDiv w:val="1"/>
      <w:marLeft w:val="0"/>
      <w:marRight w:val="0"/>
      <w:marTop w:val="0"/>
      <w:marBottom w:val="0"/>
      <w:divBdr>
        <w:top w:val="none" w:sz="0" w:space="0" w:color="auto"/>
        <w:left w:val="none" w:sz="0" w:space="0" w:color="auto"/>
        <w:bottom w:val="none" w:sz="0" w:space="0" w:color="auto"/>
        <w:right w:val="none" w:sz="0" w:space="0" w:color="auto"/>
      </w:divBdr>
    </w:div>
    <w:div w:id="64570916">
      <w:bodyDiv w:val="1"/>
      <w:marLeft w:val="0"/>
      <w:marRight w:val="0"/>
      <w:marTop w:val="0"/>
      <w:marBottom w:val="0"/>
      <w:divBdr>
        <w:top w:val="none" w:sz="0" w:space="0" w:color="auto"/>
        <w:left w:val="none" w:sz="0" w:space="0" w:color="auto"/>
        <w:bottom w:val="none" w:sz="0" w:space="0" w:color="auto"/>
        <w:right w:val="none" w:sz="0" w:space="0" w:color="auto"/>
      </w:divBdr>
    </w:div>
    <w:div w:id="66194189">
      <w:bodyDiv w:val="1"/>
      <w:marLeft w:val="0"/>
      <w:marRight w:val="0"/>
      <w:marTop w:val="0"/>
      <w:marBottom w:val="0"/>
      <w:divBdr>
        <w:top w:val="none" w:sz="0" w:space="0" w:color="auto"/>
        <w:left w:val="none" w:sz="0" w:space="0" w:color="auto"/>
        <w:bottom w:val="none" w:sz="0" w:space="0" w:color="auto"/>
        <w:right w:val="none" w:sz="0" w:space="0" w:color="auto"/>
      </w:divBdr>
    </w:div>
    <w:div w:id="67504511">
      <w:bodyDiv w:val="1"/>
      <w:marLeft w:val="0"/>
      <w:marRight w:val="0"/>
      <w:marTop w:val="0"/>
      <w:marBottom w:val="0"/>
      <w:divBdr>
        <w:top w:val="none" w:sz="0" w:space="0" w:color="auto"/>
        <w:left w:val="none" w:sz="0" w:space="0" w:color="auto"/>
        <w:bottom w:val="none" w:sz="0" w:space="0" w:color="auto"/>
        <w:right w:val="none" w:sz="0" w:space="0" w:color="auto"/>
      </w:divBdr>
    </w:div>
    <w:div w:id="67654702">
      <w:bodyDiv w:val="1"/>
      <w:marLeft w:val="0"/>
      <w:marRight w:val="0"/>
      <w:marTop w:val="0"/>
      <w:marBottom w:val="0"/>
      <w:divBdr>
        <w:top w:val="none" w:sz="0" w:space="0" w:color="auto"/>
        <w:left w:val="none" w:sz="0" w:space="0" w:color="auto"/>
        <w:bottom w:val="none" w:sz="0" w:space="0" w:color="auto"/>
        <w:right w:val="none" w:sz="0" w:space="0" w:color="auto"/>
      </w:divBdr>
    </w:div>
    <w:div w:id="69816095">
      <w:bodyDiv w:val="1"/>
      <w:marLeft w:val="0"/>
      <w:marRight w:val="0"/>
      <w:marTop w:val="0"/>
      <w:marBottom w:val="0"/>
      <w:divBdr>
        <w:top w:val="none" w:sz="0" w:space="0" w:color="auto"/>
        <w:left w:val="none" w:sz="0" w:space="0" w:color="auto"/>
        <w:bottom w:val="none" w:sz="0" w:space="0" w:color="auto"/>
        <w:right w:val="none" w:sz="0" w:space="0" w:color="auto"/>
      </w:divBdr>
    </w:div>
    <w:div w:id="70589901">
      <w:bodyDiv w:val="1"/>
      <w:marLeft w:val="0"/>
      <w:marRight w:val="0"/>
      <w:marTop w:val="0"/>
      <w:marBottom w:val="0"/>
      <w:divBdr>
        <w:top w:val="none" w:sz="0" w:space="0" w:color="auto"/>
        <w:left w:val="none" w:sz="0" w:space="0" w:color="auto"/>
        <w:bottom w:val="none" w:sz="0" w:space="0" w:color="auto"/>
        <w:right w:val="none" w:sz="0" w:space="0" w:color="auto"/>
      </w:divBdr>
    </w:div>
    <w:div w:id="74209634">
      <w:bodyDiv w:val="1"/>
      <w:marLeft w:val="0"/>
      <w:marRight w:val="0"/>
      <w:marTop w:val="0"/>
      <w:marBottom w:val="0"/>
      <w:divBdr>
        <w:top w:val="none" w:sz="0" w:space="0" w:color="auto"/>
        <w:left w:val="none" w:sz="0" w:space="0" w:color="auto"/>
        <w:bottom w:val="none" w:sz="0" w:space="0" w:color="auto"/>
        <w:right w:val="none" w:sz="0" w:space="0" w:color="auto"/>
      </w:divBdr>
    </w:div>
    <w:div w:id="75902362">
      <w:bodyDiv w:val="1"/>
      <w:marLeft w:val="0"/>
      <w:marRight w:val="0"/>
      <w:marTop w:val="0"/>
      <w:marBottom w:val="0"/>
      <w:divBdr>
        <w:top w:val="none" w:sz="0" w:space="0" w:color="auto"/>
        <w:left w:val="none" w:sz="0" w:space="0" w:color="auto"/>
        <w:bottom w:val="none" w:sz="0" w:space="0" w:color="auto"/>
        <w:right w:val="none" w:sz="0" w:space="0" w:color="auto"/>
      </w:divBdr>
    </w:div>
    <w:div w:id="78597549">
      <w:bodyDiv w:val="1"/>
      <w:marLeft w:val="0"/>
      <w:marRight w:val="0"/>
      <w:marTop w:val="0"/>
      <w:marBottom w:val="0"/>
      <w:divBdr>
        <w:top w:val="none" w:sz="0" w:space="0" w:color="auto"/>
        <w:left w:val="none" w:sz="0" w:space="0" w:color="auto"/>
        <w:bottom w:val="none" w:sz="0" w:space="0" w:color="auto"/>
        <w:right w:val="none" w:sz="0" w:space="0" w:color="auto"/>
      </w:divBdr>
    </w:div>
    <w:div w:id="81489378">
      <w:bodyDiv w:val="1"/>
      <w:marLeft w:val="0"/>
      <w:marRight w:val="0"/>
      <w:marTop w:val="0"/>
      <w:marBottom w:val="0"/>
      <w:divBdr>
        <w:top w:val="none" w:sz="0" w:space="0" w:color="auto"/>
        <w:left w:val="none" w:sz="0" w:space="0" w:color="auto"/>
        <w:bottom w:val="none" w:sz="0" w:space="0" w:color="auto"/>
        <w:right w:val="none" w:sz="0" w:space="0" w:color="auto"/>
      </w:divBdr>
    </w:div>
    <w:div w:id="84421258">
      <w:bodyDiv w:val="1"/>
      <w:marLeft w:val="0"/>
      <w:marRight w:val="0"/>
      <w:marTop w:val="0"/>
      <w:marBottom w:val="0"/>
      <w:divBdr>
        <w:top w:val="none" w:sz="0" w:space="0" w:color="auto"/>
        <w:left w:val="none" w:sz="0" w:space="0" w:color="auto"/>
        <w:bottom w:val="none" w:sz="0" w:space="0" w:color="auto"/>
        <w:right w:val="none" w:sz="0" w:space="0" w:color="auto"/>
      </w:divBdr>
    </w:div>
    <w:div w:id="85423345">
      <w:bodyDiv w:val="1"/>
      <w:marLeft w:val="0"/>
      <w:marRight w:val="0"/>
      <w:marTop w:val="0"/>
      <w:marBottom w:val="0"/>
      <w:divBdr>
        <w:top w:val="none" w:sz="0" w:space="0" w:color="auto"/>
        <w:left w:val="none" w:sz="0" w:space="0" w:color="auto"/>
        <w:bottom w:val="none" w:sz="0" w:space="0" w:color="auto"/>
        <w:right w:val="none" w:sz="0" w:space="0" w:color="auto"/>
      </w:divBdr>
    </w:div>
    <w:div w:id="86734560">
      <w:bodyDiv w:val="1"/>
      <w:marLeft w:val="0"/>
      <w:marRight w:val="0"/>
      <w:marTop w:val="0"/>
      <w:marBottom w:val="0"/>
      <w:divBdr>
        <w:top w:val="none" w:sz="0" w:space="0" w:color="auto"/>
        <w:left w:val="none" w:sz="0" w:space="0" w:color="auto"/>
        <w:bottom w:val="none" w:sz="0" w:space="0" w:color="auto"/>
        <w:right w:val="none" w:sz="0" w:space="0" w:color="auto"/>
      </w:divBdr>
    </w:div>
    <w:div w:id="88696555">
      <w:bodyDiv w:val="1"/>
      <w:marLeft w:val="0"/>
      <w:marRight w:val="0"/>
      <w:marTop w:val="0"/>
      <w:marBottom w:val="0"/>
      <w:divBdr>
        <w:top w:val="none" w:sz="0" w:space="0" w:color="auto"/>
        <w:left w:val="none" w:sz="0" w:space="0" w:color="auto"/>
        <w:bottom w:val="none" w:sz="0" w:space="0" w:color="auto"/>
        <w:right w:val="none" w:sz="0" w:space="0" w:color="auto"/>
      </w:divBdr>
    </w:div>
    <w:div w:id="90900366">
      <w:bodyDiv w:val="1"/>
      <w:marLeft w:val="0"/>
      <w:marRight w:val="0"/>
      <w:marTop w:val="0"/>
      <w:marBottom w:val="0"/>
      <w:divBdr>
        <w:top w:val="none" w:sz="0" w:space="0" w:color="auto"/>
        <w:left w:val="none" w:sz="0" w:space="0" w:color="auto"/>
        <w:bottom w:val="none" w:sz="0" w:space="0" w:color="auto"/>
        <w:right w:val="none" w:sz="0" w:space="0" w:color="auto"/>
      </w:divBdr>
    </w:div>
    <w:div w:id="91511377">
      <w:bodyDiv w:val="1"/>
      <w:marLeft w:val="0"/>
      <w:marRight w:val="0"/>
      <w:marTop w:val="0"/>
      <w:marBottom w:val="0"/>
      <w:divBdr>
        <w:top w:val="none" w:sz="0" w:space="0" w:color="auto"/>
        <w:left w:val="none" w:sz="0" w:space="0" w:color="auto"/>
        <w:bottom w:val="none" w:sz="0" w:space="0" w:color="auto"/>
        <w:right w:val="none" w:sz="0" w:space="0" w:color="auto"/>
      </w:divBdr>
    </w:div>
    <w:div w:id="100732449">
      <w:bodyDiv w:val="1"/>
      <w:marLeft w:val="0"/>
      <w:marRight w:val="0"/>
      <w:marTop w:val="0"/>
      <w:marBottom w:val="0"/>
      <w:divBdr>
        <w:top w:val="none" w:sz="0" w:space="0" w:color="auto"/>
        <w:left w:val="none" w:sz="0" w:space="0" w:color="auto"/>
        <w:bottom w:val="none" w:sz="0" w:space="0" w:color="auto"/>
        <w:right w:val="none" w:sz="0" w:space="0" w:color="auto"/>
      </w:divBdr>
    </w:div>
    <w:div w:id="112143053">
      <w:bodyDiv w:val="1"/>
      <w:marLeft w:val="0"/>
      <w:marRight w:val="0"/>
      <w:marTop w:val="0"/>
      <w:marBottom w:val="0"/>
      <w:divBdr>
        <w:top w:val="none" w:sz="0" w:space="0" w:color="auto"/>
        <w:left w:val="none" w:sz="0" w:space="0" w:color="auto"/>
        <w:bottom w:val="none" w:sz="0" w:space="0" w:color="auto"/>
        <w:right w:val="none" w:sz="0" w:space="0" w:color="auto"/>
      </w:divBdr>
    </w:div>
    <w:div w:id="114718039">
      <w:bodyDiv w:val="1"/>
      <w:marLeft w:val="0"/>
      <w:marRight w:val="0"/>
      <w:marTop w:val="0"/>
      <w:marBottom w:val="0"/>
      <w:divBdr>
        <w:top w:val="none" w:sz="0" w:space="0" w:color="auto"/>
        <w:left w:val="none" w:sz="0" w:space="0" w:color="auto"/>
        <w:bottom w:val="none" w:sz="0" w:space="0" w:color="auto"/>
        <w:right w:val="none" w:sz="0" w:space="0" w:color="auto"/>
      </w:divBdr>
    </w:div>
    <w:div w:id="116416459">
      <w:bodyDiv w:val="1"/>
      <w:marLeft w:val="0"/>
      <w:marRight w:val="0"/>
      <w:marTop w:val="0"/>
      <w:marBottom w:val="0"/>
      <w:divBdr>
        <w:top w:val="none" w:sz="0" w:space="0" w:color="auto"/>
        <w:left w:val="none" w:sz="0" w:space="0" w:color="auto"/>
        <w:bottom w:val="none" w:sz="0" w:space="0" w:color="auto"/>
        <w:right w:val="none" w:sz="0" w:space="0" w:color="auto"/>
      </w:divBdr>
    </w:div>
    <w:div w:id="117140377">
      <w:bodyDiv w:val="1"/>
      <w:marLeft w:val="0"/>
      <w:marRight w:val="0"/>
      <w:marTop w:val="0"/>
      <w:marBottom w:val="0"/>
      <w:divBdr>
        <w:top w:val="none" w:sz="0" w:space="0" w:color="auto"/>
        <w:left w:val="none" w:sz="0" w:space="0" w:color="auto"/>
        <w:bottom w:val="none" w:sz="0" w:space="0" w:color="auto"/>
        <w:right w:val="none" w:sz="0" w:space="0" w:color="auto"/>
      </w:divBdr>
    </w:div>
    <w:div w:id="121921070">
      <w:bodyDiv w:val="1"/>
      <w:marLeft w:val="0"/>
      <w:marRight w:val="0"/>
      <w:marTop w:val="0"/>
      <w:marBottom w:val="0"/>
      <w:divBdr>
        <w:top w:val="none" w:sz="0" w:space="0" w:color="auto"/>
        <w:left w:val="none" w:sz="0" w:space="0" w:color="auto"/>
        <w:bottom w:val="none" w:sz="0" w:space="0" w:color="auto"/>
        <w:right w:val="none" w:sz="0" w:space="0" w:color="auto"/>
      </w:divBdr>
    </w:div>
    <w:div w:id="128786354">
      <w:bodyDiv w:val="1"/>
      <w:marLeft w:val="0"/>
      <w:marRight w:val="0"/>
      <w:marTop w:val="0"/>
      <w:marBottom w:val="0"/>
      <w:divBdr>
        <w:top w:val="none" w:sz="0" w:space="0" w:color="auto"/>
        <w:left w:val="none" w:sz="0" w:space="0" w:color="auto"/>
        <w:bottom w:val="none" w:sz="0" w:space="0" w:color="auto"/>
        <w:right w:val="none" w:sz="0" w:space="0" w:color="auto"/>
      </w:divBdr>
    </w:div>
    <w:div w:id="131094997">
      <w:bodyDiv w:val="1"/>
      <w:marLeft w:val="0"/>
      <w:marRight w:val="0"/>
      <w:marTop w:val="0"/>
      <w:marBottom w:val="0"/>
      <w:divBdr>
        <w:top w:val="none" w:sz="0" w:space="0" w:color="auto"/>
        <w:left w:val="none" w:sz="0" w:space="0" w:color="auto"/>
        <w:bottom w:val="none" w:sz="0" w:space="0" w:color="auto"/>
        <w:right w:val="none" w:sz="0" w:space="0" w:color="auto"/>
      </w:divBdr>
    </w:div>
    <w:div w:id="137383758">
      <w:bodyDiv w:val="1"/>
      <w:marLeft w:val="0"/>
      <w:marRight w:val="0"/>
      <w:marTop w:val="0"/>
      <w:marBottom w:val="0"/>
      <w:divBdr>
        <w:top w:val="none" w:sz="0" w:space="0" w:color="auto"/>
        <w:left w:val="none" w:sz="0" w:space="0" w:color="auto"/>
        <w:bottom w:val="none" w:sz="0" w:space="0" w:color="auto"/>
        <w:right w:val="none" w:sz="0" w:space="0" w:color="auto"/>
      </w:divBdr>
    </w:div>
    <w:div w:id="137891616">
      <w:bodyDiv w:val="1"/>
      <w:marLeft w:val="0"/>
      <w:marRight w:val="0"/>
      <w:marTop w:val="0"/>
      <w:marBottom w:val="0"/>
      <w:divBdr>
        <w:top w:val="none" w:sz="0" w:space="0" w:color="auto"/>
        <w:left w:val="none" w:sz="0" w:space="0" w:color="auto"/>
        <w:bottom w:val="none" w:sz="0" w:space="0" w:color="auto"/>
        <w:right w:val="none" w:sz="0" w:space="0" w:color="auto"/>
      </w:divBdr>
    </w:div>
    <w:div w:id="138426889">
      <w:bodyDiv w:val="1"/>
      <w:marLeft w:val="0"/>
      <w:marRight w:val="0"/>
      <w:marTop w:val="0"/>
      <w:marBottom w:val="0"/>
      <w:divBdr>
        <w:top w:val="none" w:sz="0" w:space="0" w:color="auto"/>
        <w:left w:val="none" w:sz="0" w:space="0" w:color="auto"/>
        <w:bottom w:val="none" w:sz="0" w:space="0" w:color="auto"/>
        <w:right w:val="none" w:sz="0" w:space="0" w:color="auto"/>
      </w:divBdr>
    </w:div>
    <w:div w:id="140467186">
      <w:bodyDiv w:val="1"/>
      <w:marLeft w:val="0"/>
      <w:marRight w:val="0"/>
      <w:marTop w:val="0"/>
      <w:marBottom w:val="0"/>
      <w:divBdr>
        <w:top w:val="none" w:sz="0" w:space="0" w:color="auto"/>
        <w:left w:val="none" w:sz="0" w:space="0" w:color="auto"/>
        <w:bottom w:val="none" w:sz="0" w:space="0" w:color="auto"/>
        <w:right w:val="none" w:sz="0" w:space="0" w:color="auto"/>
      </w:divBdr>
    </w:div>
    <w:div w:id="142897684">
      <w:bodyDiv w:val="1"/>
      <w:marLeft w:val="0"/>
      <w:marRight w:val="0"/>
      <w:marTop w:val="0"/>
      <w:marBottom w:val="0"/>
      <w:divBdr>
        <w:top w:val="none" w:sz="0" w:space="0" w:color="auto"/>
        <w:left w:val="none" w:sz="0" w:space="0" w:color="auto"/>
        <w:bottom w:val="none" w:sz="0" w:space="0" w:color="auto"/>
        <w:right w:val="none" w:sz="0" w:space="0" w:color="auto"/>
      </w:divBdr>
    </w:div>
    <w:div w:id="146094545">
      <w:bodyDiv w:val="1"/>
      <w:marLeft w:val="0"/>
      <w:marRight w:val="0"/>
      <w:marTop w:val="0"/>
      <w:marBottom w:val="0"/>
      <w:divBdr>
        <w:top w:val="none" w:sz="0" w:space="0" w:color="auto"/>
        <w:left w:val="none" w:sz="0" w:space="0" w:color="auto"/>
        <w:bottom w:val="none" w:sz="0" w:space="0" w:color="auto"/>
        <w:right w:val="none" w:sz="0" w:space="0" w:color="auto"/>
      </w:divBdr>
    </w:div>
    <w:div w:id="152993493">
      <w:bodyDiv w:val="1"/>
      <w:marLeft w:val="0"/>
      <w:marRight w:val="0"/>
      <w:marTop w:val="0"/>
      <w:marBottom w:val="0"/>
      <w:divBdr>
        <w:top w:val="none" w:sz="0" w:space="0" w:color="auto"/>
        <w:left w:val="none" w:sz="0" w:space="0" w:color="auto"/>
        <w:bottom w:val="none" w:sz="0" w:space="0" w:color="auto"/>
        <w:right w:val="none" w:sz="0" w:space="0" w:color="auto"/>
      </w:divBdr>
    </w:div>
    <w:div w:id="156574311">
      <w:bodyDiv w:val="1"/>
      <w:marLeft w:val="0"/>
      <w:marRight w:val="0"/>
      <w:marTop w:val="0"/>
      <w:marBottom w:val="0"/>
      <w:divBdr>
        <w:top w:val="none" w:sz="0" w:space="0" w:color="auto"/>
        <w:left w:val="none" w:sz="0" w:space="0" w:color="auto"/>
        <w:bottom w:val="none" w:sz="0" w:space="0" w:color="auto"/>
        <w:right w:val="none" w:sz="0" w:space="0" w:color="auto"/>
      </w:divBdr>
    </w:div>
    <w:div w:id="156649323">
      <w:bodyDiv w:val="1"/>
      <w:marLeft w:val="0"/>
      <w:marRight w:val="0"/>
      <w:marTop w:val="0"/>
      <w:marBottom w:val="0"/>
      <w:divBdr>
        <w:top w:val="none" w:sz="0" w:space="0" w:color="auto"/>
        <w:left w:val="none" w:sz="0" w:space="0" w:color="auto"/>
        <w:bottom w:val="none" w:sz="0" w:space="0" w:color="auto"/>
        <w:right w:val="none" w:sz="0" w:space="0" w:color="auto"/>
      </w:divBdr>
    </w:div>
    <w:div w:id="163472255">
      <w:bodyDiv w:val="1"/>
      <w:marLeft w:val="0"/>
      <w:marRight w:val="0"/>
      <w:marTop w:val="0"/>
      <w:marBottom w:val="0"/>
      <w:divBdr>
        <w:top w:val="none" w:sz="0" w:space="0" w:color="auto"/>
        <w:left w:val="none" w:sz="0" w:space="0" w:color="auto"/>
        <w:bottom w:val="none" w:sz="0" w:space="0" w:color="auto"/>
        <w:right w:val="none" w:sz="0" w:space="0" w:color="auto"/>
      </w:divBdr>
    </w:div>
    <w:div w:id="165099271">
      <w:bodyDiv w:val="1"/>
      <w:marLeft w:val="0"/>
      <w:marRight w:val="0"/>
      <w:marTop w:val="0"/>
      <w:marBottom w:val="0"/>
      <w:divBdr>
        <w:top w:val="none" w:sz="0" w:space="0" w:color="auto"/>
        <w:left w:val="none" w:sz="0" w:space="0" w:color="auto"/>
        <w:bottom w:val="none" w:sz="0" w:space="0" w:color="auto"/>
        <w:right w:val="none" w:sz="0" w:space="0" w:color="auto"/>
      </w:divBdr>
    </w:div>
    <w:div w:id="167604489">
      <w:bodyDiv w:val="1"/>
      <w:marLeft w:val="0"/>
      <w:marRight w:val="0"/>
      <w:marTop w:val="0"/>
      <w:marBottom w:val="0"/>
      <w:divBdr>
        <w:top w:val="none" w:sz="0" w:space="0" w:color="auto"/>
        <w:left w:val="none" w:sz="0" w:space="0" w:color="auto"/>
        <w:bottom w:val="none" w:sz="0" w:space="0" w:color="auto"/>
        <w:right w:val="none" w:sz="0" w:space="0" w:color="auto"/>
      </w:divBdr>
    </w:div>
    <w:div w:id="178202669">
      <w:bodyDiv w:val="1"/>
      <w:marLeft w:val="0"/>
      <w:marRight w:val="0"/>
      <w:marTop w:val="0"/>
      <w:marBottom w:val="0"/>
      <w:divBdr>
        <w:top w:val="none" w:sz="0" w:space="0" w:color="auto"/>
        <w:left w:val="none" w:sz="0" w:space="0" w:color="auto"/>
        <w:bottom w:val="none" w:sz="0" w:space="0" w:color="auto"/>
        <w:right w:val="none" w:sz="0" w:space="0" w:color="auto"/>
      </w:divBdr>
    </w:div>
    <w:div w:id="182672701">
      <w:bodyDiv w:val="1"/>
      <w:marLeft w:val="0"/>
      <w:marRight w:val="0"/>
      <w:marTop w:val="0"/>
      <w:marBottom w:val="0"/>
      <w:divBdr>
        <w:top w:val="none" w:sz="0" w:space="0" w:color="auto"/>
        <w:left w:val="none" w:sz="0" w:space="0" w:color="auto"/>
        <w:bottom w:val="none" w:sz="0" w:space="0" w:color="auto"/>
        <w:right w:val="none" w:sz="0" w:space="0" w:color="auto"/>
      </w:divBdr>
    </w:div>
    <w:div w:id="183787322">
      <w:bodyDiv w:val="1"/>
      <w:marLeft w:val="0"/>
      <w:marRight w:val="0"/>
      <w:marTop w:val="0"/>
      <w:marBottom w:val="0"/>
      <w:divBdr>
        <w:top w:val="none" w:sz="0" w:space="0" w:color="auto"/>
        <w:left w:val="none" w:sz="0" w:space="0" w:color="auto"/>
        <w:bottom w:val="none" w:sz="0" w:space="0" w:color="auto"/>
        <w:right w:val="none" w:sz="0" w:space="0" w:color="auto"/>
      </w:divBdr>
    </w:div>
    <w:div w:id="187645981">
      <w:bodyDiv w:val="1"/>
      <w:marLeft w:val="0"/>
      <w:marRight w:val="0"/>
      <w:marTop w:val="0"/>
      <w:marBottom w:val="0"/>
      <w:divBdr>
        <w:top w:val="none" w:sz="0" w:space="0" w:color="auto"/>
        <w:left w:val="none" w:sz="0" w:space="0" w:color="auto"/>
        <w:bottom w:val="none" w:sz="0" w:space="0" w:color="auto"/>
        <w:right w:val="none" w:sz="0" w:space="0" w:color="auto"/>
      </w:divBdr>
    </w:div>
    <w:div w:id="187836840">
      <w:bodyDiv w:val="1"/>
      <w:marLeft w:val="0"/>
      <w:marRight w:val="0"/>
      <w:marTop w:val="0"/>
      <w:marBottom w:val="0"/>
      <w:divBdr>
        <w:top w:val="none" w:sz="0" w:space="0" w:color="auto"/>
        <w:left w:val="none" w:sz="0" w:space="0" w:color="auto"/>
        <w:bottom w:val="none" w:sz="0" w:space="0" w:color="auto"/>
        <w:right w:val="none" w:sz="0" w:space="0" w:color="auto"/>
      </w:divBdr>
    </w:div>
    <w:div w:id="190070881">
      <w:bodyDiv w:val="1"/>
      <w:marLeft w:val="0"/>
      <w:marRight w:val="0"/>
      <w:marTop w:val="0"/>
      <w:marBottom w:val="0"/>
      <w:divBdr>
        <w:top w:val="none" w:sz="0" w:space="0" w:color="auto"/>
        <w:left w:val="none" w:sz="0" w:space="0" w:color="auto"/>
        <w:bottom w:val="none" w:sz="0" w:space="0" w:color="auto"/>
        <w:right w:val="none" w:sz="0" w:space="0" w:color="auto"/>
      </w:divBdr>
    </w:div>
    <w:div w:id="193228918">
      <w:bodyDiv w:val="1"/>
      <w:marLeft w:val="0"/>
      <w:marRight w:val="0"/>
      <w:marTop w:val="0"/>
      <w:marBottom w:val="0"/>
      <w:divBdr>
        <w:top w:val="none" w:sz="0" w:space="0" w:color="auto"/>
        <w:left w:val="none" w:sz="0" w:space="0" w:color="auto"/>
        <w:bottom w:val="none" w:sz="0" w:space="0" w:color="auto"/>
        <w:right w:val="none" w:sz="0" w:space="0" w:color="auto"/>
      </w:divBdr>
    </w:div>
    <w:div w:id="197547010">
      <w:bodyDiv w:val="1"/>
      <w:marLeft w:val="0"/>
      <w:marRight w:val="0"/>
      <w:marTop w:val="0"/>
      <w:marBottom w:val="0"/>
      <w:divBdr>
        <w:top w:val="none" w:sz="0" w:space="0" w:color="auto"/>
        <w:left w:val="none" w:sz="0" w:space="0" w:color="auto"/>
        <w:bottom w:val="none" w:sz="0" w:space="0" w:color="auto"/>
        <w:right w:val="none" w:sz="0" w:space="0" w:color="auto"/>
      </w:divBdr>
    </w:div>
    <w:div w:id="203173356">
      <w:bodyDiv w:val="1"/>
      <w:marLeft w:val="0"/>
      <w:marRight w:val="0"/>
      <w:marTop w:val="0"/>
      <w:marBottom w:val="0"/>
      <w:divBdr>
        <w:top w:val="none" w:sz="0" w:space="0" w:color="auto"/>
        <w:left w:val="none" w:sz="0" w:space="0" w:color="auto"/>
        <w:bottom w:val="none" w:sz="0" w:space="0" w:color="auto"/>
        <w:right w:val="none" w:sz="0" w:space="0" w:color="auto"/>
      </w:divBdr>
    </w:div>
    <w:div w:id="203757694">
      <w:bodyDiv w:val="1"/>
      <w:marLeft w:val="0"/>
      <w:marRight w:val="0"/>
      <w:marTop w:val="0"/>
      <w:marBottom w:val="0"/>
      <w:divBdr>
        <w:top w:val="none" w:sz="0" w:space="0" w:color="auto"/>
        <w:left w:val="none" w:sz="0" w:space="0" w:color="auto"/>
        <w:bottom w:val="none" w:sz="0" w:space="0" w:color="auto"/>
        <w:right w:val="none" w:sz="0" w:space="0" w:color="auto"/>
      </w:divBdr>
    </w:div>
    <w:div w:id="212616720">
      <w:bodyDiv w:val="1"/>
      <w:marLeft w:val="0"/>
      <w:marRight w:val="0"/>
      <w:marTop w:val="0"/>
      <w:marBottom w:val="0"/>
      <w:divBdr>
        <w:top w:val="none" w:sz="0" w:space="0" w:color="auto"/>
        <w:left w:val="none" w:sz="0" w:space="0" w:color="auto"/>
        <w:bottom w:val="none" w:sz="0" w:space="0" w:color="auto"/>
        <w:right w:val="none" w:sz="0" w:space="0" w:color="auto"/>
      </w:divBdr>
    </w:div>
    <w:div w:id="213784746">
      <w:bodyDiv w:val="1"/>
      <w:marLeft w:val="0"/>
      <w:marRight w:val="0"/>
      <w:marTop w:val="0"/>
      <w:marBottom w:val="0"/>
      <w:divBdr>
        <w:top w:val="none" w:sz="0" w:space="0" w:color="auto"/>
        <w:left w:val="none" w:sz="0" w:space="0" w:color="auto"/>
        <w:bottom w:val="none" w:sz="0" w:space="0" w:color="auto"/>
        <w:right w:val="none" w:sz="0" w:space="0" w:color="auto"/>
      </w:divBdr>
    </w:div>
    <w:div w:id="218562609">
      <w:bodyDiv w:val="1"/>
      <w:marLeft w:val="0"/>
      <w:marRight w:val="0"/>
      <w:marTop w:val="0"/>
      <w:marBottom w:val="0"/>
      <w:divBdr>
        <w:top w:val="none" w:sz="0" w:space="0" w:color="auto"/>
        <w:left w:val="none" w:sz="0" w:space="0" w:color="auto"/>
        <w:bottom w:val="none" w:sz="0" w:space="0" w:color="auto"/>
        <w:right w:val="none" w:sz="0" w:space="0" w:color="auto"/>
      </w:divBdr>
    </w:div>
    <w:div w:id="221984800">
      <w:bodyDiv w:val="1"/>
      <w:marLeft w:val="0"/>
      <w:marRight w:val="0"/>
      <w:marTop w:val="0"/>
      <w:marBottom w:val="0"/>
      <w:divBdr>
        <w:top w:val="none" w:sz="0" w:space="0" w:color="auto"/>
        <w:left w:val="none" w:sz="0" w:space="0" w:color="auto"/>
        <w:bottom w:val="none" w:sz="0" w:space="0" w:color="auto"/>
        <w:right w:val="none" w:sz="0" w:space="0" w:color="auto"/>
      </w:divBdr>
    </w:div>
    <w:div w:id="230046439">
      <w:bodyDiv w:val="1"/>
      <w:marLeft w:val="0"/>
      <w:marRight w:val="0"/>
      <w:marTop w:val="0"/>
      <w:marBottom w:val="0"/>
      <w:divBdr>
        <w:top w:val="none" w:sz="0" w:space="0" w:color="auto"/>
        <w:left w:val="none" w:sz="0" w:space="0" w:color="auto"/>
        <w:bottom w:val="none" w:sz="0" w:space="0" w:color="auto"/>
        <w:right w:val="none" w:sz="0" w:space="0" w:color="auto"/>
      </w:divBdr>
    </w:div>
    <w:div w:id="235629738">
      <w:bodyDiv w:val="1"/>
      <w:marLeft w:val="0"/>
      <w:marRight w:val="0"/>
      <w:marTop w:val="0"/>
      <w:marBottom w:val="0"/>
      <w:divBdr>
        <w:top w:val="none" w:sz="0" w:space="0" w:color="auto"/>
        <w:left w:val="none" w:sz="0" w:space="0" w:color="auto"/>
        <w:bottom w:val="none" w:sz="0" w:space="0" w:color="auto"/>
        <w:right w:val="none" w:sz="0" w:space="0" w:color="auto"/>
      </w:divBdr>
    </w:div>
    <w:div w:id="238056076">
      <w:bodyDiv w:val="1"/>
      <w:marLeft w:val="0"/>
      <w:marRight w:val="0"/>
      <w:marTop w:val="0"/>
      <w:marBottom w:val="0"/>
      <w:divBdr>
        <w:top w:val="none" w:sz="0" w:space="0" w:color="auto"/>
        <w:left w:val="none" w:sz="0" w:space="0" w:color="auto"/>
        <w:bottom w:val="none" w:sz="0" w:space="0" w:color="auto"/>
        <w:right w:val="none" w:sz="0" w:space="0" w:color="auto"/>
      </w:divBdr>
    </w:div>
    <w:div w:id="238756991">
      <w:bodyDiv w:val="1"/>
      <w:marLeft w:val="0"/>
      <w:marRight w:val="0"/>
      <w:marTop w:val="0"/>
      <w:marBottom w:val="0"/>
      <w:divBdr>
        <w:top w:val="none" w:sz="0" w:space="0" w:color="auto"/>
        <w:left w:val="none" w:sz="0" w:space="0" w:color="auto"/>
        <w:bottom w:val="none" w:sz="0" w:space="0" w:color="auto"/>
        <w:right w:val="none" w:sz="0" w:space="0" w:color="auto"/>
      </w:divBdr>
    </w:div>
    <w:div w:id="240138931">
      <w:bodyDiv w:val="1"/>
      <w:marLeft w:val="0"/>
      <w:marRight w:val="0"/>
      <w:marTop w:val="0"/>
      <w:marBottom w:val="0"/>
      <w:divBdr>
        <w:top w:val="none" w:sz="0" w:space="0" w:color="auto"/>
        <w:left w:val="none" w:sz="0" w:space="0" w:color="auto"/>
        <w:bottom w:val="none" w:sz="0" w:space="0" w:color="auto"/>
        <w:right w:val="none" w:sz="0" w:space="0" w:color="auto"/>
      </w:divBdr>
    </w:div>
    <w:div w:id="240600754">
      <w:bodyDiv w:val="1"/>
      <w:marLeft w:val="0"/>
      <w:marRight w:val="0"/>
      <w:marTop w:val="0"/>
      <w:marBottom w:val="0"/>
      <w:divBdr>
        <w:top w:val="none" w:sz="0" w:space="0" w:color="auto"/>
        <w:left w:val="none" w:sz="0" w:space="0" w:color="auto"/>
        <w:bottom w:val="none" w:sz="0" w:space="0" w:color="auto"/>
        <w:right w:val="none" w:sz="0" w:space="0" w:color="auto"/>
      </w:divBdr>
    </w:div>
    <w:div w:id="245192329">
      <w:bodyDiv w:val="1"/>
      <w:marLeft w:val="0"/>
      <w:marRight w:val="0"/>
      <w:marTop w:val="0"/>
      <w:marBottom w:val="0"/>
      <w:divBdr>
        <w:top w:val="none" w:sz="0" w:space="0" w:color="auto"/>
        <w:left w:val="none" w:sz="0" w:space="0" w:color="auto"/>
        <w:bottom w:val="none" w:sz="0" w:space="0" w:color="auto"/>
        <w:right w:val="none" w:sz="0" w:space="0" w:color="auto"/>
      </w:divBdr>
    </w:div>
    <w:div w:id="246504041">
      <w:bodyDiv w:val="1"/>
      <w:marLeft w:val="0"/>
      <w:marRight w:val="0"/>
      <w:marTop w:val="0"/>
      <w:marBottom w:val="0"/>
      <w:divBdr>
        <w:top w:val="none" w:sz="0" w:space="0" w:color="auto"/>
        <w:left w:val="none" w:sz="0" w:space="0" w:color="auto"/>
        <w:bottom w:val="none" w:sz="0" w:space="0" w:color="auto"/>
        <w:right w:val="none" w:sz="0" w:space="0" w:color="auto"/>
      </w:divBdr>
    </w:div>
    <w:div w:id="247233544">
      <w:bodyDiv w:val="1"/>
      <w:marLeft w:val="0"/>
      <w:marRight w:val="0"/>
      <w:marTop w:val="0"/>
      <w:marBottom w:val="0"/>
      <w:divBdr>
        <w:top w:val="none" w:sz="0" w:space="0" w:color="auto"/>
        <w:left w:val="none" w:sz="0" w:space="0" w:color="auto"/>
        <w:bottom w:val="none" w:sz="0" w:space="0" w:color="auto"/>
        <w:right w:val="none" w:sz="0" w:space="0" w:color="auto"/>
      </w:divBdr>
    </w:div>
    <w:div w:id="262422850">
      <w:bodyDiv w:val="1"/>
      <w:marLeft w:val="0"/>
      <w:marRight w:val="0"/>
      <w:marTop w:val="0"/>
      <w:marBottom w:val="0"/>
      <w:divBdr>
        <w:top w:val="none" w:sz="0" w:space="0" w:color="auto"/>
        <w:left w:val="none" w:sz="0" w:space="0" w:color="auto"/>
        <w:bottom w:val="none" w:sz="0" w:space="0" w:color="auto"/>
        <w:right w:val="none" w:sz="0" w:space="0" w:color="auto"/>
      </w:divBdr>
    </w:div>
    <w:div w:id="266273413">
      <w:bodyDiv w:val="1"/>
      <w:marLeft w:val="0"/>
      <w:marRight w:val="0"/>
      <w:marTop w:val="0"/>
      <w:marBottom w:val="0"/>
      <w:divBdr>
        <w:top w:val="none" w:sz="0" w:space="0" w:color="auto"/>
        <w:left w:val="none" w:sz="0" w:space="0" w:color="auto"/>
        <w:bottom w:val="none" w:sz="0" w:space="0" w:color="auto"/>
        <w:right w:val="none" w:sz="0" w:space="0" w:color="auto"/>
      </w:divBdr>
    </w:div>
    <w:div w:id="266810398">
      <w:bodyDiv w:val="1"/>
      <w:marLeft w:val="0"/>
      <w:marRight w:val="0"/>
      <w:marTop w:val="0"/>
      <w:marBottom w:val="0"/>
      <w:divBdr>
        <w:top w:val="none" w:sz="0" w:space="0" w:color="auto"/>
        <w:left w:val="none" w:sz="0" w:space="0" w:color="auto"/>
        <w:bottom w:val="none" w:sz="0" w:space="0" w:color="auto"/>
        <w:right w:val="none" w:sz="0" w:space="0" w:color="auto"/>
      </w:divBdr>
    </w:div>
    <w:div w:id="267347015">
      <w:bodyDiv w:val="1"/>
      <w:marLeft w:val="0"/>
      <w:marRight w:val="0"/>
      <w:marTop w:val="0"/>
      <w:marBottom w:val="0"/>
      <w:divBdr>
        <w:top w:val="none" w:sz="0" w:space="0" w:color="auto"/>
        <w:left w:val="none" w:sz="0" w:space="0" w:color="auto"/>
        <w:bottom w:val="none" w:sz="0" w:space="0" w:color="auto"/>
        <w:right w:val="none" w:sz="0" w:space="0" w:color="auto"/>
      </w:divBdr>
    </w:div>
    <w:div w:id="273709001">
      <w:bodyDiv w:val="1"/>
      <w:marLeft w:val="0"/>
      <w:marRight w:val="0"/>
      <w:marTop w:val="0"/>
      <w:marBottom w:val="0"/>
      <w:divBdr>
        <w:top w:val="none" w:sz="0" w:space="0" w:color="auto"/>
        <w:left w:val="none" w:sz="0" w:space="0" w:color="auto"/>
        <w:bottom w:val="none" w:sz="0" w:space="0" w:color="auto"/>
        <w:right w:val="none" w:sz="0" w:space="0" w:color="auto"/>
      </w:divBdr>
    </w:div>
    <w:div w:id="280918659">
      <w:bodyDiv w:val="1"/>
      <w:marLeft w:val="0"/>
      <w:marRight w:val="0"/>
      <w:marTop w:val="0"/>
      <w:marBottom w:val="0"/>
      <w:divBdr>
        <w:top w:val="none" w:sz="0" w:space="0" w:color="auto"/>
        <w:left w:val="none" w:sz="0" w:space="0" w:color="auto"/>
        <w:bottom w:val="none" w:sz="0" w:space="0" w:color="auto"/>
        <w:right w:val="none" w:sz="0" w:space="0" w:color="auto"/>
      </w:divBdr>
    </w:div>
    <w:div w:id="286814952">
      <w:bodyDiv w:val="1"/>
      <w:marLeft w:val="0"/>
      <w:marRight w:val="0"/>
      <w:marTop w:val="0"/>
      <w:marBottom w:val="0"/>
      <w:divBdr>
        <w:top w:val="none" w:sz="0" w:space="0" w:color="auto"/>
        <w:left w:val="none" w:sz="0" w:space="0" w:color="auto"/>
        <w:bottom w:val="none" w:sz="0" w:space="0" w:color="auto"/>
        <w:right w:val="none" w:sz="0" w:space="0" w:color="auto"/>
      </w:divBdr>
    </w:div>
    <w:div w:id="286858894">
      <w:bodyDiv w:val="1"/>
      <w:marLeft w:val="0"/>
      <w:marRight w:val="0"/>
      <w:marTop w:val="0"/>
      <w:marBottom w:val="0"/>
      <w:divBdr>
        <w:top w:val="none" w:sz="0" w:space="0" w:color="auto"/>
        <w:left w:val="none" w:sz="0" w:space="0" w:color="auto"/>
        <w:bottom w:val="none" w:sz="0" w:space="0" w:color="auto"/>
        <w:right w:val="none" w:sz="0" w:space="0" w:color="auto"/>
      </w:divBdr>
    </w:div>
    <w:div w:id="301152738">
      <w:bodyDiv w:val="1"/>
      <w:marLeft w:val="0"/>
      <w:marRight w:val="0"/>
      <w:marTop w:val="0"/>
      <w:marBottom w:val="0"/>
      <w:divBdr>
        <w:top w:val="none" w:sz="0" w:space="0" w:color="auto"/>
        <w:left w:val="none" w:sz="0" w:space="0" w:color="auto"/>
        <w:bottom w:val="none" w:sz="0" w:space="0" w:color="auto"/>
        <w:right w:val="none" w:sz="0" w:space="0" w:color="auto"/>
      </w:divBdr>
    </w:div>
    <w:div w:id="317611632">
      <w:bodyDiv w:val="1"/>
      <w:marLeft w:val="0"/>
      <w:marRight w:val="0"/>
      <w:marTop w:val="0"/>
      <w:marBottom w:val="0"/>
      <w:divBdr>
        <w:top w:val="none" w:sz="0" w:space="0" w:color="auto"/>
        <w:left w:val="none" w:sz="0" w:space="0" w:color="auto"/>
        <w:bottom w:val="none" w:sz="0" w:space="0" w:color="auto"/>
        <w:right w:val="none" w:sz="0" w:space="0" w:color="auto"/>
      </w:divBdr>
    </w:div>
    <w:div w:id="322928477">
      <w:bodyDiv w:val="1"/>
      <w:marLeft w:val="0"/>
      <w:marRight w:val="0"/>
      <w:marTop w:val="0"/>
      <w:marBottom w:val="0"/>
      <w:divBdr>
        <w:top w:val="none" w:sz="0" w:space="0" w:color="auto"/>
        <w:left w:val="none" w:sz="0" w:space="0" w:color="auto"/>
        <w:bottom w:val="none" w:sz="0" w:space="0" w:color="auto"/>
        <w:right w:val="none" w:sz="0" w:space="0" w:color="auto"/>
      </w:divBdr>
    </w:div>
    <w:div w:id="324479314">
      <w:bodyDiv w:val="1"/>
      <w:marLeft w:val="0"/>
      <w:marRight w:val="0"/>
      <w:marTop w:val="0"/>
      <w:marBottom w:val="0"/>
      <w:divBdr>
        <w:top w:val="none" w:sz="0" w:space="0" w:color="auto"/>
        <w:left w:val="none" w:sz="0" w:space="0" w:color="auto"/>
        <w:bottom w:val="none" w:sz="0" w:space="0" w:color="auto"/>
        <w:right w:val="none" w:sz="0" w:space="0" w:color="auto"/>
      </w:divBdr>
    </w:div>
    <w:div w:id="328800162">
      <w:bodyDiv w:val="1"/>
      <w:marLeft w:val="0"/>
      <w:marRight w:val="0"/>
      <w:marTop w:val="0"/>
      <w:marBottom w:val="0"/>
      <w:divBdr>
        <w:top w:val="none" w:sz="0" w:space="0" w:color="auto"/>
        <w:left w:val="none" w:sz="0" w:space="0" w:color="auto"/>
        <w:bottom w:val="none" w:sz="0" w:space="0" w:color="auto"/>
        <w:right w:val="none" w:sz="0" w:space="0" w:color="auto"/>
      </w:divBdr>
    </w:div>
    <w:div w:id="330452884">
      <w:bodyDiv w:val="1"/>
      <w:marLeft w:val="0"/>
      <w:marRight w:val="0"/>
      <w:marTop w:val="0"/>
      <w:marBottom w:val="0"/>
      <w:divBdr>
        <w:top w:val="none" w:sz="0" w:space="0" w:color="auto"/>
        <w:left w:val="none" w:sz="0" w:space="0" w:color="auto"/>
        <w:bottom w:val="none" w:sz="0" w:space="0" w:color="auto"/>
        <w:right w:val="none" w:sz="0" w:space="0" w:color="auto"/>
      </w:divBdr>
    </w:div>
    <w:div w:id="330915201">
      <w:bodyDiv w:val="1"/>
      <w:marLeft w:val="0"/>
      <w:marRight w:val="0"/>
      <w:marTop w:val="0"/>
      <w:marBottom w:val="0"/>
      <w:divBdr>
        <w:top w:val="none" w:sz="0" w:space="0" w:color="auto"/>
        <w:left w:val="none" w:sz="0" w:space="0" w:color="auto"/>
        <w:bottom w:val="none" w:sz="0" w:space="0" w:color="auto"/>
        <w:right w:val="none" w:sz="0" w:space="0" w:color="auto"/>
      </w:divBdr>
    </w:div>
    <w:div w:id="331565995">
      <w:bodyDiv w:val="1"/>
      <w:marLeft w:val="0"/>
      <w:marRight w:val="0"/>
      <w:marTop w:val="0"/>
      <w:marBottom w:val="0"/>
      <w:divBdr>
        <w:top w:val="none" w:sz="0" w:space="0" w:color="auto"/>
        <w:left w:val="none" w:sz="0" w:space="0" w:color="auto"/>
        <w:bottom w:val="none" w:sz="0" w:space="0" w:color="auto"/>
        <w:right w:val="none" w:sz="0" w:space="0" w:color="auto"/>
      </w:divBdr>
    </w:div>
    <w:div w:id="332033160">
      <w:bodyDiv w:val="1"/>
      <w:marLeft w:val="0"/>
      <w:marRight w:val="0"/>
      <w:marTop w:val="0"/>
      <w:marBottom w:val="0"/>
      <w:divBdr>
        <w:top w:val="none" w:sz="0" w:space="0" w:color="auto"/>
        <w:left w:val="none" w:sz="0" w:space="0" w:color="auto"/>
        <w:bottom w:val="none" w:sz="0" w:space="0" w:color="auto"/>
        <w:right w:val="none" w:sz="0" w:space="0" w:color="auto"/>
      </w:divBdr>
    </w:div>
    <w:div w:id="337733526">
      <w:bodyDiv w:val="1"/>
      <w:marLeft w:val="0"/>
      <w:marRight w:val="0"/>
      <w:marTop w:val="0"/>
      <w:marBottom w:val="0"/>
      <w:divBdr>
        <w:top w:val="none" w:sz="0" w:space="0" w:color="auto"/>
        <w:left w:val="none" w:sz="0" w:space="0" w:color="auto"/>
        <w:bottom w:val="none" w:sz="0" w:space="0" w:color="auto"/>
        <w:right w:val="none" w:sz="0" w:space="0" w:color="auto"/>
      </w:divBdr>
    </w:div>
    <w:div w:id="346373946">
      <w:bodyDiv w:val="1"/>
      <w:marLeft w:val="0"/>
      <w:marRight w:val="0"/>
      <w:marTop w:val="0"/>
      <w:marBottom w:val="0"/>
      <w:divBdr>
        <w:top w:val="none" w:sz="0" w:space="0" w:color="auto"/>
        <w:left w:val="none" w:sz="0" w:space="0" w:color="auto"/>
        <w:bottom w:val="none" w:sz="0" w:space="0" w:color="auto"/>
        <w:right w:val="none" w:sz="0" w:space="0" w:color="auto"/>
      </w:divBdr>
    </w:div>
    <w:div w:id="346450599">
      <w:bodyDiv w:val="1"/>
      <w:marLeft w:val="0"/>
      <w:marRight w:val="0"/>
      <w:marTop w:val="0"/>
      <w:marBottom w:val="0"/>
      <w:divBdr>
        <w:top w:val="none" w:sz="0" w:space="0" w:color="auto"/>
        <w:left w:val="none" w:sz="0" w:space="0" w:color="auto"/>
        <w:bottom w:val="none" w:sz="0" w:space="0" w:color="auto"/>
        <w:right w:val="none" w:sz="0" w:space="0" w:color="auto"/>
      </w:divBdr>
    </w:div>
    <w:div w:id="346561505">
      <w:bodyDiv w:val="1"/>
      <w:marLeft w:val="0"/>
      <w:marRight w:val="0"/>
      <w:marTop w:val="0"/>
      <w:marBottom w:val="0"/>
      <w:divBdr>
        <w:top w:val="none" w:sz="0" w:space="0" w:color="auto"/>
        <w:left w:val="none" w:sz="0" w:space="0" w:color="auto"/>
        <w:bottom w:val="none" w:sz="0" w:space="0" w:color="auto"/>
        <w:right w:val="none" w:sz="0" w:space="0" w:color="auto"/>
      </w:divBdr>
    </w:div>
    <w:div w:id="351347691">
      <w:bodyDiv w:val="1"/>
      <w:marLeft w:val="0"/>
      <w:marRight w:val="0"/>
      <w:marTop w:val="0"/>
      <w:marBottom w:val="0"/>
      <w:divBdr>
        <w:top w:val="none" w:sz="0" w:space="0" w:color="auto"/>
        <w:left w:val="none" w:sz="0" w:space="0" w:color="auto"/>
        <w:bottom w:val="none" w:sz="0" w:space="0" w:color="auto"/>
        <w:right w:val="none" w:sz="0" w:space="0" w:color="auto"/>
      </w:divBdr>
    </w:div>
    <w:div w:id="354507173">
      <w:bodyDiv w:val="1"/>
      <w:marLeft w:val="0"/>
      <w:marRight w:val="0"/>
      <w:marTop w:val="0"/>
      <w:marBottom w:val="0"/>
      <w:divBdr>
        <w:top w:val="none" w:sz="0" w:space="0" w:color="auto"/>
        <w:left w:val="none" w:sz="0" w:space="0" w:color="auto"/>
        <w:bottom w:val="none" w:sz="0" w:space="0" w:color="auto"/>
        <w:right w:val="none" w:sz="0" w:space="0" w:color="auto"/>
      </w:divBdr>
    </w:div>
    <w:div w:id="356928795">
      <w:bodyDiv w:val="1"/>
      <w:marLeft w:val="0"/>
      <w:marRight w:val="0"/>
      <w:marTop w:val="0"/>
      <w:marBottom w:val="0"/>
      <w:divBdr>
        <w:top w:val="none" w:sz="0" w:space="0" w:color="auto"/>
        <w:left w:val="none" w:sz="0" w:space="0" w:color="auto"/>
        <w:bottom w:val="none" w:sz="0" w:space="0" w:color="auto"/>
        <w:right w:val="none" w:sz="0" w:space="0" w:color="auto"/>
      </w:divBdr>
    </w:div>
    <w:div w:id="361439413">
      <w:bodyDiv w:val="1"/>
      <w:marLeft w:val="0"/>
      <w:marRight w:val="0"/>
      <w:marTop w:val="0"/>
      <w:marBottom w:val="0"/>
      <w:divBdr>
        <w:top w:val="none" w:sz="0" w:space="0" w:color="auto"/>
        <w:left w:val="none" w:sz="0" w:space="0" w:color="auto"/>
        <w:bottom w:val="none" w:sz="0" w:space="0" w:color="auto"/>
        <w:right w:val="none" w:sz="0" w:space="0" w:color="auto"/>
      </w:divBdr>
    </w:div>
    <w:div w:id="362249498">
      <w:bodyDiv w:val="1"/>
      <w:marLeft w:val="0"/>
      <w:marRight w:val="0"/>
      <w:marTop w:val="0"/>
      <w:marBottom w:val="0"/>
      <w:divBdr>
        <w:top w:val="none" w:sz="0" w:space="0" w:color="auto"/>
        <w:left w:val="none" w:sz="0" w:space="0" w:color="auto"/>
        <w:bottom w:val="none" w:sz="0" w:space="0" w:color="auto"/>
        <w:right w:val="none" w:sz="0" w:space="0" w:color="auto"/>
      </w:divBdr>
    </w:div>
    <w:div w:id="367492182">
      <w:bodyDiv w:val="1"/>
      <w:marLeft w:val="0"/>
      <w:marRight w:val="0"/>
      <w:marTop w:val="0"/>
      <w:marBottom w:val="0"/>
      <w:divBdr>
        <w:top w:val="none" w:sz="0" w:space="0" w:color="auto"/>
        <w:left w:val="none" w:sz="0" w:space="0" w:color="auto"/>
        <w:bottom w:val="none" w:sz="0" w:space="0" w:color="auto"/>
        <w:right w:val="none" w:sz="0" w:space="0" w:color="auto"/>
      </w:divBdr>
    </w:div>
    <w:div w:id="373775050">
      <w:bodyDiv w:val="1"/>
      <w:marLeft w:val="0"/>
      <w:marRight w:val="0"/>
      <w:marTop w:val="0"/>
      <w:marBottom w:val="0"/>
      <w:divBdr>
        <w:top w:val="none" w:sz="0" w:space="0" w:color="auto"/>
        <w:left w:val="none" w:sz="0" w:space="0" w:color="auto"/>
        <w:bottom w:val="none" w:sz="0" w:space="0" w:color="auto"/>
        <w:right w:val="none" w:sz="0" w:space="0" w:color="auto"/>
      </w:divBdr>
    </w:div>
    <w:div w:id="377902277">
      <w:bodyDiv w:val="1"/>
      <w:marLeft w:val="0"/>
      <w:marRight w:val="0"/>
      <w:marTop w:val="0"/>
      <w:marBottom w:val="0"/>
      <w:divBdr>
        <w:top w:val="none" w:sz="0" w:space="0" w:color="auto"/>
        <w:left w:val="none" w:sz="0" w:space="0" w:color="auto"/>
        <w:bottom w:val="none" w:sz="0" w:space="0" w:color="auto"/>
        <w:right w:val="none" w:sz="0" w:space="0" w:color="auto"/>
      </w:divBdr>
    </w:div>
    <w:div w:id="393819199">
      <w:bodyDiv w:val="1"/>
      <w:marLeft w:val="0"/>
      <w:marRight w:val="0"/>
      <w:marTop w:val="0"/>
      <w:marBottom w:val="0"/>
      <w:divBdr>
        <w:top w:val="none" w:sz="0" w:space="0" w:color="auto"/>
        <w:left w:val="none" w:sz="0" w:space="0" w:color="auto"/>
        <w:bottom w:val="none" w:sz="0" w:space="0" w:color="auto"/>
        <w:right w:val="none" w:sz="0" w:space="0" w:color="auto"/>
      </w:divBdr>
    </w:div>
    <w:div w:id="394815962">
      <w:bodyDiv w:val="1"/>
      <w:marLeft w:val="0"/>
      <w:marRight w:val="0"/>
      <w:marTop w:val="0"/>
      <w:marBottom w:val="0"/>
      <w:divBdr>
        <w:top w:val="none" w:sz="0" w:space="0" w:color="auto"/>
        <w:left w:val="none" w:sz="0" w:space="0" w:color="auto"/>
        <w:bottom w:val="none" w:sz="0" w:space="0" w:color="auto"/>
        <w:right w:val="none" w:sz="0" w:space="0" w:color="auto"/>
      </w:divBdr>
    </w:div>
    <w:div w:id="395251005">
      <w:bodyDiv w:val="1"/>
      <w:marLeft w:val="0"/>
      <w:marRight w:val="0"/>
      <w:marTop w:val="0"/>
      <w:marBottom w:val="0"/>
      <w:divBdr>
        <w:top w:val="none" w:sz="0" w:space="0" w:color="auto"/>
        <w:left w:val="none" w:sz="0" w:space="0" w:color="auto"/>
        <w:bottom w:val="none" w:sz="0" w:space="0" w:color="auto"/>
        <w:right w:val="none" w:sz="0" w:space="0" w:color="auto"/>
      </w:divBdr>
    </w:div>
    <w:div w:id="395935573">
      <w:bodyDiv w:val="1"/>
      <w:marLeft w:val="0"/>
      <w:marRight w:val="0"/>
      <w:marTop w:val="0"/>
      <w:marBottom w:val="0"/>
      <w:divBdr>
        <w:top w:val="none" w:sz="0" w:space="0" w:color="auto"/>
        <w:left w:val="none" w:sz="0" w:space="0" w:color="auto"/>
        <w:bottom w:val="none" w:sz="0" w:space="0" w:color="auto"/>
        <w:right w:val="none" w:sz="0" w:space="0" w:color="auto"/>
      </w:divBdr>
    </w:div>
    <w:div w:id="398210499">
      <w:bodyDiv w:val="1"/>
      <w:marLeft w:val="0"/>
      <w:marRight w:val="0"/>
      <w:marTop w:val="0"/>
      <w:marBottom w:val="0"/>
      <w:divBdr>
        <w:top w:val="none" w:sz="0" w:space="0" w:color="auto"/>
        <w:left w:val="none" w:sz="0" w:space="0" w:color="auto"/>
        <w:bottom w:val="none" w:sz="0" w:space="0" w:color="auto"/>
        <w:right w:val="none" w:sz="0" w:space="0" w:color="auto"/>
      </w:divBdr>
    </w:div>
    <w:div w:id="398211532">
      <w:bodyDiv w:val="1"/>
      <w:marLeft w:val="0"/>
      <w:marRight w:val="0"/>
      <w:marTop w:val="0"/>
      <w:marBottom w:val="0"/>
      <w:divBdr>
        <w:top w:val="none" w:sz="0" w:space="0" w:color="auto"/>
        <w:left w:val="none" w:sz="0" w:space="0" w:color="auto"/>
        <w:bottom w:val="none" w:sz="0" w:space="0" w:color="auto"/>
        <w:right w:val="none" w:sz="0" w:space="0" w:color="auto"/>
      </w:divBdr>
    </w:div>
    <w:div w:id="407266124">
      <w:bodyDiv w:val="1"/>
      <w:marLeft w:val="0"/>
      <w:marRight w:val="0"/>
      <w:marTop w:val="0"/>
      <w:marBottom w:val="0"/>
      <w:divBdr>
        <w:top w:val="none" w:sz="0" w:space="0" w:color="auto"/>
        <w:left w:val="none" w:sz="0" w:space="0" w:color="auto"/>
        <w:bottom w:val="none" w:sz="0" w:space="0" w:color="auto"/>
        <w:right w:val="none" w:sz="0" w:space="0" w:color="auto"/>
      </w:divBdr>
    </w:div>
    <w:div w:id="407503640">
      <w:bodyDiv w:val="1"/>
      <w:marLeft w:val="0"/>
      <w:marRight w:val="0"/>
      <w:marTop w:val="0"/>
      <w:marBottom w:val="0"/>
      <w:divBdr>
        <w:top w:val="none" w:sz="0" w:space="0" w:color="auto"/>
        <w:left w:val="none" w:sz="0" w:space="0" w:color="auto"/>
        <w:bottom w:val="none" w:sz="0" w:space="0" w:color="auto"/>
        <w:right w:val="none" w:sz="0" w:space="0" w:color="auto"/>
      </w:divBdr>
    </w:div>
    <w:div w:id="408038782">
      <w:bodyDiv w:val="1"/>
      <w:marLeft w:val="0"/>
      <w:marRight w:val="0"/>
      <w:marTop w:val="0"/>
      <w:marBottom w:val="0"/>
      <w:divBdr>
        <w:top w:val="none" w:sz="0" w:space="0" w:color="auto"/>
        <w:left w:val="none" w:sz="0" w:space="0" w:color="auto"/>
        <w:bottom w:val="none" w:sz="0" w:space="0" w:color="auto"/>
        <w:right w:val="none" w:sz="0" w:space="0" w:color="auto"/>
      </w:divBdr>
    </w:div>
    <w:div w:id="409157098">
      <w:bodyDiv w:val="1"/>
      <w:marLeft w:val="0"/>
      <w:marRight w:val="0"/>
      <w:marTop w:val="0"/>
      <w:marBottom w:val="0"/>
      <w:divBdr>
        <w:top w:val="none" w:sz="0" w:space="0" w:color="auto"/>
        <w:left w:val="none" w:sz="0" w:space="0" w:color="auto"/>
        <w:bottom w:val="none" w:sz="0" w:space="0" w:color="auto"/>
        <w:right w:val="none" w:sz="0" w:space="0" w:color="auto"/>
      </w:divBdr>
    </w:div>
    <w:div w:id="410662868">
      <w:bodyDiv w:val="1"/>
      <w:marLeft w:val="0"/>
      <w:marRight w:val="0"/>
      <w:marTop w:val="0"/>
      <w:marBottom w:val="0"/>
      <w:divBdr>
        <w:top w:val="none" w:sz="0" w:space="0" w:color="auto"/>
        <w:left w:val="none" w:sz="0" w:space="0" w:color="auto"/>
        <w:bottom w:val="none" w:sz="0" w:space="0" w:color="auto"/>
        <w:right w:val="none" w:sz="0" w:space="0" w:color="auto"/>
      </w:divBdr>
    </w:div>
    <w:div w:id="414132789">
      <w:bodyDiv w:val="1"/>
      <w:marLeft w:val="0"/>
      <w:marRight w:val="0"/>
      <w:marTop w:val="0"/>
      <w:marBottom w:val="0"/>
      <w:divBdr>
        <w:top w:val="none" w:sz="0" w:space="0" w:color="auto"/>
        <w:left w:val="none" w:sz="0" w:space="0" w:color="auto"/>
        <w:bottom w:val="none" w:sz="0" w:space="0" w:color="auto"/>
        <w:right w:val="none" w:sz="0" w:space="0" w:color="auto"/>
      </w:divBdr>
    </w:div>
    <w:div w:id="420680234">
      <w:bodyDiv w:val="1"/>
      <w:marLeft w:val="0"/>
      <w:marRight w:val="0"/>
      <w:marTop w:val="0"/>
      <w:marBottom w:val="0"/>
      <w:divBdr>
        <w:top w:val="none" w:sz="0" w:space="0" w:color="auto"/>
        <w:left w:val="none" w:sz="0" w:space="0" w:color="auto"/>
        <w:bottom w:val="none" w:sz="0" w:space="0" w:color="auto"/>
        <w:right w:val="none" w:sz="0" w:space="0" w:color="auto"/>
      </w:divBdr>
    </w:div>
    <w:div w:id="421491050">
      <w:bodyDiv w:val="1"/>
      <w:marLeft w:val="0"/>
      <w:marRight w:val="0"/>
      <w:marTop w:val="0"/>
      <w:marBottom w:val="0"/>
      <w:divBdr>
        <w:top w:val="none" w:sz="0" w:space="0" w:color="auto"/>
        <w:left w:val="none" w:sz="0" w:space="0" w:color="auto"/>
        <w:bottom w:val="none" w:sz="0" w:space="0" w:color="auto"/>
        <w:right w:val="none" w:sz="0" w:space="0" w:color="auto"/>
      </w:divBdr>
    </w:div>
    <w:div w:id="425151697">
      <w:bodyDiv w:val="1"/>
      <w:marLeft w:val="0"/>
      <w:marRight w:val="0"/>
      <w:marTop w:val="0"/>
      <w:marBottom w:val="0"/>
      <w:divBdr>
        <w:top w:val="none" w:sz="0" w:space="0" w:color="auto"/>
        <w:left w:val="none" w:sz="0" w:space="0" w:color="auto"/>
        <w:bottom w:val="none" w:sz="0" w:space="0" w:color="auto"/>
        <w:right w:val="none" w:sz="0" w:space="0" w:color="auto"/>
      </w:divBdr>
    </w:div>
    <w:div w:id="425810888">
      <w:bodyDiv w:val="1"/>
      <w:marLeft w:val="0"/>
      <w:marRight w:val="0"/>
      <w:marTop w:val="0"/>
      <w:marBottom w:val="0"/>
      <w:divBdr>
        <w:top w:val="none" w:sz="0" w:space="0" w:color="auto"/>
        <w:left w:val="none" w:sz="0" w:space="0" w:color="auto"/>
        <w:bottom w:val="none" w:sz="0" w:space="0" w:color="auto"/>
        <w:right w:val="none" w:sz="0" w:space="0" w:color="auto"/>
      </w:divBdr>
    </w:div>
    <w:div w:id="426316295">
      <w:bodyDiv w:val="1"/>
      <w:marLeft w:val="0"/>
      <w:marRight w:val="0"/>
      <w:marTop w:val="0"/>
      <w:marBottom w:val="0"/>
      <w:divBdr>
        <w:top w:val="none" w:sz="0" w:space="0" w:color="auto"/>
        <w:left w:val="none" w:sz="0" w:space="0" w:color="auto"/>
        <w:bottom w:val="none" w:sz="0" w:space="0" w:color="auto"/>
        <w:right w:val="none" w:sz="0" w:space="0" w:color="auto"/>
      </w:divBdr>
    </w:div>
    <w:div w:id="430784574">
      <w:bodyDiv w:val="1"/>
      <w:marLeft w:val="0"/>
      <w:marRight w:val="0"/>
      <w:marTop w:val="0"/>
      <w:marBottom w:val="0"/>
      <w:divBdr>
        <w:top w:val="none" w:sz="0" w:space="0" w:color="auto"/>
        <w:left w:val="none" w:sz="0" w:space="0" w:color="auto"/>
        <w:bottom w:val="none" w:sz="0" w:space="0" w:color="auto"/>
        <w:right w:val="none" w:sz="0" w:space="0" w:color="auto"/>
      </w:divBdr>
    </w:div>
    <w:div w:id="431322916">
      <w:bodyDiv w:val="1"/>
      <w:marLeft w:val="0"/>
      <w:marRight w:val="0"/>
      <w:marTop w:val="0"/>
      <w:marBottom w:val="0"/>
      <w:divBdr>
        <w:top w:val="none" w:sz="0" w:space="0" w:color="auto"/>
        <w:left w:val="none" w:sz="0" w:space="0" w:color="auto"/>
        <w:bottom w:val="none" w:sz="0" w:space="0" w:color="auto"/>
        <w:right w:val="none" w:sz="0" w:space="0" w:color="auto"/>
      </w:divBdr>
    </w:div>
    <w:div w:id="431626928">
      <w:bodyDiv w:val="1"/>
      <w:marLeft w:val="0"/>
      <w:marRight w:val="0"/>
      <w:marTop w:val="0"/>
      <w:marBottom w:val="0"/>
      <w:divBdr>
        <w:top w:val="none" w:sz="0" w:space="0" w:color="auto"/>
        <w:left w:val="none" w:sz="0" w:space="0" w:color="auto"/>
        <w:bottom w:val="none" w:sz="0" w:space="0" w:color="auto"/>
        <w:right w:val="none" w:sz="0" w:space="0" w:color="auto"/>
      </w:divBdr>
    </w:div>
    <w:div w:id="434640283">
      <w:bodyDiv w:val="1"/>
      <w:marLeft w:val="0"/>
      <w:marRight w:val="0"/>
      <w:marTop w:val="0"/>
      <w:marBottom w:val="0"/>
      <w:divBdr>
        <w:top w:val="none" w:sz="0" w:space="0" w:color="auto"/>
        <w:left w:val="none" w:sz="0" w:space="0" w:color="auto"/>
        <w:bottom w:val="none" w:sz="0" w:space="0" w:color="auto"/>
        <w:right w:val="none" w:sz="0" w:space="0" w:color="auto"/>
      </w:divBdr>
    </w:div>
    <w:div w:id="435249914">
      <w:bodyDiv w:val="1"/>
      <w:marLeft w:val="0"/>
      <w:marRight w:val="0"/>
      <w:marTop w:val="0"/>
      <w:marBottom w:val="0"/>
      <w:divBdr>
        <w:top w:val="none" w:sz="0" w:space="0" w:color="auto"/>
        <w:left w:val="none" w:sz="0" w:space="0" w:color="auto"/>
        <w:bottom w:val="none" w:sz="0" w:space="0" w:color="auto"/>
        <w:right w:val="none" w:sz="0" w:space="0" w:color="auto"/>
      </w:divBdr>
    </w:div>
    <w:div w:id="436876649">
      <w:bodyDiv w:val="1"/>
      <w:marLeft w:val="0"/>
      <w:marRight w:val="0"/>
      <w:marTop w:val="0"/>
      <w:marBottom w:val="0"/>
      <w:divBdr>
        <w:top w:val="none" w:sz="0" w:space="0" w:color="auto"/>
        <w:left w:val="none" w:sz="0" w:space="0" w:color="auto"/>
        <w:bottom w:val="none" w:sz="0" w:space="0" w:color="auto"/>
        <w:right w:val="none" w:sz="0" w:space="0" w:color="auto"/>
      </w:divBdr>
    </w:div>
    <w:div w:id="443116676">
      <w:bodyDiv w:val="1"/>
      <w:marLeft w:val="0"/>
      <w:marRight w:val="0"/>
      <w:marTop w:val="0"/>
      <w:marBottom w:val="0"/>
      <w:divBdr>
        <w:top w:val="none" w:sz="0" w:space="0" w:color="auto"/>
        <w:left w:val="none" w:sz="0" w:space="0" w:color="auto"/>
        <w:bottom w:val="none" w:sz="0" w:space="0" w:color="auto"/>
        <w:right w:val="none" w:sz="0" w:space="0" w:color="auto"/>
      </w:divBdr>
    </w:div>
    <w:div w:id="443621320">
      <w:bodyDiv w:val="1"/>
      <w:marLeft w:val="0"/>
      <w:marRight w:val="0"/>
      <w:marTop w:val="0"/>
      <w:marBottom w:val="0"/>
      <w:divBdr>
        <w:top w:val="none" w:sz="0" w:space="0" w:color="auto"/>
        <w:left w:val="none" w:sz="0" w:space="0" w:color="auto"/>
        <w:bottom w:val="none" w:sz="0" w:space="0" w:color="auto"/>
        <w:right w:val="none" w:sz="0" w:space="0" w:color="auto"/>
      </w:divBdr>
    </w:div>
    <w:div w:id="449978280">
      <w:bodyDiv w:val="1"/>
      <w:marLeft w:val="0"/>
      <w:marRight w:val="0"/>
      <w:marTop w:val="0"/>
      <w:marBottom w:val="0"/>
      <w:divBdr>
        <w:top w:val="none" w:sz="0" w:space="0" w:color="auto"/>
        <w:left w:val="none" w:sz="0" w:space="0" w:color="auto"/>
        <w:bottom w:val="none" w:sz="0" w:space="0" w:color="auto"/>
        <w:right w:val="none" w:sz="0" w:space="0" w:color="auto"/>
      </w:divBdr>
    </w:div>
    <w:div w:id="450051211">
      <w:bodyDiv w:val="1"/>
      <w:marLeft w:val="0"/>
      <w:marRight w:val="0"/>
      <w:marTop w:val="0"/>
      <w:marBottom w:val="0"/>
      <w:divBdr>
        <w:top w:val="none" w:sz="0" w:space="0" w:color="auto"/>
        <w:left w:val="none" w:sz="0" w:space="0" w:color="auto"/>
        <w:bottom w:val="none" w:sz="0" w:space="0" w:color="auto"/>
        <w:right w:val="none" w:sz="0" w:space="0" w:color="auto"/>
      </w:divBdr>
    </w:div>
    <w:div w:id="466892932">
      <w:bodyDiv w:val="1"/>
      <w:marLeft w:val="0"/>
      <w:marRight w:val="0"/>
      <w:marTop w:val="0"/>
      <w:marBottom w:val="0"/>
      <w:divBdr>
        <w:top w:val="none" w:sz="0" w:space="0" w:color="auto"/>
        <w:left w:val="none" w:sz="0" w:space="0" w:color="auto"/>
        <w:bottom w:val="none" w:sz="0" w:space="0" w:color="auto"/>
        <w:right w:val="none" w:sz="0" w:space="0" w:color="auto"/>
      </w:divBdr>
    </w:div>
    <w:div w:id="467209889">
      <w:bodyDiv w:val="1"/>
      <w:marLeft w:val="0"/>
      <w:marRight w:val="0"/>
      <w:marTop w:val="0"/>
      <w:marBottom w:val="0"/>
      <w:divBdr>
        <w:top w:val="none" w:sz="0" w:space="0" w:color="auto"/>
        <w:left w:val="none" w:sz="0" w:space="0" w:color="auto"/>
        <w:bottom w:val="none" w:sz="0" w:space="0" w:color="auto"/>
        <w:right w:val="none" w:sz="0" w:space="0" w:color="auto"/>
      </w:divBdr>
    </w:div>
    <w:div w:id="478303641">
      <w:bodyDiv w:val="1"/>
      <w:marLeft w:val="0"/>
      <w:marRight w:val="0"/>
      <w:marTop w:val="0"/>
      <w:marBottom w:val="0"/>
      <w:divBdr>
        <w:top w:val="none" w:sz="0" w:space="0" w:color="auto"/>
        <w:left w:val="none" w:sz="0" w:space="0" w:color="auto"/>
        <w:bottom w:val="none" w:sz="0" w:space="0" w:color="auto"/>
        <w:right w:val="none" w:sz="0" w:space="0" w:color="auto"/>
      </w:divBdr>
    </w:div>
    <w:div w:id="490411543">
      <w:bodyDiv w:val="1"/>
      <w:marLeft w:val="0"/>
      <w:marRight w:val="0"/>
      <w:marTop w:val="0"/>
      <w:marBottom w:val="0"/>
      <w:divBdr>
        <w:top w:val="none" w:sz="0" w:space="0" w:color="auto"/>
        <w:left w:val="none" w:sz="0" w:space="0" w:color="auto"/>
        <w:bottom w:val="none" w:sz="0" w:space="0" w:color="auto"/>
        <w:right w:val="none" w:sz="0" w:space="0" w:color="auto"/>
      </w:divBdr>
    </w:div>
    <w:div w:id="499470186">
      <w:bodyDiv w:val="1"/>
      <w:marLeft w:val="0"/>
      <w:marRight w:val="0"/>
      <w:marTop w:val="0"/>
      <w:marBottom w:val="0"/>
      <w:divBdr>
        <w:top w:val="none" w:sz="0" w:space="0" w:color="auto"/>
        <w:left w:val="none" w:sz="0" w:space="0" w:color="auto"/>
        <w:bottom w:val="none" w:sz="0" w:space="0" w:color="auto"/>
        <w:right w:val="none" w:sz="0" w:space="0" w:color="auto"/>
      </w:divBdr>
    </w:div>
    <w:div w:id="499539856">
      <w:bodyDiv w:val="1"/>
      <w:marLeft w:val="0"/>
      <w:marRight w:val="0"/>
      <w:marTop w:val="0"/>
      <w:marBottom w:val="0"/>
      <w:divBdr>
        <w:top w:val="none" w:sz="0" w:space="0" w:color="auto"/>
        <w:left w:val="none" w:sz="0" w:space="0" w:color="auto"/>
        <w:bottom w:val="none" w:sz="0" w:space="0" w:color="auto"/>
        <w:right w:val="none" w:sz="0" w:space="0" w:color="auto"/>
      </w:divBdr>
    </w:div>
    <w:div w:id="504051578">
      <w:bodyDiv w:val="1"/>
      <w:marLeft w:val="0"/>
      <w:marRight w:val="0"/>
      <w:marTop w:val="0"/>
      <w:marBottom w:val="0"/>
      <w:divBdr>
        <w:top w:val="none" w:sz="0" w:space="0" w:color="auto"/>
        <w:left w:val="none" w:sz="0" w:space="0" w:color="auto"/>
        <w:bottom w:val="none" w:sz="0" w:space="0" w:color="auto"/>
        <w:right w:val="none" w:sz="0" w:space="0" w:color="auto"/>
      </w:divBdr>
    </w:div>
    <w:div w:id="504520914">
      <w:bodyDiv w:val="1"/>
      <w:marLeft w:val="0"/>
      <w:marRight w:val="0"/>
      <w:marTop w:val="0"/>
      <w:marBottom w:val="0"/>
      <w:divBdr>
        <w:top w:val="none" w:sz="0" w:space="0" w:color="auto"/>
        <w:left w:val="none" w:sz="0" w:space="0" w:color="auto"/>
        <w:bottom w:val="none" w:sz="0" w:space="0" w:color="auto"/>
        <w:right w:val="none" w:sz="0" w:space="0" w:color="auto"/>
      </w:divBdr>
    </w:div>
    <w:div w:id="509679731">
      <w:bodyDiv w:val="1"/>
      <w:marLeft w:val="0"/>
      <w:marRight w:val="0"/>
      <w:marTop w:val="0"/>
      <w:marBottom w:val="0"/>
      <w:divBdr>
        <w:top w:val="none" w:sz="0" w:space="0" w:color="auto"/>
        <w:left w:val="none" w:sz="0" w:space="0" w:color="auto"/>
        <w:bottom w:val="none" w:sz="0" w:space="0" w:color="auto"/>
        <w:right w:val="none" w:sz="0" w:space="0" w:color="auto"/>
      </w:divBdr>
    </w:div>
    <w:div w:id="510530034">
      <w:bodyDiv w:val="1"/>
      <w:marLeft w:val="0"/>
      <w:marRight w:val="0"/>
      <w:marTop w:val="0"/>
      <w:marBottom w:val="0"/>
      <w:divBdr>
        <w:top w:val="none" w:sz="0" w:space="0" w:color="auto"/>
        <w:left w:val="none" w:sz="0" w:space="0" w:color="auto"/>
        <w:bottom w:val="none" w:sz="0" w:space="0" w:color="auto"/>
        <w:right w:val="none" w:sz="0" w:space="0" w:color="auto"/>
      </w:divBdr>
    </w:div>
    <w:div w:id="513570280">
      <w:bodyDiv w:val="1"/>
      <w:marLeft w:val="0"/>
      <w:marRight w:val="0"/>
      <w:marTop w:val="0"/>
      <w:marBottom w:val="0"/>
      <w:divBdr>
        <w:top w:val="none" w:sz="0" w:space="0" w:color="auto"/>
        <w:left w:val="none" w:sz="0" w:space="0" w:color="auto"/>
        <w:bottom w:val="none" w:sz="0" w:space="0" w:color="auto"/>
        <w:right w:val="none" w:sz="0" w:space="0" w:color="auto"/>
      </w:divBdr>
    </w:div>
    <w:div w:id="514661697">
      <w:bodyDiv w:val="1"/>
      <w:marLeft w:val="0"/>
      <w:marRight w:val="0"/>
      <w:marTop w:val="0"/>
      <w:marBottom w:val="0"/>
      <w:divBdr>
        <w:top w:val="none" w:sz="0" w:space="0" w:color="auto"/>
        <w:left w:val="none" w:sz="0" w:space="0" w:color="auto"/>
        <w:bottom w:val="none" w:sz="0" w:space="0" w:color="auto"/>
        <w:right w:val="none" w:sz="0" w:space="0" w:color="auto"/>
      </w:divBdr>
    </w:div>
    <w:div w:id="530143150">
      <w:bodyDiv w:val="1"/>
      <w:marLeft w:val="0"/>
      <w:marRight w:val="0"/>
      <w:marTop w:val="0"/>
      <w:marBottom w:val="0"/>
      <w:divBdr>
        <w:top w:val="none" w:sz="0" w:space="0" w:color="auto"/>
        <w:left w:val="none" w:sz="0" w:space="0" w:color="auto"/>
        <w:bottom w:val="none" w:sz="0" w:space="0" w:color="auto"/>
        <w:right w:val="none" w:sz="0" w:space="0" w:color="auto"/>
      </w:divBdr>
    </w:div>
    <w:div w:id="531922646">
      <w:bodyDiv w:val="1"/>
      <w:marLeft w:val="0"/>
      <w:marRight w:val="0"/>
      <w:marTop w:val="0"/>
      <w:marBottom w:val="0"/>
      <w:divBdr>
        <w:top w:val="none" w:sz="0" w:space="0" w:color="auto"/>
        <w:left w:val="none" w:sz="0" w:space="0" w:color="auto"/>
        <w:bottom w:val="none" w:sz="0" w:space="0" w:color="auto"/>
        <w:right w:val="none" w:sz="0" w:space="0" w:color="auto"/>
      </w:divBdr>
    </w:div>
    <w:div w:id="538519784">
      <w:bodyDiv w:val="1"/>
      <w:marLeft w:val="0"/>
      <w:marRight w:val="0"/>
      <w:marTop w:val="0"/>
      <w:marBottom w:val="0"/>
      <w:divBdr>
        <w:top w:val="none" w:sz="0" w:space="0" w:color="auto"/>
        <w:left w:val="none" w:sz="0" w:space="0" w:color="auto"/>
        <w:bottom w:val="none" w:sz="0" w:space="0" w:color="auto"/>
        <w:right w:val="none" w:sz="0" w:space="0" w:color="auto"/>
      </w:divBdr>
    </w:div>
    <w:div w:id="540095833">
      <w:bodyDiv w:val="1"/>
      <w:marLeft w:val="0"/>
      <w:marRight w:val="0"/>
      <w:marTop w:val="0"/>
      <w:marBottom w:val="0"/>
      <w:divBdr>
        <w:top w:val="none" w:sz="0" w:space="0" w:color="auto"/>
        <w:left w:val="none" w:sz="0" w:space="0" w:color="auto"/>
        <w:bottom w:val="none" w:sz="0" w:space="0" w:color="auto"/>
        <w:right w:val="none" w:sz="0" w:space="0" w:color="auto"/>
      </w:divBdr>
    </w:div>
    <w:div w:id="541868237">
      <w:bodyDiv w:val="1"/>
      <w:marLeft w:val="0"/>
      <w:marRight w:val="0"/>
      <w:marTop w:val="0"/>
      <w:marBottom w:val="0"/>
      <w:divBdr>
        <w:top w:val="none" w:sz="0" w:space="0" w:color="auto"/>
        <w:left w:val="none" w:sz="0" w:space="0" w:color="auto"/>
        <w:bottom w:val="none" w:sz="0" w:space="0" w:color="auto"/>
        <w:right w:val="none" w:sz="0" w:space="0" w:color="auto"/>
      </w:divBdr>
    </w:div>
    <w:div w:id="542055543">
      <w:bodyDiv w:val="1"/>
      <w:marLeft w:val="0"/>
      <w:marRight w:val="0"/>
      <w:marTop w:val="0"/>
      <w:marBottom w:val="0"/>
      <w:divBdr>
        <w:top w:val="none" w:sz="0" w:space="0" w:color="auto"/>
        <w:left w:val="none" w:sz="0" w:space="0" w:color="auto"/>
        <w:bottom w:val="none" w:sz="0" w:space="0" w:color="auto"/>
        <w:right w:val="none" w:sz="0" w:space="0" w:color="auto"/>
      </w:divBdr>
    </w:div>
    <w:div w:id="543325171">
      <w:bodyDiv w:val="1"/>
      <w:marLeft w:val="0"/>
      <w:marRight w:val="0"/>
      <w:marTop w:val="0"/>
      <w:marBottom w:val="0"/>
      <w:divBdr>
        <w:top w:val="none" w:sz="0" w:space="0" w:color="auto"/>
        <w:left w:val="none" w:sz="0" w:space="0" w:color="auto"/>
        <w:bottom w:val="none" w:sz="0" w:space="0" w:color="auto"/>
        <w:right w:val="none" w:sz="0" w:space="0" w:color="auto"/>
      </w:divBdr>
    </w:div>
    <w:div w:id="543711563">
      <w:bodyDiv w:val="1"/>
      <w:marLeft w:val="0"/>
      <w:marRight w:val="0"/>
      <w:marTop w:val="0"/>
      <w:marBottom w:val="0"/>
      <w:divBdr>
        <w:top w:val="none" w:sz="0" w:space="0" w:color="auto"/>
        <w:left w:val="none" w:sz="0" w:space="0" w:color="auto"/>
        <w:bottom w:val="none" w:sz="0" w:space="0" w:color="auto"/>
        <w:right w:val="none" w:sz="0" w:space="0" w:color="auto"/>
      </w:divBdr>
    </w:div>
    <w:div w:id="553078787">
      <w:bodyDiv w:val="1"/>
      <w:marLeft w:val="0"/>
      <w:marRight w:val="0"/>
      <w:marTop w:val="0"/>
      <w:marBottom w:val="0"/>
      <w:divBdr>
        <w:top w:val="none" w:sz="0" w:space="0" w:color="auto"/>
        <w:left w:val="none" w:sz="0" w:space="0" w:color="auto"/>
        <w:bottom w:val="none" w:sz="0" w:space="0" w:color="auto"/>
        <w:right w:val="none" w:sz="0" w:space="0" w:color="auto"/>
      </w:divBdr>
    </w:div>
    <w:div w:id="561327267">
      <w:bodyDiv w:val="1"/>
      <w:marLeft w:val="0"/>
      <w:marRight w:val="0"/>
      <w:marTop w:val="0"/>
      <w:marBottom w:val="0"/>
      <w:divBdr>
        <w:top w:val="none" w:sz="0" w:space="0" w:color="auto"/>
        <w:left w:val="none" w:sz="0" w:space="0" w:color="auto"/>
        <w:bottom w:val="none" w:sz="0" w:space="0" w:color="auto"/>
        <w:right w:val="none" w:sz="0" w:space="0" w:color="auto"/>
      </w:divBdr>
    </w:div>
    <w:div w:id="564414941">
      <w:bodyDiv w:val="1"/>
      <w:marLeft w:val="0"/>
      <w:marRight w:val="0"/>
      <w:marTop w:val="0"/>
      <w:marBottom w:val="0"/>
      <w:divBdr>
        <w:top w:val="none" w:sz="0" w:space="0" w:color="auto"/>
        <w:left w:val="none" w:sz="0" w:space="0" w:color="auto"/>
        <w:bottom w:val="none" w:sz="0" w:space="0" w:color="auto"/>
        <w:right w:val="none" w:sz="0" w:space="0" w:color="auto"/>
      </w:divBdr>
    </w:div>
    <w:div w:id="565650583">
      <w:bodyDiv w:val="1"/>
      <w:marLeft w:val="0"/>
      <w:marRight w:val="0"/>
      <w:marTop w:val="0"/>
      <w:marBottom w:val="0"/>
      <w:divBdr>
        <w:top w:val="none" w:sz="0" w:space="0" w:color="auto"/>
        <w:left w:val="none" w:sz="0" w:space="0" w:color="auto"/>
        <w:bottom w:val="none" w:sz="0" w:space="0" w:color="auto"/>
        <w:right w:val="none" w:sz="0" w:space="0" w:color="auto"/>
      </w:divBdr>
    </w:div>
    <w:div w:id="566231308">
      <w:bodyDiv w:val="1"/>
      <w:marLeft w:val="0"/>
      <w:marRight w:val="0"/>
      <w:marTop w:val="0"/>
      <w:marBottom w:val="0"/>
      <w:divBdr>
        <w:top w:val="none" w:sz="0" w:space="0" w:color="auto"/>
        <w:left w:val="none" w:sz="0" w:space="0" w:color="auto"/>
        <w:bottom w:val="none" w:sz="0" w:space="0" w:color="auto"/>
        <w:right w:val="none" w:sz="0" w:space="0" w:color="auto"/>
      </w:divBdr>
    </w:div>
    <w:div w:id="582376766">
      <w:bodyDiv w:val="1"/>
      <w:marLeft w:val="0"/>
      <w:marRight w:val="0"/>
      <w:marTop w:val="0"/>
      <w:marBottom w:val="0"/>
      <w:divBdr>
        <w:top w:val="none" w:sz="0" w:space="0" w:color="auto"/>
        <w:left w:val="none" w:sz="0" w:space="0" w:color="auto"/>
        <w:bottom w:val="none" w:sz="0" w:space="0" w:color="auto"/>
        <w:right w:val="none" w:sz="0" w:space="0" w:color="auto"/>
      </w:divBdr>
    </w:div>
    <w:div w:id="583340155">
      <w:bodyDiv w:val="1"/>
      <w:marLeft w:val="0"/>
      <w:marRight w:val="0"/>
      <w:marTop w:val="0"/>
      <w:marBottom w:val="0"/>
      <w:divBdr>
        <w:top w:val="none" w:sz="0" w:space="0" w:color="auto"/>
        <w:left w:val="none" w:sz="0" w:space="0" w:color="auto"/>
        <w:bottom w:val="none" w:sz="0" w:space="0" w:color="auto"/>
        <w:right w:val="none" w:sz="0" w:space="0" w:color="auto"/>
      </w:divBdr>
    </w:div>
    <w:div w:id="584456064">
      <w:bodyDiv w:val="1"/>
      <w:marLeft w:val="0"/>
      <w:marRight w:val="0"/>
      <w:marTop w:val="0"/>
      <w:marBottom w:val="0"/>
      <w:divBdr>
        <w:top w:val="none" w:sz="0" w:space="0" w:color="auto"/>
        <w:left w:val="none" w:sz="0" w:space="0" w:color="auto"/>
        <w:bottom w:val="none" w:sz="0" w:space="0" w:color="auto"/>
        <w:right w:val="none" w:sz="0" w:space="0" w:color="auto"/>
      </w:divBdr>
    </w:div>
    <w:div w:id="587037177">
      <w:bodyDiv w:val="1"/>
      <w:marLeft w:val="0"/>
      <w:marRight w:val="0"/>
      <w:marTop w:val="0"/>
      <w:marBottom w:val="0"/>
      <w:divBdr>
        <w:top w:val="none" w:sz="0" w:space="0" w:color="auto"/>
        <w:left w:val="none" w:sz="0" w:space="0" w:color="auto"/>
        <w:bottom w:val="none" w:sz="0" w:space="0" w:color="auto"/>
        <w:right w:val="none" w:sz="0" w:space="0" w:color="auto"/>
      </w:divBdr>
    </w:div>
    <w:div w:id="588851068">
      <w:bodyDiv w:val="1"/>
      <w:marLeft w:val="0"/>
      <w:marRight w:val="0"/>
      <w:marTop w:val="0"/>
      <w:marBottom w:val="0"/>
      <w:divBdr>
        <w:top w:val="none" w:sz="0" w:space="0" w:color="auto"/>
        <w:left w:val="none" w:sz="0" w:space="0" w:color="auto"/>
        <w:bottom w:val="none" w:sz="0" w:space="0" w:color="auto"/>
        <w:right w:val="none" w:sz="0" w:space="0" w:color="auto"/>
      </w:divBdr>
    </w:div>
    <w:div w:id="591401936">
      <w:bodyDiv w:val="1"/>
      <w:marLeft w:val="0"/>
      <w:marRight w:val="0"/>
      <w:marTop w:val="0"/>
      <w:marBottom w:val="0"/>
      <w:divBdr>
        <w:top w:val="none" w:sz="0" w:space="0" w:color="auto"/>
        <w:left w:val="none" w:sz="0" w:space="0" w:color="auto"/>
        <w:bottom w:val="none" w:sz="0" w:space="0" w:color="auto"/>
        <w:right w:val="none" w:sz="0" w:space="0" w:color="auto"/>
      </w:divBdr>
    </w:div>
    <w:div w:id="592860258">
      <w:bodyDiv w:val="1"/>
      <w:marLeft w:val="0"/>
      <w:marRight w:val="0"/>
      <w:marTop w:val="0"/>
      <w:marBottom w:val="0"/>
      <w:divBdr>
        <w:top w:val="none" w:sz="0" w:space="0" w:color="auto"/>
        <w:left w:val="none" w:sz="0" w:space="0" w:color="auto"/>
        <w:bottom w:val="none" w:sz="0" w:space="0" w:color="auto"/>
        <w:right w:val="none" w:sz="0" w:space="0" w:color="auto"/>
      </w:divBdr>
    </w:div>
    <w:div w:id="595331346">
      <w:bodyDiv w:val="1"/>
      <w:marLeft w:val="0"/>
      <w:marRight w:val="0"/>
      <w:marTop w:val="0"/>
      <w:marBottom w:val="0"/>
      <w:divBdr>
        <w:top w:val="none" w:sz="0" w:space="0" w:color="auto"/>
        <w:left w:val="none" w:sz="0" w:space="0" w:color="auto"/>
        <w:bottom w:val="none" w:sz="0" w:space="0" w:color="auto"/>
        <w:right w:val="none" w:sz="0" w:space="0" w:color="auto"/>
      </w:divBdr>
    </w:div>
    <w:div w:id="602689919">
      <w:bodyDiv w:val="1"/>
      <w:marLeft w:val="0"/>
      <w:marRight w:val="0"/>
      <w:marTop w:val="0"/>
      <w:marBottom w:val="0"/>
      <w:divBdr>
        <w:top w:val="none" w:sz="0" w:space="0" w:color="auto"/>
        <w:left w:val="none" w:sz="0" w:space="0" w:color="auto"/>
        <w:bottom w:val="none" w:sz="0" w:space="0" w:color="auto"/>
        <w:right w:val="none" w:sz="0" w:space="0" w:color="auto"/>
      </w:divBdr>
    </w:div>
    <w:div w:id="602958980">
      <w:bodyDiv w:val="1"/>
      <w:marLeft w:val="0"/>
      <w:marRight w:val="0"/>
      <w:marTop w:val="0"/>
      <w:marBottom w:val="0"/>
      <w:divBdr>
        <w:top w:val="none" w:sz="0" w:space="0" w:color="auto"/>
        <w:left w:val="none" w:sz="0" w:space="0" w:color="auto"/>
        <w:bottom w:val="none" w:sz="0" w:space="0" w:color="auto"/>
        <w:right w:val="none" w:sz="0" w:space="0" w:color="auto"/>
      </w:divBdr>
    </w:div>
    <w:div w:id="604927014">
      <w:bodyDiv w:val="1"/>
      <w:marLeft w:val="0"/>
      <w:marRight w:val="0"/>
      <w:marTop w:val="0"/>
      <w:marBottom w:val="0"/>
      <w:divBdr>
        <w:top w:val="none" w:sz="0" w:space="0" w:color="auto"/>
        <w:left w:val="none" w:sz="0" w:space="0" w:color="auto"/>
        <w:bottom w:val="none" w:sz="0" w:space="0" w:color="auto"/>
        <w:right w:val="none" w:sz="0" w:space="0" w:color="auto"/>
      </w:divBdr>
    </w:div>
    <w:div w:id="606502442">
      <w:bodyDiv w:val="1"/>
      <w:marLeft w:val="0"/>
      <w:marRight w:val="0"/>
      <w:marTop w:val="0"/>
      <w:marBottom w:val="0"/>
      <w:divBdr>
        <w:top w:val="none" w:sz="0" w:space="0" w:color="auto"/>
        <w:left w:val="none" w:sz="0" w:space="0" w:color="auto"/>
        <w:bottom w:val="none" w:sz="0" w:space="0" w:color="auto"/>
        <w:right w:val="none" w:sz="0" w:space="0" w:color="auto"/>
      </w:divBdr>
    </w:div>
    <w:div w:id="610430389">
      <w:bodyDiv w:val="1"/>
      <w:marLeft w:val="0"/>
      <w:marRight w:val="0"/>
      <w:marTop w:val="0"/>
      <w:marBottom w:val="0"/>
      <w:divBdr>
        <w:top w:val="none" w:sz="0" w:space="0" w:color="auto"/>
        <w:left w:val="none" w:sz="0" w:space="0" w:color="auto"/>
        <w:bottom w:val="none" w:sz="0" w:space="0" w:color="auto"/>
        <w:right w:val="none" w:sz="0" w:space="0" w:color="auto"/>
      </w:divBdr>
    </w:div>
    <w:div w:id="616523549">
      <w:bodyDiv w:val="1"/>
      <w:marLeft w:val="0"/>
      <w:marRight w:val="0"/>
      <w:marTop w:val="0"/>
      <w:marBottom w:val="0"/>
      <w:divBdr>
        <w:top w:val="none" w:sz="0" w:space="0" w:color="auto"/>
        <w:left w:val="none" w:sz="0" w:space="0" w:color="auto"/>
        <w:bottom w:val="none" w:sz="0" w:space="0" w:color="auto"/>
        <w:right w:val="none" w:sz="0" w:space="0" w:color="auto"/>
      </w:divBdr>
    </w:div>
    <w:div w:id="616790454">
      <w:bodyDiv w:val="1"/>
      <w:marLeft w:val="0"/>
      <w:marRight w:val="0"/>
      <w:marTop w:val="0"/>
      <w:marBottom w:val="0"/>
      <w:divBdr>
        <w:top w:val="none" w:sz="0" w:space="0" w:color="auto"/>
        <w:left w:val="none" w:sz="0" w:space="0" w:color="auto"/>
        <w:bottom w:val="none" w:sz="0" w:space="0" w:color="auto"/>
        <w:right w:val="none" w:sz="0" w:space="0" w:color="auto"/>
      </w:divBdr>
    </w:div>
    <w:div w:id="618535939">
      <w:bodyDiv w:val="1"/>
      <w:marLeft w:val="0"/>
      <w:marRight w:val="0"/>
      <w:marTop w:val="0"/>
      <w:marBottom w:val="0"/>
      <w:divBdr>
        <w:top w:val="none" w:sz="0" w:space="0" w:color="auto"/>
        <w:left w:val="none" w:sz="0" w:space="0" w:color="auto"/>
        <w:bottom w:val="none" w:sz="0" w:space="0" w:color="auto"/>
        <w:right w:val="none" w:sz="0" w:space="0" w:color="auto"/>
      </w:divBdr>
    </w:div>
    <w:div w:id="626205092">
      <w:bodyDiv w:val="1"/>
      <w:marLeft w:val="0"/>
      <w:marRight w:val="0"/>
      <w:marTop w:val="0"/>
      <w:marBottom w:val="0"/>
      <w:divBdr>
        <w:top w:val="none" w:sz="0" w:space="0" w:color="auto"/>
        <w:left w:val="none" w:sz="0" w:space="0" w:color="auto"/>
        <w:bottom w:val="none" w:sz="0" w:space="0" w:color="auto"/>
        <w:right w:val="none" w:sz="0" w:space="0" w:color="auto"/>
      </w:divBdr>
    </w:div>
    <w:div w:id="627467295">
      <w:bodyDiv w:val="1"/>
      <w:marLeft w:val="0"/>
      <w:marRight w:val="0"/>
      <w:marTop w:val="0"/>
      <w:marBottom w:val="0"/>
      <w:divBdr>
        <w:top w:val="none" w:sz="0" w:space="0" w:color="auto"/>
        <w:left w:val="none" w:sz="0" w:space="0" w:color="auto"/>
        <w:bottom w:val="none" w:sz="0" w:space="0" w:color="auto"/>
        <w:right w:val="none" w:sz="0" w:space="0" w:color="auto"/>
      </w:divBdr>
    </w:div>
    <w:div w:id="630480508">
      <w:bodyDiv w:val="1"/>
      <w:marLeft w:val="0"/>
      <w:marRight w:val="0"/>
      <w:marTop w:val="0"/>
      <w:marBottom w:val="0"/>
      <w:divBdr>
        <w:top w:val="none" w:sz="0" w:space="0" w:color="auto"/>
        <w:left w:val="none" w:sz="0" w:space="0" w:color="auto"/>
        <w:bottom w:val="none" w:sz="0" w:space="0" w:color="auto"/>
        <w:right w:val="none" w:sz="0" w:space="0" w:color="auto"/>
      </w:divBdr>
    </w:div>
    <w:div w:id="638729461">
      <w:bodyDiv w:val="1"/>
      <w:marLeft w:val="0"/>
      <w:marRight w:val="0"/>
      <w:marTop w:val="0"/>
      <w:marBottom w:val="0"/>
      <w:divBdr>
        <w:top w:val="none" w:sz="0" w:space="0" w:color="auto"/>
        <w:left w:val="none" w:sz="0" w:space="0" w:color="auto"/>
        <w:bottom w:val="none" w:sz="0" w:space="0" w:color="auto"/>
        <w:right w:val="none" w:sz="0" w:space="0" w:color="auto"/>
      </w:divBdr>
    </w:div>
    <w:div w:id="639461494">
      <w:bodyDiv w:val="1"/>
      <w:marLeft w:val="0"/>
      <w:marRight w:val="0"/>
      <w:marTop w:val="0"/>
      <w:marBottom w:val="0"/>
      <w:divBdr>
        <w:top w:val="none" w:sz="0" w:space="0" w:color="auto"/>
        <w:left w:val="none" w:sz="0" w:space="0" w:color="auto"/>
        <w:bottom w:val="none" w:sz="0" w:space="0" w:color="auto"/>
        <w:right w:val="none" w:sz="0" w:space="0" w:color="auto"/>
      </w:divBdr>
    </w:div>
    <w:div w:id="640963199">
      <w:bodyDiv w:val="1"/>
      <w:marLeft w:val="0"/>
      <w:marRight w:val="0"/>
      <w:marTop w:val="0"/>
      <w:marBottom w:val="0"/>
      <w:divBdr>
        <w:top w:val="none" w:sz="0" w:space="0" w:color="auto"/>
        <w:left w:val="none" w:sz="0" w:space="0" w:color="auto"/>
        <w:bottom w:val="none" w:sz="0" w:space="0" w:color="auto"/>
        <w:right w:val="none" w:sz="0" w:space="0" w:color="auto"/>
      </w:divBdr>
    </w:div>
    <w:div w:id="643658593">
      <w:bodyDiv w:val="1"/>
      <w:marLeft w:val="0"/>
      <w:marRight w:val="0"/>
      <w:marTop w:val="0"/>
      <w:marBottom w:val="0"/>
      <w:divBdr>
        <w:top w:val="none" w:sz="0" w:space="0" w:color="auto"/>
        <w:left w:val="none" w:sz="0" w:space="0" w:color="auto"/>
        <w:bottom w:val="none" w:sz="0" w:space="0" w:color="auto"/>
        <w:right w:val="none" w:sz="0" w:space="0" w:color="auto"/>
      </w:divBdr>
    </w:div>
    <w:div w:id="647783898">
      <w:bodyDiv w:val="1"/>
      <w:marLeft w:val="0"/>
      <w:marRight w:val="0"/>
      <w:marTop w:val="0"/>
      <w:marBottom w:val="0"/>
      <w:divBdr>
        <w:top w:val="none" w:sz="0" w:space="0" w:color="auto"/>
        <w:left w:val="none" w:sz="0" w:space="0" w:color="auto"/>
        <w:bottom w:val="none" w:sz="0" w:space="0" w:color="auto"/>
        <w:right w:val="none" w:sz="0" w:space="0" w:color="auto"/>
      </w:divBdr>
    </w:div>
    <w:div w:id="651102231">
      <w:bodyDiv w:val="1"/>
      <w:marLeft w:val="0"/>
      <w:marRight w:val="0"/>
      <w:marTop w:val="0"/>
      <w:marBottom w:val="0"/>
      <w:divBdr>
        <w:top w:val="none" w:sz="0" w:space="0" w:color="auto"/>
        <w:left w:val="none" w:sz="0" w:space="0" w:color="auto"/>
        <w:bottom w:val="none" w:sz="0" w:space="0" w:color="auto"/>
        <w:right w:val="none" w:sz="0" w:space="0" w:color="auto"/>
      </w:divBdr>
    </w:div>
    <w:div w:id="658846629">
      <w:bodyDiv w:val="1"/>
      <w:marLeft w:val="0"/>
      <w:marRight w:val="0"/>
      <w:marTop w:val="0"/>
      <w:marBottom w:val="0"/>
      <w:divBdr>
        <w:top w:val="none" w:sz="0" w:space="0" w:color="auto"/>
        <w:left w:val="none" w:sz="0" w:space="0" w:color="auto"/>
        <w:bottom w:val="none" w:sz="0" w:space="0" w:color="auto"/>
        <w:right w:val="none" w:sz="0" w:space="0" w:color="auto"/>
      </w:divBdr>
    </w:div>
    <w:div w:id="668219138">
      <w:bodyDiv w:val="1"/>
      <w:marLeft w:val="0"/>
      <w:marRight w:val="0"/>
      <w:marTop w:val="0"/>
      <w:marBottom w:val="0"/>
      <w:divBdr>
        <w:top w:val="none" w:sz="0" w:space="0" w:color="auto"/>
        <w:left w:val="none" w:sz="0" w:space="0" w:color="auto"/>
        <w:bottom w:val="none" w:sz="0" w:space="0" w:color="auto"/>
        <w:right w:val="none" w:sz="0" w:space="0" w:color="auto"/>
      </w:divBdr>
    </w:div>
    <w:div w:id="669987091">
      <w:bodyDiv w:val="1"/>
      <w:marLeft w:val="0"/>
      <w:marRight w:val="0"/>
      <w:marTop w:val="0"/>
      <w:marBottom w:val="0"/>
      <w:divBdr>
        <w:top w:val="none" w:sz="0" w:space="0" w:color="auto"/>
        <w:left w:val="none" w:sz="0" w:space="0" w:color="auto"/>
        <w:bottom w:val="none" w:sz="0" w:space="0" w:color="auto"/>
        <w:right w:val="none" w:sz="0" w:space="0" w:color="auto"/>
      </w:divBdr>
    </w:div>
    <w:div w:id="675577049">
      <w:bodyDiv w:val="1"/>
      <w:marLeft w:val="0"/>
      <w:marRight w:val="0"/>
      <w:marTop w:val="0"/>
      <w:marBottom w:val="0"/>
      <w:divBdr>
        <w:top w:val="none" w:sz="0" w:space="0" w:color="auto"/>
        <w:left w:val="none" w:sz="0" w:space="0" w:color="auto"/>
        <w:bottom w:val="none" w:sz="0" w:space="0" w:color="auto"/>
        <w:right w:val="none" w:sz="0" w:space="0" w:color="auto"/>
      </w:divBdr>
    </w:div>
    <w:div w:id="675769045">
      <w:bodyDiv w:val="1"/>
      <w:marLeft w:val="0"/>
      <w:marRight w:val="0"/>
      <w:marTop w:val="0"/>
      <w:marBottom w:val="0"/>
      <w:divBdr>
        <w:top w:val="none" w:sz="0" w:space="0" w:color="auto"/>
        <w:left w:val="none" w:sz="0" w:space="0" w:color="auto"/>
        <w:bottom w:val="none" w:sz="0" w:space="0" w:color="auto"/>
        <w:right w:val="none" w:sz="0" w:space="0" w:color="auto"/>
      </w:divBdr>
    </w:div>
    <w:div w:id="679936253">
      <w:bodyDiv w:val="1"/>
      <w:marLeft w:val="0"/>
      <w:marRight w:val="0"/>
      <w:marTop w:val="0"/>
      <w:marBottom w:val="0"/>
      <w:divBdr>
        <w:top w:val="none" w:sz="0" w:space="0" w:color="auto"/>
        <w:left w:val="none" w:sz="0" w:space="0" w:color="auto"/>
        <w:bottom w:val="none" w:sz="0" w:space="0" w:color="auto"/>
        <w:right w:val="none" w:sz="0" w:space="0" w:color="auto"/>
      </w:divBdr>
    </w:div>
    <w:div w:id="680856571">
      <w:bodyDiv w:val="1"/>
      <w:marLeft w:val="0"/>
      <w:marRight w:val="0"/>
      <w:marTop w:val="0"/>
      <w:marBottom w:val="0"/>
      <w:divBdr>
        <w:top w:val="none" w:sz="0" w:space="0" w:color="auto"/>
        <w:left w:val="none" w:sz="0" w:space="0" w:color="auto"/>
        <w:bottom w:val="none" w:sz="0" w:space="0" w:color="auto"/>
        <w:right w:val="none" w:sz="0" w:space="0" w:color="auto"/>
      </w:divBdr>
    </w:div>
    <w:div w:id="682627564">
      <w:bodyDiv w:val="1"/>
      <w:marLeft w:val="0"/>
      <w:marRight w:val="0"/>
      <w:marTop w:val="0"/>
      <w:marBottom w:val="0"/>
      <w:divBdr>
        <w:top w:val="none" w:sz="0" w:space="0" w:color="auto"/>
        <w:left w:val="none" w:sz="0" w:space="0" w:color="auto"/>
        <w:bottom w:val="none" w:sz="0" w:space="0" w:color="auto"/>
        <w:right w:val="none" w:sz="0" w:space="0" w:color="auto"/>
      </w:divBdr>
    </w:div>
    <w:div w:id="683283030">
      <w:bodyDiv w:val="1"/>
      <w:marLeft w:val="0"/>
      <w:marRight w:val="0"/>
      <w:marTop w:val="0"/>
      <w:marBottom w:val="0"/>
      <w:divBdr>
        <w:top w:val="none" w:sz="0" w:space="0" w:color="auto"/>
        <w:left w:val="none" w:sz="0" w:space="0" w:color="auto"/>
        <w:bottom w:val="none" w:sz="0" w:space="0" w:color="auto"/>
        <w:right w:val="none" w:sz="0" w:space="0" w:color="auto"/>
      </w:divBdr>
    </w:div>
    <w:div w:id="685405024">
      <w:bodyDiv w:val="1"/>
      <w:marLeft w:val="0"/>
      <w:marRight w:val="0"/>
      <w:marTop w:val="0"/>
      <w:marBottom w:val="0"/>
      <w:divBdr>
        <w:top w:val="none" w:sz="0" w:space="0" w:color="auto"/>
        <w:left w:val="none" w:sz="0" w:space="0" w:color="auto"/>
        <w:bottom w:val="none" w:sz="0" w:space="0" w:color="auto"/>
        <w:right w:val="none" w:sz="0" w:space="0" w:color="auto"/>
      </w:divBdr>
    </w:div>
    <w:div w:id="687374182">
      <w:bodyDiv w:val="1"/>
      <w:marLeft w:val="0"/>
      <w:marRight w:val="0"/>
      <w:marTop w:val="0"/>
      <w:marBottom w:val="0"/>
      <w:divBdr>
        <w:top w:val="none" w:sz="0" w:space="0" w:color="auto"/>
        <w:left w:val="none" w:sz="0" w:space="0" w:color="auto"/>
        <w:bottom w:val="none" w:sz="0" w:space="0" w:color="auto"/>
        <w:right w:val="none" w:sz="0" w:space="0" w:color="auto"/>
      </w:divBdr>
    </w:div>
    <w:div w:id="687634281">
      <w:bodyDiv w:val="1"/>
      <w:marLeft w:val="0"/>
      <w:marRight w:val="0"/>
      <w:marTop w:val="0"/>
      <w:marBottom w:val="0"/>
      <w:divBdr>
        <w:top w:val="none" w:sz="0" w:space="0" w:color="auto"/>
        <w:left w:val="none" w:sz="0" w:space="0" w:color="auto"/>
        <w:bottom w:val="none" w:sz="0" w:space="0" w:color="auto"/>
        <w:right w:val="none" w:sz="0" w:space="0" w:color="auto"/>
      </w:divBdr>
    </w:div>
    <w:div w:id="692998852">
      <w:bodyDiv w:val="1"/>
      <w:marLeft w:val="0"/>
      <w:marRight w:val="0"/>
      <w:marTop w:val="0"/>
      <w:marBottom w:val="0"/>
      <w:divBdr>
        <w:top w:val="none" w:sz="0" w:space="0" w:color="auto"/>
        <w:left w:val="none" w:sz="0" w:space="0" w:color="auto"/>
        <w:bottom w:val="none" w:sz="0" w:space="0" w:color="auto"/>
        <w:right w:val="none" w:sz="0" w:space="0" w:color="auto"/>
      </w:divBdr>
    </w:div>
    <w:div w:id="693920129">
      <w:bodyDiv w:val="1"/>
      <w:marLeft w:val="0"/>
      <w:marRight w:val="0"/>
      <w:marTop w:val="0"/>
      <w:marBottom w:val="0"/>
      <w:divBdr>
        <w:top w:val="none" w:sz="0" w:space="0" w:color="auto"/>
        <w:left w:val="none" w:sz="0" w:space="0" w:color="auto"/>
        <w:bottom w:val="none" w:sz="0" w:space="0" w:color="auto"/>
        <w:right w:val="none" w:sz="0" w:space="0" w:color="auto"/>
      </w:divBdr>
    </w:div>
    <w:div w:id="695081874">
      <w:bodyDiv w:val="1"/>
      <w:marLeft w:val="0"/>
      <w:marRight w:val="0"/>
      <w:marTop w:val="0"/>
      <w:marBottom w:val="0"/>
      <w:divBdr>
        <w:top w:val="none" w:sz="0" w:space="0" w:color="auto"/>
        <w:left w:val="none" w:sz="0" w:space="0" w:color="auto"/>
        <w:bottom w:val="none" w:sz="0" w:space="0" w:color="auto"/>
        <w:right w:val="none" w:sz="0" w:space="0" w:color="auto"/>
      </w:divBdr>
    </w:div>
    <w:div w:id="695353877">
      <w:bodyDiv w:val="1"/>
      <w:marLeft w:val="0"/>
      <w:marRight w:val="0"/>
      <w:marTop w:val="0"/>
      <w:marBottom w:val="0"/>
      <w:divBdr>
        <w:top w:val="none" w:sz="0" w:space="0" w:color="auto"/>
        <w:left w:val="none" w:sz="0" w:space="0" w:color="auto"/>
        <w:bottom w:val="none" w:sz="0" w:space="0" w:color="auto"/>
        <w:right w:val="none" w:sz="0" w:space="0" w:color="auto"/>
      </w:divBdr>
    </w:div>
    <w:div w:id="696665148">
      <w:bodyDiv w:val="1"/>
      <w:marLeft w:val="0"/>
      <w:marRight w:val="0"/>
      <w:marTop w:val="0"/>
      <w:marBottom w:val="0"/>
      <w:divBdr>
        <w:top w:val="none" w:sz="0" w:space="0" w:color="auto"/>
        <w:left w:val="none" w:sz="0" w:space="0" w:color="auto"/>
        <w:bottom w:val="none" w:sz="0" w:space="0" w:color="auto"/>
        <w:right w:val="none" w:sz="0" w:space="0" w:color="auto"/>
      </w:divBdr>
    </w:div>
    <w:div w:id="697776705">
      <w:bodyDiv w:val="1"/>
      <w:marLeft w:val="0"/>
      <w:marRight w:val="0"/>
      <w:marTop w:val="0"/>
      <w:marBottom w:val="0"/>
      <w:divBdr>
        <w:top w:val="none" w:sz="0" w:space="0" w:color="auto"/>
        <w:left w:val="none" w:sz="0" w:space="0" w:color="auto"/>
        <w:bottom w:val="none" w:sz="0" w:space="0" w:color="auto"/>
        <w:right w:val="none" w:sz="0" w:space="0" w:color="auto"/>
      </w:divBdr>
    </w:div>
    <w:div w:id="706295962">
      <w:bodyDiv w:val="1"/>
      <w:marLeft w:val="0"/>
      <w:marRight w:val="0"/>
      <w:marTop w:val="0"/>
      <w:marBottom w:val="0"/>
      <w:divBdr>
        <w:top w:val="none" w:sz="0" w:space="0" w:color="auto"/>
        <w:left w:val="none" w:sz="0" w:space="0" w:color="auto"/>
        <w:bottom w:val="none" w:sz="0" w:space="0" w:color="auto"/>
        <w:right w:val="none" w:sz="0" w:space="0" w:color="auto"/>
      </w:divBdr>
    </w:div>
    <w:div w:id="720592884">
      <w:bodyDiv w:val="1"/>
      <w:marLeft w:val="0"/>
      <w:marRight w:val="0"/>
      <w:marTop w:val="0"/>
      <w:marBottom w:val="0"/>
      <w:divBdr>
        <w:top w:val="none" w:sz="0" w:space="0" w:color="auto"/>
        <w:left w:val="none" w:sz="0" w:space="0" w:color="auto"/>
        <w:bottom w:val="none" w:sz="0" w:space="0" w:color="auto"/>
        <w:right w:val="none" w:sz="0" w:space="0" w:color="auto"/>
      </w:divBdr>
    </w:div>
    <w:div w:id="723062748">
      <w:bodyDiv w:val="1"/>
      <w:marLeft w:val="0"/>
      <w:marRight w:val="0"/>
      <w:marTop w:val="0"/>
      <w:marBottom w:val="0"/>
      <w:divBdr>
        <w:top w:val="none" w:sz="0" w:space="0" w:color="auto"/>
        <w:left w:val="none" w:sz="0" w:space="0" w:color="auto"/>
        <w:bottom w:val="none" w:sz="0" w:space="0" w:color="auto"/>
        <w:right w:val="none" w:sz="0" w:space="0" w:color="auto"/>
      </w:divBdr>
    </w:div>
    <w:div w:id="723871770">
      <w:bodyDiv w:val="1"/>
      <w:marLeft w:val="0"/>
      <w:marRight w:val="0"/>
      <w:marTop w:val="0"/>
      <w:marBottom w:val="0"/>
      <w:divBdr>
        <w:top w:val="none" w:sz="0" w:space="0" w:color="auto"/>
        <w:left w:val="none" w:sz="0" w:space="0" w:color="auto"/>
        <w:bottom w:val="none" w:sz="0" w:space="0" w:color="auto"/>
        <w:right w:val="none" w:sz="0" w:space="0" w:color="auto"/>
      </w:divBdr>
    </w:div>
    <w:div w:id="724835567">
      <w:bodyDiv w:val="1"/>
      <w:marLeft w:val="0"/>
      <w:marRight w:val="0"/>
      <w:marTop w:val="0"/>
      <w:marBottom w:val="0"/>
      <w:divBdr>
        <w:top w:val="none" w:sz="0" w:space="0" w:color="auto"/>
        <w:left w:val="none" w:sz="0" w:space="0" w:color="auto"/>
        <w:bottom w:val="none" w:sz="0" w:space="0" w:color="auto"/>
        <w:right w:val="none" w:sz="0" w:space="0" w:color="auto"/>
      </w:divBdr>
    </w:div>
    <w:div w:id="732898150">
      <w:bodyDiv w:val="1"/>
      <w:marLeft w:val="0"/>
      <w:marRight w:val="0"/>
      <w:marTop w:val="0"/>
      <w:marBottom w:val="0"/>
      <w:divBdr>
        <w:top w:val="none" w:sz="0" w:space="0" w:color="auto"/>
        <w:left w:val="none" w:sz="0" w:space="0" w:color="auto"/>
        <w:bottom w:val="none" w:sz="0" w:space="0" w:color="auto"/>
        <w:right w:val="none" w:sz="0" w:space="0" w:color="auto"/>
      </w:divBdr>
    </w:div>
    <w:div w:id="733505639">
      <w:bodyDiv w:val="1"/>
      <w:marLeft w:val="0"/>
      <w:marRight w:val="0"/>
      <w:marTop w:val="0"/>
      <w:marBottom w:val="0"/>
      <w:divBdr>
        <w:top w:val="none" w:sz="0" w:space="0" w:color="auto"/>
        <w:left w:val="none" w:sz="0" w:space="0" w:color="auto"/>
        <w:bottom w:val="none" w:sz="0" w:space="0" w:color="auto"/>
        <w:right w:val="none" w:sz="0" w:space="0" w:color="auto"/>
      </w:divBdr>
    </w:div>
    <w:div w:id="734276368">
      <w:bodyDiv w:val="1"/>
      <w:marLeft w:val="0"/>
      <w:marRight w:val="0"/>
      <w:marTop w:val="0"/>
      <w:marBottom w:val="0"/>
      <w:divBdr>
        <w:top w:val="none" w:sz="0" w:space="0" w:color="auto"/>
        <w:left w:val="none" w:sz="0" w:space="0" w:color="auto"/>
        <w:bottom w:val="none" w:sz="0" w:space="0" w:color="auto"/>
        <w:right w:val="none" w:sz="0" w:space="0" w:color="auto"/>
      </w:divBdr>
    </w:div>
    <w:div w:id="735083086">
      <w:bodyDiv w:val="1"/>
      <w:marLeft w:val="0"/>
      <w:marRight w:val="0"/>
      <w:marTop w:val="0"/>
      <w:marBottom w:val="0"/>
      <w:divBdr>
        <w:top w:val="none" w:sz="0" w:space="0" w:color="auto"/>
        <w:left w:val="none" w:sz="0" w:space="0" w:color="auto"/>
        <w:bottom w:val="none" w:sz="0" w:space="0" w:color="auto"/>
        <w:right w:val="none" w:sz="0" w:space="0" w:color="auto"/>
      </w:divBdr>
    </w:div>
    <w:div w:id="735126066">
      <w:bodyDiv w:val="1"/>
      <w:marLeft w:val="0"/>
      <w:marRight w:val="0"/>
      <w:marTop w:val="0"/>
      <w:marBottom w:val="0"/>
      <w:divBdr>
        <w:top w:val="none" w:sz="0" w:space="0" w:color="auto"/>
        <w:left w:val="none" w:sz="0" w:space="0" w:color="auto"/>
        <w:bottom w:val="none" w:sz="0" w:space="0" w:color="auto"/>
        <w:right w:val="none" w:sz="0" w:space="0" w:color="auto"/>
      </w:divBdr>
    </w:div>
    <w:div w:id="740979049">
      <w:bodyDiv w:val="1"/>
      <w:marLeft w:val="0"/>
      <w:marRight w:val="0"/>
      <w:marTop w:val="0"/>
      <w:marBottom w:val="0"/>
      <w:divBdr>
        <w:top w:val="none" w:sz="0" w:space="0" w:color="auto"/>
        <w:left w:val="none" w:sz="0" w:space="0" w:color="auto"/>
        <w:bottom w:val="none" w:sz="0" w:space="0" w:color="auto"/>
        <w:right w:val="none" w:sz="0" w:space="0" w:color="auto"/>
      </w:divBdr>
    </w:div>
    <w:div w:id="741291440">
      <w:bodyDiv w:val="1"/>
      <w:marLeft w:val="0"/>
      <w:marRight w:val="0"/>
      <w:marTop w:val="0"/>
      <w:marBottom w:val="0"/>
      <w:divBdr>
        <w:top w:val="none" w:sz="0" w:space="0" w:color="auto"/>
        <w:left w:val="none" w:sz="0" w:space="0" w:color="auto"/>
        <w:bottom w:val="none" w:sz="0" w:space="0" w:color="auto"/>
        <w:right w:val="none" w:sz="0" w:space="0" w:color="auto"/>
      </w:divBdr>
    </w:div>
    <w:div w:id="743139207">
      <w:bodyDiv w:val="1"/>
      <w:marLeft w:val="0"/>
      <w:marRight w:val="0"/>
      <w:marTop w:val="0"/>
      <w:marBottom w:val="0"/>
      <w:divBdr>
        <w:top w:val="none" w:sz="0" w:space="0" w:color="auto"/>
        <w:left w:val="none" w:sz="0" w:space="0" w:color="auto"/>
        <w:bottom w:val="none" w:sz="0" w:space="0" w:color="auto"/>
        <w:right w:val="none" w:sz="0" w:space="0" w:color="auto"/>
      </w:divBdr>
    </w:div>
    <w:div w:id="743456003">
      <w:bodyDiv w:val="1"/>
      <w:marLeft w:val="0"/>
      <w:marRight w:val="0"/>
      <w:marTop w:val="0"/>
      <w:marBottom w:val="0"/>
      <w:divBdr>
        <w:top w:val="none" w:sz="0" w:space="0" w:color="auto"/>
        <w:left w:val="none" w:sz="0" w:space="0" w:color="auto"/>
        <w:bottom w:val="none" w:sz="0" w:space="0" w:color="auto"/>
        <w:right w:val="none" w:sz="0" w:space="0" w:color="auto"/>
      </w:divBdr>
    </w:div>
    <w:div w:id="745804127">
      <w:bodyDiv w:val="1"/>
      <w:marLeft w:val="0"/>
      <w:marRight w:val="0"/>
      <w:marTop w:val="0"/>
      <w:marBottom w:val="0"/>
      <w:divBdr>
        <w:top w:val="none" w:sz="0" w:space="0" w:color="auto"/>
        <w:left w:val="none" w:sz="0" w:space="0" w:color="auto"/>
        <w:bottom w:val="none" w:sz="0" w:space="0" w:color="auto"/>
        <w:right w:val="none" w:sz="0" w:space="0" w:color="auto"/>
      </w:divBdr>
    </w:div>
    <w:div w:id="747338575">
      <w:bodyDiv w:val="1"/>
      <w:marLeft w:val="0"/>
      <w:marRight w:val="0"/>
      <w:marTop w:val="0"/>
      <w:marBottom w:val="0"/>
      <w:divBdr>
        <w:top w:val="none" w:sz="0" w:space="0" w:color="auto"/>
        <w:left w:val="none" w:sz="0" w:space="0" w:color="auto"/>
        <w:bottom w:val="none" w:sz="0" w:space="0" w:color="auto"/>
        <w:right w:val="none" w:sz="0" w:space="0" w:color="auto"/>
      </w:divBdr>
    </w:div>
    <w:div w:id="755906087">
      <w:bodyDiv w:val="1"/>
      <w:marLeft w:val="0"/>
      <w:marRight w:val="0"/>
      <w:marTop w:val="0"/>
      <w:marBottom w:val="0"/>
      <w:divBdr>
        <w:top w:val="none" w:sz="0" w:space="0" w:color="auto"/>
        <w:left w:val="none" w:sz="0" w:space="0" w:color="auto"/>
        <w:bottom w:val="none" w:sz="0" w:space="0" w:color="auto"/>
        <w:right w:val="none" w:sz="0" w:space="0" w:color="auto"/>
      </w:divBdr>
    </w:div>
    <w:div w:id="761293734">
      <w:bodyDiv w:val="1"/>
      <w:marLeft w:val="0"/>
      <w:marRight w:val="0"/>
      <w:marTop w:val="0"/>
      <w:marBottom w:val="0"/>
      <w:divBdr>
        <w:top w:val="none" w:sz="0" w:space="0" w:color="auto"/>
        <w:left w:val="none" w:sz="0" w:space="0" w:color="auto"/>
        <w:bottom w:val="none" w:sz="0" w:space="0" w:color="auto"/>
        <w:right w:val="none" w:sz="0" w:space="0" w:color="auto"/>
      </w:divBdr>
    </w:div>
    <w:div w:id="774786691">
      <w:bodyDiv w:val="1"/>
      <w:marLeft w:val="0"/>
      <w:marRight w:val="0"/>
      <w:marTop w:val="0"/>
      <w:marBottom w:val="0"/>
      <w:divBdr>
        <w:top w:val="none" w:sz="0" w:space="0" w:color="auto"/>
        <w:left w:val="none" w:sz="0" w:space="0" w:color="auto"/>
        <w:bottom w:val="none" w:sz="0" w:space="0" w:color="auto"/>
        <w:right w:val="none" w:sz="0" w:space="0" w:color="auto"/>
      </w:divBdr>
    </w:div>
    <w:div w:id="780146111">
      <w:bodyDiv w:val="1"/>
      <w:marLeft w:val="0"/>
      <w:marRight w:val="0"/>
      <w:marTop w:val="0"/>
      <w:marBottom w:val="0"/>
      <w:divBdr>
        <w:top w:val="none" w:sz="0" w:space="0" w:color="auto"/>
        <w:left w:val="none" w:sz="0" w:space="0" w:color="auto"/>
        <w:bottom w:val="none" w:sz="0" w:space="0" w:color="auto"/>
        <w:right w:val="none" w:sz="0" w:space="0" w:color="auto"/>
      </w:divBdr>
    </w:div>
    <w:div w:id="780422219">
      <w:bodyDiv w:val="1"/>
      <w:marLeft w:val="0"/>
      <w:marRight w:val="0"/>
      <w:marTop w:val="0"/>
      <w:marBottom w:val="0"/>
      <w:divBdr>
        <w:top w:val="none" w:sz="0" w:space="0" w:color="auto"/>
        <w:left w:val="none" w:sz="0" w:space="0" w:color="auto"/>
        <w:bottom w:val="none" w:sz="0" w:space="0" w:color="auto"/>
        <w:right w:val="none" w:sz="0" w:space="0" w:color="auto"/>
      </w:divBdr>
    </w:div>
    <w:div w:id="780566028">
      <w:bodyDiv w:val="1"/>
      <w:marLeft w:val="0"/>
      <w:marRight w:val="0"/>
      <w:marTop w:val="0"/>
      <w:marBottom w:val="0"/>
      <w:divBdr>
        <w:top w:val="none" w:sz="0" w:space="0" w:color="auto"/>
        <w:left w:val="none" w:sz="0" w:space="0" w:color="auto"/>
        <w:bottom w:val="none" w:sz="0" w:space="0" w:color="auto"/>
        <w:right w:val="none" w:sz="0" w:space="0" w:color="auto"/>
      </w:divBdr>
    </w:div>
    <w:div w:id="780993914">
      <w:bodyDiv w:val="1"/>
      <w:marLeft w:val="0"/>
      <w:marRight w:val="0"/>
      <w:marTop w:val="0"/>
      <w:marBottom w:val="0"/>
      <w:divBdr>
        <w:top w:val="none" w:sz="0" w:space="0" w:color="auto"/>
        <w:left w:val="none" w:sz="0" w:space="0" w:color="auto"/>
        <w:bottom w:val="none" w:sz="0" w:space="0" w:color="auto"/>
        <w:right w:val="none" w:sz="0" w:space="0" w:color="auto"/>
      </w:divBdr>
    </w:div>
    <w:div w:id="784467304">
      <w:bodyDiv w:val="1"/>
      <w:marLeft w:val="0"/>
      <w:marRight w:val="0"/>
      <w:marTop w:val="0"/>
      <w:marBottom w:val="0"/>
      <w:divBdr>
        <w:top w:val="none" w:sz="0" w:space="0" w:color="auto"/>
        <w:left w:val="none" w:sz="0" w:space="0" w:color="auto"/>
        <w:bottom w:val="none" w:sz="0" w:space="0" w:color="auto"/>
        <w:right w:val="none" w:sz="0" w:space="0" w:color="auto"/>
      </w:divBdr>
    </w:div>
    <w:div w:id="784495885">
      <w:bodyDiv w:val="1"/>
      <w:marLeft w:val="0"/>
      <w:marRight w:val="0"/>
      <w:marTop w:val="0"/>
      <w:marBottom w:val="0"/>
      <w:divBdr>
        <w:top w:val="none" w:sz="0" w:space="0" w:color="auto"/>
        <w:left w:val="none" w:sz="0" w:space="0" w:color="auto"/>
        <w:bottom w:val="none" w:sz="0" w:space="0" w:color="auto"/>
        <w:right w:val="none" w:sz="0" w:space="0" w:color="auto"/>
      </w:divBdr>
    </w:div>
    <w:div w:id="785539086">
      <w:bodyDiv w:val="1"/>
      <w:marLeft w:val="0"/>
      <w:marRight w:val="0"/>
      <w:marTop w:val="0"/>
      <w:marBottom w:val="0"/>
      <w:divBdr>
        <w:top w:val="none" w:sz="0" w:space="0" w:color="auto"/>
        <w:left w:val="none" w:sz="0" w:space="0" w:color="auto"/>
        <w:bottom w:val="none" w:sz="0" w:space="0" w:color="auto"/>
        <w:right w:val="none" w:sz="0" w:space="0" w:color="auto"/>
      </w:divBdr>
    </w:div>
    <w:div w:id="787162515">
      <w:bodyDiv w:val="1"/>
      <w:marLeft w:val="0"/>
      <w:marRight w:val="0"/>
      <w:marTop w:val="0"/>
      <w:marBottom w:val="0"/>
      <w:divBdr>
        <w:top w:val="none" w:sz="0" w:space="0" w:color="auto"/>
        <w:left w:val="none" w:sz="0" w:space="0" w:color="auto"/>
        <w:bottom w:val="none" w:sz="0" w:space="0" w:color="auto"/>
        <w:right w:val="none" w:sz="0" w:space="0" w:color="auto"/>
      </w:divBdr>
    </w:div>
    <w:div w:id="793862243">
      <w:bodyDiv w:val="1"/>
      <w:marLeft w:val="0"/>
      <w:marRight w:val="0"/>
      <w:marTop w:val="0"/>
      <w:marBottom w:val="0"/>
      <w:divBdr>
        <w:top w:val="none" w:sz="0" w:space="0" w:color="auto"/>
        <w:left w:val="none" w:sz="0" w:space="0" w:color="auto"/>
        <w:bottom w:val="none" w:sz="0" w:space="0" w:color="auto"/>
        <w:right w:val="none" w:sz="0" w:space="0" w:color="auto"/>
      </w:divBdr>
    </w:div>
    <w:div w:id="797070212">
      <w:bodyDiv w:val="1"/>
      <w:marLeft w:val="0"/>
      <w:marRight w:val="0"/>
      <w:marTop w:val="0"/>
      <w:marBottom w:val="0"/>
      <w:divBdr>
        <w:top w:val="none" w:sz="0" w:space="0" w:color="auto"/>
        <w:left w:val="none" w:sz="0" w:space="0" w:color="auto"/>
        <w:bottom w:val="none" w:sz="0" w:space="0" w:color="auto"/>
        <w:right w:val="none" w:sz="0" w:space="0" w:color="auto"/>
      </w:divBdr>
    </w:div>
    <w:div w:id="797450297">
      <w:bodyDiv w:val="1"/>
      <w:marLeft w:val="0"/>
      <w:marRight w:val="0"/>
      <w:marTop w:val="0"/>
      <w:marBottom w:val="0"/>
      <w:divBdr>
        <w:top w:val="none" w:sz="0" w:space="0" w:color="auto"/>
        <w:left w:val="none" w:sz="0" w:space="0" w:color="auto"/>
        <w:bottom w:val="none" w:sz="0" w:space="0" w:color="auto"/>
        <w:right w:val="none" w:sz="0" w:space="0" w:color="auto"/>
      </w:divBdr>
    </w:div>
    <w:div w:id="798182142">
      <w:bodyDiv w:val="1"/>
      <w:marLeft w:val="0"/>
      <w:marRight w:val="0"/>
      <w:marTop w:val="0"/>
      <w:marBottom w:val="0"/>
      <w:divBdr>
        <w:top w:val="none" w:sz="0" w:space="0" w:color="auto"/>
        <w:left w:val="none" w:sz="0" w:space="0" w:color="auto"/>
        <w:bottom w:val="none" w:sz="0" w:space="0" w:color="auto"/>
        <w:right w:val="none" w:sz="0" w:space="0" w:color="auto"/>
      </w:divBdr>
    </w:div>
    <w:div w:id="800419228">
      <w:bodyDiv w:val="1"/>
      <w:marLeft w:val="0"/>
      <w:marRight w:val="0"/>
      <w:marTop w:val="0"/>
      <w:marBottom w:val="0"/>
      <w:divBdr>
        <w:top w:val="none" w:sz="0" w:space="0" w:color="auto"/>
        <w:left w:val="none" w:sz="0" w:space="0" w:color="auto"/>
        <w:bottom w:val="none" w:sz="0" w:space="0" w:color="auto"/>
        <w:right w:val="none" w:sz="0" w:space="0" w:color="auto"/>
      </w:divBdr>
    </w:div>
    <w:div w:id="806050085">
      <w:bodyDiv w:val="1"/>
      <w:marLeft w:val="0"/>
      <w:marRight w:val="0"/>
      <w:marTop w:val="0"/>
      <w:marBottom w:val="0"/>
      <w:divBdr>
        <w:top w:val="none" w:sz="0" w:space="0" w:color="auto"/>
        <w:left w:val="none" w:sz="0" w:space="0" w:color="auto"/>
        <w:bottom w:val="none" w:sz="0" w:space="0" w:color="auto"/>
        <w:right w:val="none" w:sz="0" w:space="0" w:color="auto"/>
      </w:divBdr>
    </w:div>
    <w:div w:id="806433498">
      <w:bodyDiv w:val="1"/>
      <w:marLeft w:val="0"/>
      <w:marRight w:val="0"/>
      <w:marTop w:val="0"/>
      <w:marBottom w:val="0"/>
      <w:divBdr>
        <w:top w:val="none" w:sz="0" w:space="0" w:color="auto"/>
        <w:left w:val="none" w:sz="0" w:space="0" w:color="auto"/>
        <w:bottom w:val="none" w:sz="0" w:space="0" w:color="auto"/>
        <w:right w:val="none" w:sz="0" w:space="0" w:color="auto"/>
      </w:divBdr>
    </w:div>
    <w:div w:id="812672838">
      <w:bodyDiv w:val="1"/>
      <w:marLeft w:val="0"/>
      <w:marRight w:val="0"/>
      <w:marTop w:val="0"/>
      <w:marBottom w:val="0"/>
      <w:divBdr>
        <w:top w:val="none" w:sz="0" w:space="0" w:color="auto"/>
        <w:left w:val="none" w:sz="0" w:space="0" w:color="auto"/>
        <w:bottom w:val="none" w:sz="0" w:space="0" w:color="auto"/>
        <w:right w:val="none" w:sz="0" w:space="0" w:color="auto"/>
      </w:divBdr>
    </w:div>
    <w:div w:id="827480429">
      <w:bodyDiv w:val="1"/>
      <w:marLeft w:val="0"/>
      <w:marRight w:val="0"/>
      <w:marTop w:val="0"/>
      <w:marBottom w:val="0"/>
      <w:divBdr>
        <w:top w:val="none" w:sz="0" w:space="0" w:color="auto"/>
        <w:left w:val="none" w:sz="0" w:space="0" w:color="auto"/>
        <w:bottom w:val="none" w:sz="0" w:space="0" w:color="auto"/>
        <w:right w:val="none" w:sz="0" w:space="0" w:color="auto"/>
      </w:divBdr>
    </w:div>
    <w:div w:id="831094443">
      <w:bodyDiv w:val="1"/>
      <w:marLeft w:val="0"/>
      <w:marRight w:val="0"/>
      <w:marTop w:val="0"/>
      <w:marBottom w:val="0"/>
      <w:divBdr>
        <w:top w:val="none" w:sz="0" w:space="0" w:color="auto"/>
        <w:left w:val="none" w:sz="0" w:space="0" w:color="auto"/>
        <w:bottom w:val="none" w:sz="0" w:space="0" w:color="auto"/>
        <w:right w:val="none" w:sz="0" w:space="0" w:color="auto"/>
      </w:divBdr>
    </w:div>
    <w:div w:id="834956956">
      <w:bodyDiv w:val="1"/>
      <w:marLeft w:val="0"/>
      <w:marRight w:val="0"/>
      <w:marTop w:val="0"/>
      <w:marBottom w:val="0"/>
      <w:divBdr>
        <w:top w:val="none" w:sz="0" w:space="0" w:color="auto"/>
        <w:left w:val="none" w:sz="0" w:space="0" w:color="auto"/>
        <w:bottom w:val="none" w:sz="0" w:space="0" w:color="auto"/>
        <w:right w:val="none" w:sz="0" w:space="0" w:color="auto"/>
      </w:divBdr>
    </w:div>
    <w:div w:id="851379946">
      <w:bodyDiv w:val="1"/>
      <w:marLeft w:val="0"/>
      <w:marRight w:val="0"/>
      <w:marTop w:val="0"/>
      <w:marBottom w:val="0"/>
      <w:divBdr>
        <w:top w:val="none" w:sz="0" w:space="0" w:color="auto"/>
        <w:left w:val="none" w:sz="0" w:space="0" w:color="auto"/>
        <w:bottom w:val="none" w:sz="0" w:space="0" w:color="auto"/>
        <w:right w:val="none" w:sz="0" w:space="0" w:color="auto"/>
      </w:divBdr>
    </w:div>
    <w:div w:id="855657007">
      <w:bodyDiv w:val="1"/>
      <w:marLeft w:val="0"/>
      <w:marRight w:val="0"/>
      <w:marTop w:val="0"/>
      <w:marBottom w:val="0"/>
      <w:divBdr>
        <w:top w:val="none" w:sz="0" w:space="0" w:color="auto"/>
        <w:left w:val="none" w:sz="0" w:space="0" w:color="auto"/>
        <w:bottom w:val="none" w:sz="0" w:space="0" w:color="auto"/>
        <w:right w:val="none" w:sz="0" w:space="0" w:color="auto"/>
      </w:divBdr>
    </w:div>
    <w:div w:id="855771805">
      <w:bodyDiv w:val="1"/>
      <w:marLeft w:val="0"/>
      <w:marRight w:val="0"/>
      <w:marTop w:val="0"/>
      <w:marBottom w:val="0"/>
      <w:divBdr>
        <w:top w:val="none" w:sz="0" w:space="0" w:color="auto"/>
        <w:left w:val="none" w:sz="0" w:space="0" w:color="auto"/>
        <w:bottom w:val="none" w:sz="0" w:space="0" w:color="auto"/>
        <w:right w:val="none" w:sz="0" w:space="0" w:color="auto"/>
      </w:divBdr>
    </w:div>
    <w:div w:id="857935516">
      <w:bodyDiv w:val="1"/>
      <w:marLeft w:val="0"/>
      <w:marRight w:val="0"/>
      <w:marTop w:val="0"/>
      <w:marBottom w:val="0"/>
      <w:divBdr>
        <w:top w:val="none" w:sz="0" w:space="0" w:color="auto"/>
        <w:left w:val="none" w:sz="0" w:space="0" w:color="auto"/>
        <w:bottom w:val="none" w:sz="0" w:space="0" w:color="auto"/>
        <w:right w:val="none" w:sz="0" w:space="0" w:color="auto"/>
      </w:divBdr>
    </w:div>
    <w:div w:id="859783488">
      <w:bodyDiv w:val="1"/>
      <w:marLeft w:val="0"/>
      <w:marRight w:val="0"/>
      <w:marTop w:val="0"/>
      <w:marBottom w:val="0"/>
      <w:divBdr>
        <w:top w:val="none" w:sz="0" w:space="0" w:color="auto"/>
        <w:left w:val="none" w:sz="0" w:space="0" w:color="auto"/>
        <w:bottom w:val="none" w:sz="0" w:space="0" w:color="auto"/>
        <w:right w:val="none" w:sz="0" w:space="0" w:color="auto"/>
      </w:divBdr>
    </w:div>
    <w:div w:id="859784077">
      <w:bodyDiv w:val="1"/>
      <w:marLeft w:val="0"/>
      <w:marRight w:val="0"/>
      <w:marTop w:val="0"/>
      <w:marBottom w:val="0"/>
      <w:divBdr>
        <w:top w:val="none" w:sz="0" w:space="0" w:color="auto"/>
        <w:left w:val="none" w:sz="0" w:space="0" w:color="auto"/>
        <w:bottom w:val="none" w:sz="0" w:space="0" w:color="auto"/>
        <w:right w:val="none" w:sz="0" w:space="0" w:color="auto"/>
      </w:divBdr>
    </w:div>
    <w:div w:id="860315364">
      <w:bodyDiv w:val="1"/>
      <w:marLeft w:val="0"/>
      <w:marRight w:val="0"/>
      <w:marTop w:val="0"/>
      <w:marBottom w:val="0"/>
      <w:divBdr>
        <w:top w:val="none" w:sz="0" w:space="0" w:color="auto"/>
        <w:left w:val="none" w:sz="0" w:space="0" w:color="auto"/>
        <w:bottom w:val="none" w:sz="0" w:space="0" w:color="auto"/>
        <w:right w:val="none" w:sz="0" w:space="0" w:color="auto"/>
      </w:divBdr>
    </w:div>
    <w:div w:id="864631277">
      <w:bodyDiv w:val="1"/>
      <w:marLeft w:val="0"/>
      <w:marRight w:val="0"/>
      <w:marTop w:val="0"/>
      <w:marBottom w:val="0"/>
      <w:divBdr>
        <w:top w:val="none" w:sz="0" w:space="0" w:color="auto"/>
        <w:left w:val="none" w:sz="0" w:space="0" w:color="auto"/>
        <w:bottom w:val="none" w:sz="0" w:space="0" w:color="auto"/>
        <w:right w:val="none" w:sz="0" w:space="0" w:color="auto"/>
      </w:divBdr>
    </w:div>
    <w:div w:id="865024370">
      <w:bodyDiv w:val="1"/>
      <w:marLeft w:val="0"/>
      <w:marRight w:val="0"/>
      <w:marTop w:val="0"/>
      <w:marBottom w:val="0"/>
      <w:divBdr>
        <w:top w:val="none" w:sz="0" w:space="0" w:color="auto"/>
        <w:left w:val="none" w:sz="0" w:space="0" w:color="auto"/>
        <w:bottom w:val="none" w:sz="0" w:space="0" w:color="auto"/>
        <w:right w:val="none" w:sz="0" w:space="0" w:color="auto"/>
      </w:divBdr>
    </w:div>
    <w:div w:id="869496326">
      <w:bodyDiv w:val="1"/>
      <w:marLeft w:val="0"/>
      <w:marRight w:val="0"/>
      <w:marTop w:val="0"/>
      <w:marBottom w:val="0"/>
      <w:divBdr>
        <w:top w:val="none" w:sz="0" w:space="0" w:color="auto"/>
        <w:left w:val="none" w:sz="0" w:space="0" w:color="auto"/>
        <w:bottom w:val="none" w:sz="0" w:space="0" w:color="auto"/>
        <w:right w:val="none" w:sz="0" w:space="0" w:color="auto"/>
      </w:divBdr>
    </w:div>
    <w:div w:id="874075281">
      <w:bodyDiv w:val="1"/>
      <w:marLeft w:val="0"/>
      <w:marRight w:val="0"/>
      <w:marTop w:val="0"/>
      <w:marBottom w:val="0"/>
      <w:divBdr>
        <w:top w:val="none" w:sz="0" w:space="0" w:color="auto"/>
        <w:left w:val="none" w:sz="0" w:space="0" w:color="auto"/>
        <w:bottom w:val="none" w:sz="0" w:space="0" w:color="auto"/>
        <w:right w:val="none" w:sz="0" w:space="0" w:color="auto"/>
      </w:divBdr>
    </w:div>
    <w:div w:id="875658859">
      <w:bodyDiv w:val="1"/>
      <w:marLeft w:val="0"/>
      <w:marRight w:val="0"/>
      <w:marTop w:val="0"/>
      <w:marBottom w:val="0"/>
      <w:divBdr>
        <w:top w:val="none" w:sz="0" w:space="0" w:color="auto"/>
        <w:left w:val="none" w:sz="0" w:space="0" w:color="auto"/>
        <w:bottom w:val="none" w:sz="0" w:space="0" w:color="auto"/>
        <w:right w:val="none" w:sz="0" w:space="0" w:color="auto"/>
      </w:divBdr>
    </w:div>
    <w:div w:id="882593960">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86264417">
      <w:bodyDiv w:val="1"/>
      <w:marLeft w:val="0"/>
      <w:marRight w:val="0"/>
      <w:marTop w:val="0"/>
      <w:marBottom w:val="0"/>
      <w:divBdr>
        <w:top w:val="none" w:sz="0" w:space="0" w:color="auto"/>
        <w:left w:val="none" w:sz="0" w:space="0" w:color="auto"/>
        <w:bottom w:val="none" w:sz="0" w:space="0" w:color="auto"/>
        <w:right w:val="none" w:sz="0" w:space="0" w:color="auto"/>
      </w:divBdr>
    </w:div>
    <w:div w:id="886377304">
      <w:bodyDiv w:val="1"/>
      <w:marLeft w:val="0"/>
      <w:marRight w:val="0"/>
      <w:marTop w:val="0"/>
      <w:marBottom w:val="0"/>
      <w:divBdr>
        <w:top w:val="none" w:sz="0" w:space="0" w:color="auto"/>
        <w:left w:val="none" w:sz="0" w:space="0" w:color="auto"/>
        <w:bottom w:val="none" w:sz="0" w:space="0" w:color="auto"/>
        <w:right w:val="none" w:sz="0" w:space="0" w:color="auto"/>
      </w:divBdr>
    </w:div>
    <w:div w:id="887716733">
      <w:bodyDiv w:val="1"/>
      <w:marLeft w:val="0"/>
      <w:marRight w:val="0"/>
      <w:marTop w:val="0"/>
      <w:marBottom w:val="0"/>
      <w:divBdr>
        <w:top w:val="none" w:sz="0" w:space="0" w:color="auto"/>
        <w:left w:val="none" w:sz="0" w:space="0" w:color="auto"/>
        <w:bottom w:val="none" w:sz="0" w:space="0" w:color="auto"/>
        <w:right w:val="none" w:sz="0" w:space="0" w:color="auto"/>
      </w:divBdr>
    </w:div>
    <w:div w:id="889076663">
      <w:bodyDiv w:val="1"/>
      <w:marLeft w:val="0"/>
      <w:marRight w:val="0"/>
      <w:marTop w:val="0"/>
      <w:marBottom w:val="0"/>
      <w:divBdr>
        <w:top w:val="none" w:sz="0" w:space="0" w:color="auto"/>
        <w:left w:val="none" w:sz="0" w:space="0" w:color="auto"/>
        <w:bottom w:val="none" w:sz="0" w:space="0" w:color="auto"/>
        <w:right w:val="none" w:sz="0" w:space="0" w:color="auto"/>
      </w:divBdr>
    </w:div>
    <w:div w:id="898974449">
      <w:bodyDiv w:val="1"/>
      <w:marLeft w:val="0"/>
      <w:marRight w:val="0"/>
      <w:marTop w:val="0"/>
      <w:marBottom w:val="0"/>
      <w:divBdr>
        <w:top w:val="none" w:sz="0" w:space="0" w:color="auto"/>
        <w:left w:val="none" w:sz="0" w:space="0" w:color="auto"/>
        <w:bottom w:val="none" w:sz="0" w:space="0" w:color="auto"/>
        <w:right w:val="none" w:sz="0" w:space="0" w:color="auto"/>
      </w:divBdr>
    </w:div>
    <w:div w:id="910041278">
      <w:bodyDiv w:val="1"/>
      <w:marLeft w:val="0"/>
      <w:marRight w:val="0"/>
      <w:marTop w:val="0"/>
      <w:marBottom w:val="0"/>
      <w:divBdr>
        <w:top w:val="none" w:sz="0" w:space="0" w:color="auto"/>
        <w:left w:val="none" w:sz="0" w:space="0" w:color="auto"/>
        <w:bottom w:val="none" w:sz="0" w:space="0" w:color="auto"/>
        <w:right w:val="none" w:sz="0" w:space="0" w:color="auto"/>
      </w:divBdr>
    </w:div>
    <w:div w:id="913323120">
      <w:bodyDiv w:val="1"/>
      <w:marLeft w:val="0"/>
      <w:marRight w:val="0"/>
      <w:marTop w:val="0"/>
      <w:marBottom w:val="0"/>
      <w:divBdr>
        <w:top w:val="none" w:sz="0" w:space="0" w:color="auto"/>
        <w:left w:val="none" w:sz="0" w:space="0" w:color="auto"/>
        <w:bottom w:val="none" w:sz="0" w:space="0" w:color="auto"/>
        <w:right w:val="none" w:sz="0" w:space="0" w:color="auto"/>
      </w:divBdr>
    </w:div>
    <w:div w:id="914706901">
      <w:bodyDiv w:val="1"/>
      <w:marLeft w:val="0"/>
      <w:marRight w:val="0"/>
      <w:marTop w:val="0"/>
      <w:marBottom w:val="0"/>
      <w:divBdr>
        <w:top w:val="none" w:sz="0" w:space="0" w:color="auto"/>
        <w:left w:val="none" w:sz="0" w:space="0" w:color="auto"/>
        <w:bottom w:val="none" w:sz="0" w:space="0" w:color="auto"/>
        <w:right w:val="none" w:sz="0" w:space="0" w:color="auto"/>
      </w:divBdr>
    </w:div>
    <w:div w:id="916982016">
      <w:bodyDiv w:val="1"/>
      <w:marLeft w:val="0"/>
      <w:marRight w:val="0"/>
      <w:marTop w:val="0"/>
      <w:marBottom w:val="0"/>
      <w:divBdr>
        <w:top w:val="none" w:sz="0" w:space="0" w:color="auto"/>
        <w:left w:val="none" w:sz="0" w:space="0" w:color="auto"/>
        <w:bottom w:val="none" w:sz="0" w:space="0" w:color="auto"/>
        <w:right w:val="none" w:sz="0" w:space="0" w:color="auto"/>
      </w:divBdr>
    </w:div>
    <w:div w:id="919482823">
      <w:bodyDiv w:val="1"/>
      <w:marLeft w:val="0"/>
      <w:marRight w:val="0"/>
      <w:marTop w:val="0"/>
      <w:marBottom w:val="0"/>
      <w:divBdr>
        <w:top w:val="none" w:sz="0" w:space="0" w:color="auto"/>
        <w:left w:val="none" w:sz="0" w:space="0" w:color="auto"/>
        <w:bottom w:val="none" w:sz="0" w:space="0" w:color="auto"/>
        <w:right w:val="none" w:sz="0" w:space="0" w:color="auto"/>
      </w:divBdr>
    </w:div>
    <w:div w:id="921139564">
      <w:bodyDiv w:val="1"/>
      <w:marLeft w:val="0"/>
      <w:marRight w:val="0"/>
      <w:marTop w:val="0"/>
      <w:marBottom w:val="0"/>
      <w:divBdr>
        <w:top w:val="none" w:sz="0" w:space="0" w:color="auto"/>
        <w:left w:val="none" w:sz="0" w:space="0" w:color="auto"/>
        <w:bottom w:val="none" w:sz="0" w:space="0" w:color="auto"/>
        <w:right w:val="none" w:sz="0" w:space="0" w:color="auto"/>
      </w:divBdr>
    </w:div>
    <w:div w:id="927038002">
      <w:bodyDiv w:val="1"/>
      <w:marLeft w:val="0"/>
      <w:marRight w:val="0"/>
      <w:marTop w:val="0"/>
      <w:marBottom w:val="0"/>
      <w:divBdr>
        <w:top w:val="none" w:sz="0" w:space="0" w:color="auto"/>
        <w:left w:val="none" w:sz="0" w:space="0" w:color="auto"/>
        <w:bottom w:val="none" w:sz="0" w:space="0" w:color="auto"/>
        <w:right w:val="none" w:sz="0" w:space="0" w:color="auto"/>
      </w:divBdr>
      <w:divsChild>
        <w:div w:id="1381788014">
          <w:marLeft w:val="0"/>
          <w:marRight w:val="0"/>
          <w:marTop w:val="0"/>
          <w:marBottom w:val="0"/>
          <w:divBdr>
            <w:top w:val="none" w:sz="0" w:space="0" w:color="auto"/>
            <w:left w:val="none" w:sz="0" w:space="0" w:color="auto"/>
            <w:bottom w:val="none" w:sz="0" w:space="0" w:color="auto"/>
            <w:right w:val="none" w:sz="0" w:space="0" w:color="auto"/>
          </w:divBdr>
        </w:div>
      </w:divsChild>
    </w:div>
    <w:div w:id="930940408">
      <w:bodyDiv w:val="1"/>
      <w:marLeft w:val="0"/>
      <w:marRight w:val="0"/>
      <w:marTop w:val="0"/>
      <w:marBottom w:val="0"/>
      <w:divBdr>
        <w:top w:val="none" w:sz="0" w:space="0" w:color="auto"/>
        <w:left w:val="none" w:sz="0" w:space="0" w:color="auto"/>
        <w:bottom w:val="none" w:sz="0" w:space="0" w:color="auto"/>
        <w:right w:val="none" w:sz="0" w:space="0" w:color="auto"/>
      </w:divBdr>
    </w:div>
    <w:div w:id="932593671">
      <w:bodyDiv w:val="1"/>
      <w:marLeft w:val="0"/>
      <w:marRight w:val="0"/>
      <w:marTop w:val="0"/>
      <w:marBottom w:val="0"/>
      <w:divBdr>
        <w:top w:val="none" w:sz="0" w:space="0" w:color="auto"/>
        <w:left w:val="none" w:sz="0" w:space="0" w:color="auto"/>
        <w:bottom w:val="none" w:sz="0" w:space="0" w:color="auto"/>
        <w:right w:val="none" w:sz="0" w:space="0" w:color="auto"/>
      </w:divBdr>
    </w:div>
    <w:div w:id="942111858">
      <w:bodyDiv w:val="1"/>
      <w:marLeft w:val="0"/>
      <w:marRight w:val="0"/>
      <w:marTop w:val="0"/>
      <w:marBottom w:val="0"/>
      <w:divBdr>
        <w:top w:val="none" w:sz="0" w:space="0" w:color="auto"/>
        <w:left w:val="none" w:sz="0" w:space="0" w:color="auto"/>
        <w:bottom w:val="none" w:sz="0" w:space="0" w:color="auto"/>
        <w:right w:val="none" w:sz="0" w:space="0" w:color="auto"/>
      </w:divBdr>
    </w:div>
    <w:div w:id="943151113">
      <w:bodyDiv w:val="1"/>
      <w:marLeft w:val="0"/>
      <w:marRight w:val="0"/>
      <w:marTop w:val="0"/>
      <w:marBottom w:val="0"/>
      <w:divBdr>
        <w:top w:val="none" w:sz="0" w:space="0" w:color="auto"/>
        <w:left w:val="none" w:sz="0" w:space="0" w:color="auto"/>
        <w:bottom w:val="none" w:sz="0" w:space="0" w:color="auto"/>
        <w:right w:val="none" w:sz="0" w:space="0" w:color="auto"/>
      </w:divBdr>
    </w:div>
    <w:div w:id="946694713">
      <w:bodyDiv w:val="1"/>
      <w:marLeft w:val="0"/>
      <w:marRight w:val="0"/>
      <w:marTop w:val="0"/>
      <w:marBottom w:val="0"/>
      <w:divBdr>
        <w:top w:val="none" w:sz="0" w:space="0" w:color="auto"/>
        <w:left w:val="none" w:sz="0" w:space="0" w:color="auto"/>
        <w:bottom w:val="none" w:sz="0" w:space="0" w:color="auto"/>
        <w:right w:val="none" w:sz="0" w:space="0" w:color="auto"/>
      </w:divBdr>
    </w:div>
    <w:div w:id="949970689">
      <w:bodyDiv w:val="1"/>
      <w:marLeft w:val="0"/>
      <w:marRight w:val="0"/>
      <w:marTop w:val="0"/>
      <w:marBottom w:val="0"/>
      <w:divBdr>
        <w:top w:val="none" w:sz="0" w:space="0" w:color="auto"/>
        <w:left w:val="none" w:sz="0" w:space="0" w:color="auto"/>
        <w:bottom w:val="none" w:sz="0" w:space="0" w:color="auto"/>
        <w:right w:val="none" w:sz="0" w:space="0" w:color="auto"/>
      </w:divBdr>
    </w:div>
    <w:div w:id="953369668">
      <w:bodyDiv w:val="1"/>
      <w:marLeft w:val="0"/>
      <w:marRight w:val="0"/>
      <w:marTop w:val="0"/>
      <w:marBottom w:val="0"/>
      <w:divBdr>
        <w:top w:val="none" w:sz="0" w:space="0" w:color="auto"/>
        <w:left w:val="none" w:sz="0" w:space="0" w:color="auto"/>
        <w:bottom w:val="none" w:sz="0" w:space="0" w:color="auto"/>
        <w:right w:val="none" w:sz="0" w:space="0" w:color="auto"/>
      </w:divBdr>
    </w:div>
    <w:div w:id="958337865">
      <w:bodyDiv w:val="1"/>
      <w:marLeft w:val="0"/>
      <w:marRight w:val="0"/>
      <w:marTop w:val="0"/>
      <w:marBottom w:val="0"/>
      <w:divBdr>
        <w:top w:val="none" w:sz="0" w:space="0" w:color="auto"/>
        <w:left w:val="none" w:sz="0" w:space="0" w:color="auto"/>
        <w:bottom w:val="none" w:sz="0" w:space="0" w:color="auto"/>
        <w:right w:val="none" w:sz="0" w:space="0" w:color="auto"/>
      </w:divBdr>
    </w:div>
    <w:div w:id="959651563">
      <w:bodyDiv w:val="1"/>
      <w:marLeft w:val="0"/>
      <w:marRight w:val="0"/>
      <w:marTop w:val="0"/>
      <w:marBottom w:val="0"/>
      <w:divBdr>
        <w:top w:val="none" w:sz="0" w:space="0" w:color="auto"/>
        <w:left w:val="none" w:sz="0" w:space="0" w:color="auto"/>
        <w:bottom w:val="none" w:sz="0" w:space="0" w:color="auto"/>
        <w:right w:val="none" w:sz="0" w:space="0" w:color="auto"/>
      </w:divBdr>
    </w:div>
    <w:div w:id="961494723">
      <w:bodyDiv w:val="1"/>
      <w:marLeft w:val="0"/>
      <w:marRight w:val="0"/>
      <w:marTop w:val="0"/>
      <w:marBottom w:val="0"/>
      <w:divBdr>
        <w:top w:val="none" w:sz="0" w:space="0" w:color="auto"/>
        <w:left w:val="none" w:sz="0" w:space="0" w:color="auto"/>
        <w:bottom w:val="none" w:sz="0" w:space="0" w:color="auto"/>
        <w:right w:val="none" w:sz="0" w:space="0" w:color="auto"/>
      </w:divBdr>
    </w:div>
    <w:div w:id="967515239">
      <w:bodyDiv w:val="1"/>
      <w:marLeft w:val="0"/>
      <w:marRight w:val="0"/>
      <w:marTop w:val="0"/>
      <w:marBottom w:val="0"/>
      <w:divBdr>
        <w:top w:val="none" w:sz="0" w:space="0" w:color="auto"/>
        <w:left w:val="none" w:sz="0" w:space="0" w:color="auto"/>
        <w:bottom w:val="none" w:sz="0" w:space="0" w:color="auto"/>
        <w:right w:val="none" w:sz="0" w:space="0" w:color="auto"/>
      </w:divBdr>
    </w:div>
    <w:div w:id="969092921">
      <w:bodyDiv w:val="1"/>
      <w:marLeft w:val="0"/>
      <w:marRight w:val="0"/>
      <w:marTop w:val="0"/>
      <w:marBottom w:val="0"/>
      <w:divBdr>
        <w:top w:val="none" w:sz="0" w:space="0" w:color="auto"/>
        <w:left w:val="none" w:sz="0" w:space="0" w:color="auto"/>
        <w:bottom w:val="none" w:sz="0" w:space="0" w:color="auto"/>
        <w:right w:val="none" w:sz="0" w:space="0" w:color="auto"/>
      </w:divBdr>
    </w:div>
    <w:div w:id="986008436">
      <w:bodyDiv w:val="1"/>
      <w:marLeft w:val="0"/>
      <w:marRight w:val="0"/>
      <w:marTop w:val="0"/>
      <w:marBottom w:val="0"/>
      <w:divBdr>
        <w:top w:val="none" w:sz="0" w:space="0" w:color="auto"/>
        <w:left w:val="none" w:sz="0" w:space="0" w:color="auto"/>
        <w:bottom w:val="none" w:sz="0" w:space="0" w:color="auto"/>
        <w:right w:val="none" w:sz="0" w:space="0" w:color="auto"/>
      </w:divBdr>
    </w:div>
    <w:div w:id="988901975">
      <w:bodyDiv w:val="1"/>
      <w:marLeft w:val="0"/>
      <w:marRight w:val="0"/>
      <w:marTop w:val="0"/>
      <w:marBottom w:val="0"/>
      <w:divBdr>
        <w:top w:val="none" w:sz="0" w:space="0" w:color="auto"/>
        <w:left w:val="none" w:sz="0" w:space="0" w:color="auto"/>
        <w:bottom w:val="none" w:sz="0" w:space="0" w:color="auto"/>
        <w:right w:val="none" w:sz="0" w:space="0" w:color="auto"/>
      </w:divBdr>
    </w:div>
    <w:div w:id="997539889">
      <w:bodyDiv w:val="1"/>
      <w:marLeft w:val="0"/>
      <w:marRight w:val="0"/>
      <w:marTop w:val="0"/>
      <w:marBottom w:val="0"/>
      <w:divBdr>
        <w:top w:val="none" w:sz="0" w:space="0" w:color="auto"/>
        <w:left w:val="none" w:sz="0" w:space="0" w:color="auto"/>
        <w:bottom w:val="none" w:sz="0" w:space="0" w:color="auto"/>
        <w:right w:val="none" w:sz="0" w:space="0" w:color="auto"/>
      </w:divBdr>
    </w:div>
    <w:div w:id="1000499878">
      <w:bodyDiv w:val="1"/>
      <w:marLeft w:val="0"/>
      <w:marRight w:val="0"/>
      <w:marTop w:val="0"/>
      <w:marBottom w:val="0"/>
      <w:divBdr>
        <w:top w:val="none" w:sz="0" w:space="0" w:color="auto"/>
        <w:left w:val="none" w:sz="0" w:space="0" w:color="auto"/>
        <w:bottom w:val="none" w:sz="0" w:space="0" w:color="auto"/>
        <w:right w:val="none" w:sz="0" w:space="0" w:color="auto"/>
      </w:divBdr>
    </w:div>
    <w:div w:id="1008140753">
      <w:bodyDiv w:val="1"/>
      <w:marLeft w:val="0"/>
      <w:marRight w:val="0"/>
      <w:marTop w:val="0"/>
      <w:marBottom w:val="0"/>
      <w:divBdr>
        <w:top w:val="none" w:sz="0" w:space="0" w:color="auto"/>
        <w:left w:val="none" w:sz="0" w:space="0" w:color="auto"/>
        <w:bottom w:val="none" w:sz="0" w:space="0" w:color="auto"/>
        <w:right w:val="none" w:sz="0" w:space="0" w:color="auto"/>
      </w:divBdr>
    </w:div>
    <w:div w:id="1009481563">
      <w:bodyDiv w:val="1"/>
      <w:marLeft w:val="0"/>
      <w:marRight w:val="0"/>
      <w:marTop w:val="0"/>
      <w:marBottom w:val="0"/>
      <w:divBdr>
        <w:top w:val="none" w:sz="0" w:space="0" w:color="auto"/>
        <w:left w:val="none" w:sz="0" w:space="0" w:color="auto"/>
        <w:bottom w:val="none" w:sz="0" w:space="0" w:color="auto"/>
        <w:right w:val="none" w:sz="0" w:space="0" w:color="auto"/>
      </w:divBdr>
    </w:div>
    <w:div w:id="1013801257">
      <w:bodyDiv w:val="1"/>
      <w:marLeft w:val="0"/>
      <w:marRight w:val="0"/>
      <w:marTop w:val="0"/>
      <w:marBottom w:val="0"/>
      <w:divBdr>
        <w:top w:val="none" w:sz="0" w:space="0" w:color="auto"/>
        <w:left w:val="none" w:sz="0" w:space="0" w:color="auto"/>
        <w:bottom w:val="none" w:sz="0" w:space="0" w:color="auto"/>
        <w:right w:val="none" w:sz="0" w:space="0" w:color="auto"/>
      </w:divBdr>
    </w:div>
    <w:div w:id="1014572917">
      <w:bodyDiv w:val="1"/>
      <w:marLeft w:val="0"/>
      <w:marRight w:val="0"/>
      <w:marTop w:val="0"/>
      <w:marBottom w:val="0"/>
      <w:divBdr>
        <w:top w:val="none" w:sz="0" w:space="0" w:color="auto"/>
        <w:left w:val="none" w:sz="0" w:space="0" w:color="auto"/>
        <w:bottom w:val="none" w:sz="0" w:space="0" w:color="auto"/>
        <w:right w:val="none" w:sz="0" w:space="0" w:color="auto"/>
      </w:divBdr>
    </w:div>
    <w:div w:id="1018963738">
      <w:bodyDiv w:val="1"/>
      <w:marLeft w:val="0"/>
      <w:marRight w:val="0"/>
      <w:marTop w:val="0"/>
      <w:marBottom w:val="0"/>
      <w:divBdr>
        <w:top w:val="none" w:sz="0" w:space="0" w:color="auto"/>
        <w:left w:val="none" w:sz="0" w:space="0" w:color="auto"/>
        <w:bottom w:val="none" w:sz="0" w:space="0" w:color="auto"/>
        <w:right w:val="none" w:sz="0" w:space="0" w:color="auto"/>
      </w:divBdr>
    </w:div>
    <w:div w:id="1020936037">
      <w:bodyDiv w:val="1"/>
      <w:marLeft w:val="0"/>
      <w:marRight w:val="0"/>
      <w:marTop w:val="0"/>
      <w:marBottom w:val="0"/>
      <w:divBdr>
        <w:top w:val="none" w:sz="0" w:space="0" w:color="auto"/>
        <w:left w:val="none" w:sz="0" w:space="0" w:color="auto"/>
        <w:bottom w:val="none" w:sz="0" w:space="0" w:color="auto"/>
        <w:right w:val="none" w:sz="0" w:space="0" w:color="auto"/>
      </w:divBdr>
    </w:div>
    <w:div w:id="1030766814">
      <w:bodyDiv w:val="1"/>
      <w:marLeft w:val="0"/>
      <w:marRight w:val="0"/>
      <w:marTop w:val="0"/>
      <w:marBottom w:val="0"/>
      <w:divBdr>
        <w:top w:val="none" w:sz="0" w:space="0" w:color="auto"/>
        <w:left w:val="none" w:sz="0" w:space="0" w:color="auto"/>
        <w:bottom w:val="none" w:sz="0" w:space="0" w:color="auto"/>
        <w:right w:val="none" w:sz="0" w:space="0" w:color="auto"/>
      </w:divBdr>
    </w:div>
    <w:div w:id="1036852743">
      <w:bodyDiv w:val="1"/>
      <w:marLeft w:val="0"/>
      <w:marRight w:val="0"/>
      <w:marTop w:val="0"/>
      <w:marBottom w:val="0"/>
      <w:divBdr>
        <w:top w:val="none" w:sz="0" w:space="0" w:color="auto"/>
        <w:left w:val="none" w:sz="0" w:space="0" w:color="auto"/>
        <w:bottom w:val="none" w:sz="0" w:space="0" w:color="auto"/>
        <w:right w:val="none" w:sz="0" w:space="0" w:color="auto"/>
      </w:divBdr>
    </w:div>
    <w:div w:id="1037899027">
      <w:bodyDiv w:val="1"/>
      <w:marLeft w:val="0"/>
      <w:marRight w:val="0"/>
      <w:marTop w:val="0"/>
      <w:marBottom w:val="0"/>
      <w:divBdr>
        <w:top w:val="none" w:sz="0" w:space="0" w:color="auto"/>
        <w:left w:val="none" w:sz="0" w:space="0" w:color="auto"/>
        <w:bottom w:val="none" w:sz="0" w:space="0" w:color="auto"/>
        <w:right w:val="none" w:sz="0" w:space="0" w:color="auto"/>
      </w:divBdr>
    </w:div>
    <w:div w:id="1041244805">
      <w:bodyDiv w:val="1"/>
      <w:marLeft w:val="0"/>
      <w:marRight w:val="0"/>
      <w:marTop w:val="0"/>
      <w:marBottom w:val="0"/>
      <w:divBdr>
        <w:top w:val="none" w:sz="0" w:space="0" w:color="auto"/>
        <w:left w:val="none" w:sz="0" w:space="0" w:color="auto"/>
        <w:bottom w:val="none" w:sz="0" w:space="0" w:color="auto"/>
        <w:right w:val="none" w:sz="0" w:space="0" w:color="auto"/>
      </w:divBdr>
    </w:div>
    <w:div w:id="1041322724">
      <w:bodyDiv w:val="1"/>
      <w:marLeft w:val="0"/>
      <w:marRight w:val="0"/>
      <w:marTop w:val="0"/>
      <w:marBottom w:val="0"/>
      <w:divBdr>
        <w:top w:val="none" w:sz="0" w:space="0" w:color="auto"/>
        <w:left w:val="none" w:sz="0" w:space="0" w:color="auto"/>
        <w:bottom w:val="none" w:sz="0" w:space="0" w:color="auto"/>
        <w:right w:val="none" w:sz="0" w:space="0" w:color="auto"/>
      </w:divBdr>
    </w:div>
    <w:div w:id="1043943883">
      <w:bodyDiv w:val="1"/>
      <w:marLeft w:val="0"/>
      <w:marRight w:val="0"/>
      <w:marTop w:val="0"/>
      <w:marBottom w:val="0"/>
      <w:divBdr>
        <w:top w:val="none" w:sz="0" w:space="0" w:color="auto"/>
        <w:left w:val="none" w:sz="0" w:space="0" w:color="auto"/>
        <w:bottom w:val="none" w:sz="0" w:space="0" w:color="auto"/>
        <w:right w:val="none" w:sz="0" w:space="0" w:color="auto"/>
      </w:divBdr>
    </w:div>
    <w:div w:id="1044528170">
      <w:bodyDiv w:val="1"/>
      <w:marLeft w:val="0"/>
      <w:marRight w:val="0"/>
      <w:marTop w:val="0"/>
      <w:marBottom w:val="0"/>
      <w:divBdr>
        <w:top w:val="none" w:sz="0" w:space="0" w:color="auto"/>
        <w:left w:val="none" w:sz="0" w:space="0" w:color="auto"/>
        <w:bottom w:val="none" w:sz="0" w:space="0" w:color="auto"/>
        <w:right w:val="none" w:sz="0" w:space="0" w:color="auto"/>
      </w:divBdr>
    </w:div>
    <w:div w:id="1045254865">
      <w:bodyDiv w:val="1"/>
      <w:marLeft w:val="0"/>
      <w:marRight w:val="0"/>
      <w:marTop w:val="0"/>
      <w:marBottom w:val="0"/>
      <w:divBdr>
        <w:top w:val="none" w:sz="0" w:space="0" w:color="auto"/>
        <w:left w:val="none" w:sz="0" w:space="0" w:color="auto"/>
        <w:bottom w:val="none" w:sz="0" w:space="0" w:color="auto"/>
        <w:right w:val="none" w:sz="0" w:space="0" w:color="auto"/>
      </w:divBdr>
    </w:div>
    <w:div w:id="1063674796">
      <w:bodyDiv w:val="1"/>
      <w:marLeft w:val="0"/>
      <w:marRight w:val="0"/>
      <w:marTop w:val="0"/>
      <w:marBottom w:val="0"/>
      <w:divBdr>
        <w:top w:val="none" w:sz="0" w:space="0" w:color="auto"/>
        <w:left w:val="none" w:sz="0" w:space="0" w:color="auto"/>
        <w:bottom w:val="none" w:sz="0" w:space="0" w:color="auto"/>
        <w:right w:val="none" w:sz="0" w:space="0" w:color="auto"/>
      </w:divBdr>
    </w:div>
    <w:div w:id="1065838777">
      <w:bodyDiv w:val="1"/>
      <w:marLeft w:val="0"/>
      <w:marRight w:val="0"/>
      <w:marTop w:val="0"/>
      <w:marBottom w:val="0"/>
      <w:divBdr>
        <w:top w:val="none" w:sz="0" w:space="0" w:color="auto"/>
        <w:left w:val="none" w:sz="0" w:space="0" w:color="auto"/>
        <w:bottom w:val="none" w:sz="0" w:space="0" w:color="auto"/>
        <w:right w:val="none" w:sz="0" w:space="0" w:color="auto"/>
      </w:divBdr>
    </w:div>
    <w:div w:id="1067260481">
      <w:bodyDiv w:val="1"/>
      <w:marLeft w:val="0"/>
      <w:marRight w:val="0"/>
      <w:marTop w:val="0"/>
      <w:marBottom w:val="0"/>
      <w:divBdr>
        <w:top w:val="none" w:sz="0" w:space="0" w:color="auto"/>
        <w:left w:val="none" w:sz="0" w:space="0" w:color="auto"/>
        <w:bottom w:val="none" w:sz="0" w:space="0" w:color="auto"/>
        <w:right w:val="none" w:sz="0" w:space="0" w:color="auto"/>
      </w:divBdr>
    </w:div>
    <w:div w:id="1072654379">
      <w:bodyDiv w:val="1"/>
      <w:marLeft w:val="0"/>
      <w:marRight w:val="0"/>
      <w:marTop w:val="0"/>
      <w:marBottom w:val="0"/>
      <w:divBdr>
        <w:top w:val="none" w:sz="0" w:space="0" w:color="auto"/>
        <w:left w:val="none" w:sz="0" w:space="0" w:color="auto"/>
        <w:bottom w:val="none" w:sz="0" w:space="0" w:color="auto"/>
        <w:right w:val="none" w:sz="0" w:space="0" w:color="auto"/>
      </w:divBdr>
    </w:div>
    <w:div w:id="1073432267">
      <w:bodyDiv w:val="1"/>
      <w:marLeft w:val="0"/>
      <w:marRight w:val="0"/>
      <w:marTop w:val="0"/>
      <w:marBottom w:val="0"/>
      <w:divBdr>
        <w:top w:val="none" w:sz="0" w:space="0" w:color="auto"/>
        <w:left w:val="none" w:sz="0" w:space="0" w:color="auto"/>
        <w:bottom w:val="none" w:sz="0" w:space="0" w:color="auto"/>
        <w:right w:val="none" w:sz="0" w:space="0" w:color="auto"/>
      </w:divBdr>
    </w:div>
    <w:div w:id="1075014588">
      <w:bodyDiv w:val="1"/>
      <w:marLeft w:val="0"/>
      <w:marRight w:val="0"/>
      <w:marTop w:val="0"/>
      <w:marBottom w:val="0"/>
      <w:divBdr>
        <w:top w:val="none" w:sz="0" w:space="0" w:color="auto"/>
        <w:left w:val="none" w:sz="0" w:space="0" w:color="auto"/>
        <w:bottom w:val="none" w:sz="0" w:space="0" w:color="auto"/>
        <w:right w:val="none" w:sz="0" w:space="0" w:color="auto"/>
      </w:divBdr>
    </w:div>
    <w:div w:id="1077480602">
      <w:bodyDiv w:val="1"/>
      <w:marLeft w:val="0"/>
      <w:marRight w:val="0"/>
      <w:marTop w:val="0"/>
      <w:marBottom w:val="0"/>
      <w:divBdr>
        <w:top w:val="none" w:sz="0" w:space="0" w:color="auto"/>
        <w:left w:val="none" w:sz="0" w:space="0" w:color="auto"/>
        <w:bottom w:val="none" w:sz="0" w:space="0" w:color="auto"/>
        <w:right w:val="none" w:sz="0" w:space="0" w:color="auto"/>
      </w:divBdr>
    </w:div>
    <w:div w:id="1083648998">
      <w:bodyDiv w:val="1"/>
      <w:marLeft w:val="0"/>
      <w:marRight w:val="0"/>
      <w:marTop w:val="0"/>
      <w:marBottom w:val="0"/>
      <w:divBdr>
        <w:top w:val="none" w:sz="0" w:space="0" w:color="auto"/>
        <w:left w:val="none" w:sz="0" w:space="0" w:color="auto"/>
        <w:bottom w:val="none" w:sz="0" w:space="0" w:color="auto"/>
        <w:right w:val="none" w:sz="0" w:space="0" w:color="auto"/>
      </w:divBdr>
    </w:div>
    <w:div w:id="1090463825">
      <w:bodyDiv w:val="1"/>
      <w:marLeft w:val="0"/>
      <w:marRight w:val="0"/>
      <w:marTop w:val="0"/>
      <w:marBottom w:val="0"/>
      <w:divBdr>
        <w:top w:val="none" w:sz="0" w:space="0" w:color="auto"/>
        <w:left w:val="none" w:sz="0" w:space="0" w:color="auto"/>
        <w:bottom w:val="none" w:sz="0" w:space="0" w:color="auto"/>
        <w:right w:val="none" w:sz="0" w:space="0" w:color="auto"/>
      </w:divBdr>
    </w:div>
    <w:div w:id="1090735645">
      <w:bodyDiv w:val="1"/>
      <w:marLeft w:val="0"/>
      <w:marRight w:val="0"/>
      <w:marTop w:val="0"/>
      <w:marBottom w:val="0"/>
      <w:divBdr>
        <w:top w:val="none" w:sz="0" w:space="0" w:color="auto"/>
        <w:left w:val="none" w:sz="0" w:space="0" w:color="auto"/>
        <w:bottom w:val="none" w:sz="0" w:space="0" w:color="auto"/>
        <w:right w:val="none" w:sz="0" w:space="0" w:color="auto"/>
      </w:divBdr>
    </w:div>
    <w:div w:id="1094285655">
      <w:bodyDiv w:val="1"/>
      <w:marLeft w:val="0"/>
      <w:marRight w:val="0"/>
      <w:marTop w:val="0"/>
      <w:marBottom w:val="0"/>
      <w:divBdr>
        <w:top w:val="none" w:sz="0" w:space="0" w:color="auto"/>
        <w:left w:val="none" w:sz="0" w:space="0" w:color="auto"/>
        <w:bottom w:val="none" w:sz="0" w:space="0" w:color="auto"/>
        <w:right w:val="none" w:sz="0" w:space="0" w:color="auto"/>
      </w:divBdr>
    </w:div>
    <w:div w:id="1095512791">
      <w:bodyDiv w:val="1"/>
      <w:marLeft w:val="0"/>
      <w:marRight w:val="0"/>
      <w:marTop w:val="0"/>
      <w:marBottom w:val="0"/>
      <w:divBdr>
        <w:top w:val="none" w:sz="0" w:space="0" w:color="auto"/>
        <w:left w:val="none" w:sz="0" w:space="0" w:color="auto"/>
        <w:bottom w:val="none" w:sz="0" w:space="0" w:color="auto"/>
        <w:right w:val="none" w:sz="0" w:space="0" w:color="auto"/>
      </w:divBdr>
    </w:div>
    <w:div w:id="1099107520">
      <w:bodyDiv w:val="1"/>
      <w:marLeft w:val="0"/>
      <w:marRight w:val="0"/>
      <w:marTop w:val="0"/>
      <w:marBottom w:val="0"/>
      <w:divBdr>
        <w:top w:val="none" w:sz="0" w:space="0" w:color="auto"/>
        <w:left w:val="none" w:sz="0" w:space="0" w:color="auto"/>
        <w:bottom w:val="none" w:sz="0" w:space="0" w:color="auto"/>
        <w:right w:val="none" w:sz="0" w:space="0" w:color="auto"/>
      </w:divBdr>
    </w:div>
    <w:div w:id="1101102796">
      <w:bodyDiv w:val="1"/>
      <w:marLeft w:val="0"/>
      <w:marRight w:val="0"/>
      <w:marTop w:val="0"/>
      <w:marBottom w:val="0"/>
      <w:divBdr>
        <w:top w:val="none" w:sz="0" w:space="0" w:color="auto"/>
        <w:left w:val="none" w:sz="0" w:space="0" w:color="auto"/>
        <w:bottom w:val="none" w:sz="0" w:space="0" w:color="auto"/>
        <w:right w:val="none" w:sz="0" w:space="0" w:color="auto"/>
      </w:divBdr>
    </w:div>
    <w:div w:id="1102652141">
      <w:bodyDiv w:val="1"/>
      <w:marLeft w:val="0"/>
      <w:marRight w:val="0"/>
      <w:marTop w:val="0"/>
      <w:marBottom w:val="0"/>
      <w:divBdr>
        <w:top w:val="none" w:sz="0" w:space="0" w:color="auto"/>
        <w:left w:val="none" w:sz="0" w:space="0" w:color="auto"/>
        <w:bottom w:val="none" w:sz="0" w:space="0" w:color="auto"/>
        <w:right w:val="none" w:sz="0" w:space="0" w:color="auto"/>
      </w:divBdr>
    </w:div>
    <w:div w:id="1105267131">
      <w:bodyDiv w:val="1"/>
      <w:marLeft w:val="0"/>
      <w:marRight w:val="0"/>
      <w:marTop w:val="0"/>
      <w:marBottom w:val="0"/>
      <w:divBdr>
        <w:top w:val="none" w:sz="0" w:space="0" w:color="auto"/>
        <w:left w:val="none" w:sz="0" w:space="0" w:color="auto"/>
        <w:bottom w:val="none" w:sz="0" w:space="0" w:color="auto"/>
        <w:right w:val="none" w:sz="0" w:space="0" w:color="auto"/>
      </w:divBdr>
    </w:div>
    <w:div w:id="1105541922">
      <w:bodyDiv w:val="1"/>
      <w:marLeft w:val="0"/>
      <w:marRight w:val="0"/>
      <w:marTop w:val="0"/>
      <w:marBottom w:val="0"/>
      <w:divBdr>
        <w:top w:val="none" w:sz="0" w:space="0" w:color="auto"/>
        <w:left w:val="none" w:sz="0" w:space="0" w:color="auto"/>
        <w:bottom w:val="none" w:sz="0" w:space="0" w:color="auto"/>
        <w:right w:val="none" w:sz="0" w:space="0" w:color="auto"/>
      </w:divBdr>
    </w:div>
    <w:div w:id="1105878315">
      <w:bodyDiv w:val="1"/>
      <w:marLeft w:val="0"/>
      <w:marRight w:val="0"/>
      <w:marTop w:val="0"/>
      <w:marBottom w:val="0"/>
      <w:divBdr>
        <w:top w:val="none" w:sz="0" w:space="0" w:color="auto"/>
        <w:left w:val="none" w:sz="0" w:space="0" w:color="auto"/>
        <w:bottom w:val="none" w:sz="0" w:space="0" w:color="auto"/>
        <w:right w:val="none" w:sz="0" w:space="0" w:color="auto"/>
      </w:divBdr>
    </w:div>
    <w:div w:id="1106542150">
      <w:bodyDiv w:val="1"/>
      <w:marLeft w:val="0"/>
      <w:marRight w:val="0"/>
      <w:marTop w:val="0"/>
      <w:marBottom w:val="0"/>
      <w:divBdr>
        <w:top w:val="none" w:sz="0" w:space="0" w:color="auto"/>
        <w:left w:val="none" w:sz="0" w:space="0" w:color="auto"/>
        <w:bottom w:val="none" w:sz="0" w:space="0" w:color="auto"/>
        <w:right w:val="none" w:sz="0" w:space="0" w:color="auto"/>
      </w:divBdr>
    </w:div>
    <w:div w:id="1110778845">
      <w:bodyDiv w:val="1"/>
      <w:marLeft w:val="0"/>
      <w:marRight w:val="0"/>
      <w:marTop w:val="0"/>
      <w:marBottom w:val="0"/>
      <w:divBdr>
        <w:top w:val="none" w:sz="0" w:space="0" w:color="auto"/>
        <w:left w:val="none" w:sz="0" w:space="0" w:color="auto"/>
        <w:bottom w:val="none" w:sz="0" w:space="0" w:color="auto"/>
        <w:right w:val="none" w:sz="0" w:space="0" w:color="auto"/>
      </w:divBdr>
    </w:div>
    <w:div w:id="1116172046">
      <w:bodyDiv w:val="1"/>
      <w:marLeft w:val="0"/>
      <w:marRight w:val="0"/>
      <w:marTop w:val="0"/>
      <w:marBottom w:val="0"/>
      <w:divBdr>
        <w:top w:val="none" w:sz="0" w:space="0" w:color="auto"/>
        <w:left w:val="none" w:sz="0" w:space="0" w:color="auto"/>
        <w:bottom w:val="none" w:sz="0" w:space="0" w:color="auto"/>
        <w:right w:val="none" w:sz="0" w:space="0" w:color="auto"/>
      </w:divBdr>
    </w:div>
    <w:div w:id="1116749885">
      <w:bodyDiv w:val="1"/>
      <w:marLeft w:val="0"/>
      <w:marRight w:val="0"/>
      <w:marTop w:val="0"/>
      <w:marBottom w:val="0"/>
      <w:divBdr>
        <w:top w:val="none" w:sz="0" w:space="0" w:color="auto"/>
        <w:left w:val="none" w:sz="0" w:space="0" w:color="auto"/>
        <w:bottom w:val="none" w:sz="0" w:space="0" w:color="auto"/>
        <w:right w:val="none" w:sz="0" w:space="0" w:color="auto"/>
      </w:divBdr>
    </w:div>
    <w:div w:id="1116753162">
      <w:bodyDiv w:val="1"/>
      <w:marLeft w:val="0"/>
      <w:marRight w:val="0"/>
      <w:marTop w:val="0"/>
      <w:marBottom w:val="0"/>
      <w:divBdr>
        <w:top w:val="none" w:sz="0" w:space="0" w:color="auto"/>
        <w:left w:val="none" w:sz="0" w:space="0" w:color="auto"/>
        <w:bottom w:val="none" w:sz="0" w:space="0" w:color="auto"/>
        <w:right w:val="none" w:sz="0" w:space="0" w:color="auto"/>
      </w:divBdr>
    </w:div>
    <w:div w:id="1119028680">
      <w:bodyDiv w:val="1"/>
      <w:marLeft w:val="0"/>
      <w:marRight w:val="0"/>
      <w:marTop w:val="0"/>
      <w:marBottom w:val="0"/>
      <w:divBdr>
        <w:top w:val="none" w:sz="0" w:space="0" w:color="auto"/>
        <w:left w:val="none" w:sz="0" w:space="0" w:color="auto"/>
        <w:bottom w:val="none" w:sz="0" w:space="0" w:color="auto"/>
        <w:right w:val="none" w:sz="0" w:space="0" w:color="auto"/>
      </w:divBdr>
    </w:div>
    <w:div w:id="1124467291">
      <w:bodyDiv w:val="1"/>
      <w:marLeft w:val="0"/>
      <w:marRight w:val="0"/>
      <w:marTop w:val="0"/>
      <w:marBottom w:val="0"/>
      <w:divBdr>
        <w:top w:val="none" w:sz="0" w:space="0" w:color="auto"/>
        <w:left w:val="none" w:sz="0" w:space="0" w:color="auto"/>
        <w:bottom w:val="none" w:sz="0" w:space="0" w:color="auto"/>
        <w:right w:val="none" w:sz="0" w:space="0" w:color="auto"/>
      </w:divBdr>
    </w:div>
    <w:div w:id="1128428148">
      <w:bodyDiv w:val="1"/>
      <w:marLeft w:val="0"/>
      <w:marRight w:val="0"/>
      <w:marTop w:val="0"/>
      <w:marBottom w:val="0"/>
      <w:divBdr>
        <w:top w:val="none" w:sz="0" w:space="0" w:color="auto"/>
        <w:left w:val="none" w:sz="0" w:space="0" w:color="auto"/>
        <w:bottom w:val="none" w:sz="0" w:space="0" w:color="auto"/>
        <w:right w:val="none" w:sz="0" w:space="0" w:color="auto"/>
      </w:divBdr>
    </w:div>
    <w:div w:id="1129468518">
      <w:bodyDiv w:val="1"/>
      <w:marLeft w:val="0"/>
      <w:marRight w:val="0"/>
      <w:marTop w:val="0"/>
      <w:marBottom w:val="0"/>
      <w:divBdr>
        <w:top w:val="none" w:sz="0" w:space="0" w:color="auto"/>
        <w:left w:val="none" w:sz="0" w:space="0" w:color="auto"/>
        <w:bottom w:val="none" w:sz="0" w:space="0" w:color="auto"/>
        <w:right w:val="none" w:sz="0" w:space="0" w:color="auto"/>
      </w:divBdr>
    </w:div>
    <w:div w:id="1135758264">
      <w:bodyDiv w:val="1"/>
      <w:marLeft w:val="0"/>
      <w:marRight w:val="0"/>
      <w:marTop w:val="0"/>
      <w:marBottom w:val="0"/>
      <w:divBdr>
        <w:top w:val="none" w:sz="0" w:space="0" w:color="auto"/>
        <w:left w:val="none" w:sz="0" w:space="0" w:color="auto"/>
        <w:bottom w:val="none" w:sz="0" w:space="0" w:color="auto"/>
        <w:right w:val="none" w:sz="0" w:space="0" w:color="auto"/>
      </w:divBdr>
    </w:div>
    <w:div w:id="1139112844">
      <w:bodyDiv w:val="1"/>
      <w:marLeft w:val="0"/>
      <w:marRight w:val="0"/>
      <w:marTop w:val="0"/>
      <w:marBottom w:val="0"/>
      <w:divBdr>
        <w:top w:val="none" w:sz="0" w:space="0" w:color="auto"/>
        <w:left w:val="none" w:sz="0" w:space="0" w:color="auto"/>
        <w:bottom w:val="none" w:sz="0" w:space="0" w:color="auto"/>
        <w:right w:val="none" w:sz="0" w:space="0" w:color="auto"/>
      </w:divBdr>
    </w:div>
    <w:div w:id="1143499329">
      <w:bodyDiv w:val="1"/>
      <w:marLeft w:val="0"/>
      <w:marRight w:val="0"/>
      <w:marTop w:val="0"/>
      <w:marBottom w:val="0"/>
      <w:divBdr>
        <w:top w:val="none" w:sz="0" w:space="0" w:color="auto"/>
        <w:left w:val="none" w:sz="0" w:space="0" w:color="auto"/>
        <w:bottom w:val="none" w:sz="0" w:space="0" w:color="auto"/>
        <w:right w:val="none" w:sz="0" w:space="0" w:color="auto"/>
      </w:divBdr>
    </w:div>
    <w:div w:id="1144156810">
      <w:bodyDiv w:val="1"/>
      <w:marLeft w:val="0"/>
      <w:marRight w:val="0"/>
      <w:marTop w:val="0"/>
      <w:marBottom w:val="0"/>
      <w:divBdr>
        <w:top w:val="none" w:sz="0" w:space="0" w:color="auto"/>
        <w:left w:val="none" w:sz="0" w:space="0" w:color="auto"/>
        <w:bottom w:val="none" w:sz="0" w:space="0" w:color="auto"/>
        <w:right w:val="none" w:sz="0" w:space="0" w:color="auto"/>
      </w:divBdr>
    </w:div>
    <w:div w:id="1147358027">
      <w:bodyDiv w:val="1"/>
      <w:marLeft w:val="0"/>
      <w:marRight w:val="0"/>
      <w:marTop w:val="0"/>
      <w:marBottom w:val="0"/>
      <w:divBdr>
        <w:top w:val="none" w:sz="0" w:space="0" w:color="auto"/>
        <w:left w:val="none" w:sz="0" w:space="0" w:color="auto"/>
        <w:bottom w:val="none" w:sz="0" w:space="0" w:color="auto"/>
        <w:right w:val="none" w:sz="0" w:space="0" w:color="auto"/>
      </w:divBdr>
    </w:div>
    <w:div w:id="1149400997">
      <w:bodyDiv w:val="1"/>
      <w:marLeft w:val="0"/>
      <w:marRight w:val="0"/>
      <w:marTop w:val="0"/>
      <w:marBottom w:val="0"/>
      <w:divBdr>
        <w:top w:val="none" w:sz="0" w:space="0" w:color="auto"/>
        <w:left w:val="none" w:sz="0" w:space="0" w:color="auto"/>
        <w:bottom w:val="none" w:sz="0" w:space="0" w:color="auto"/>
        <w:right w:val="none" w:sz="0" w:space="0" w:color="auto"/>
      </w:divBdr>
    </w:div>
    <w:div w:id="1150099335">
      <w:bodyDiv w:val="1"/>
      <w:marLeft w:val="0"/>
      <w:marRight w:val="0"/>
      <w:marTop w:val="0"/>
      <w:marBottom w:val="0"/>
      <w:divBdr>
        <w:top w:val="none" w:sz="0" w:space="0" w:color="auto"/>
        <w:left w:val="none" w:sz="0" w:space="0" w:color="auto"/>
        <w:bottom w:val="none" w:sz="0" w:space="0" w:color="auto"/>
        <w:right w:val="none" w:sz="0" w:space="0" w:color="auto"/>
      </w:divBdr>
    </w:div>
    <w:div w:id="1150630669">
      <w:bodyDiv w:val="1"/>
      <w:marLeft w:val="0"/>
      <w:marRight w:val="0"/>
      <w:marTop w:val="0"/>
      <w:marBottom w:val="0"/>
      <w:divBdr>
        <w:top w:val="none" w:sz="0" w:space="0" w:color="auto"/>
        <w:left w:val="none" w:sz="0" w:space="0" w:color="auto"/>
        <w:bottom w:val="none" w:sz="0" w:space="0" w:color="auto"/>
        <w:right w:val="none" w:sz="0" w:space="0" w:color="auto"/>
      </w:divBdr>
    </w:div>
    <w:div w:id="1162087648">
      <w:bodyDiv w:val="1"/>
      <w:marLeft w:val="0"/>
      <w:marRight w:val="0"/>
      <w:marTop w:val="0"/>
      <w:marBottom w:val="0"/>
      <w:divBdr>
        <w:top w:val="none" w:sz="0" w:space="0" w:color="auto"/>
        <w:left w:val="none" w:sz="0" w:space="0" w:color="auto"/>
        <w:bottom w:val="none" w:sz="0" w:space="0" w:color="auto"/>
        <w:right w:val="none" w:sz="0" w:space="0" w:color="auto"/>
      </w:divBdr>
    </w:div>
    <w:div w:id="1163620211">
      <w:bodyDiv w:val="1"/>
      <w:marLeft w:val="0"/>
      <w:marRight w:val="0"/>
      <w:marTop w:val="0"/>
      <w:marBottom w:val="0"/>
      <w:divBdr>
        <w:top w:val="none" w:sz="0" w:space="0" w:color="auto"/>
        <w:left w:val="none" w:sz="0" w:space="0" w:color="auto"/>
        <w:bottom w:val="none" w:sz="0" w:space="0" w:color="auto"/>
        <w:right w:val="none" w:sz="0" w:space="0" w:color="auto"/>
      </w:divBdr>
    </w:div>
    <w:div w:id="1166242923">
      <w:bodyDiv w:val="1"/>
      <w:marLeft w:val="0"/>
      <w:marRight w:val="0"/>
      <w:marTop w:val="0"/>
      <w:marBottom w:val="0"/>
      <w:divBdr>
        <w:top w:val="none" w:sz="0" w:space="0" w:color="auto"/>
        <w:left w:val="none" w:sz="0" w:space="0" w:color="auto"/>
        <w:bottom w:val="none" w:sz="0" w:space="0" w:color="auto"/>
        <w:right w:val="none" w:sz="0" w:space="0" w:color="auto"/>
      </w:divBdr>
    </w:div>
    <w:div w:id="1170370506">
      <w:bodyDiv w:val="1"/>
      <w:marLeft w:val="0"/>
      <w:marRight w:val="0"/>
      <w:marTop w:val="0"/>
      <w:marBottom w:val="0"/>
      <w:divBdr>
        <w:top w:val="none" w:sz="0" w:space="0" w:color="auto"/>
        <w:left w:val="none" w:sz="0" w:space="0" w:color="auto"/>
        <w:bottom w:val="none" w:sz="0" w:space="0" w:color="auto"/>
        <w:right w:val="none" w:sz="0" w:space="0" w:color="auto"/>
      </w:divBdr>
    </w:div>
    <w:div w:id="1171406823">
      <w:bodyDiv w:val="1"/>
      <w:marLeft w:val="0"/>
      <w:marRight w:val="0"/>
      <w:marTop w:val="0"/>
      <w:marBottom w:val="0"/>
      <w:divBdr>
        <w:top w:val="none" w:sz="0" w:space="0" w:color="auto"/>
        <w:left w:val="none" w:sz="0" w:space="0" w:color="auto"/>
        <w:bottom w:val="none" w:sz="0" w:space="0" w:color="auto"/>
        <w:right w:val="none" w:sz="0" w:space="0" w:color="auto"/>
      </w:divBdr>
    </w:div>
    <w:div w:id="1172448128">
      <w:bodyDiv w:val="1"/>
      <w:marLeft w:val="0"/>
      <w:marRight w:val="0"/>
      <w:marTop w:val="0"/>
      <w:marBottom w:val="0"/>
      <w:divBdr>
        <w:top w:val="none" w:sz="0" w:space="0" w:color="auto"/>
        <w:left w:val="none" w:sz="0" w:space="0" w:color="auto"/>
        <w:bottom w:val="none" w:sz="0" w:space="0" w:color="auto"/>
        <w:right w:val="none" w:sz="0" w:space="0" w:color="auto"/>
      </w:divBdr>
    </w:div>
    <w:div w:id="1173229298">
      <w:bodyDiv w:val="1"/>
      <w:marLeft w:val="0"/>
      <w:marRight w:val="0"/>
      <w:marTop w:val="0"/>
      <w:marBottom w:val="0"/>
      <w:divBdr>
        <w:top w:val="none" w:sz="0" w:space="0" w:color="auto"/>
        <w:left w:val="none" w:sz="0" w:space="0" w:color="auto"/>
        <w:bottom w:val="none" w:sz="0" w:space="0" w:color="auto"/>
        <w:right w:val="none" w:sz="0" w:space="0" w:color="auto"/>
      </w:divBdr>
    </w:div>
    <w:div w:id="1179613911">
      <w:bodyDiv w:val="1"/>
      <w:marLeft w:val="0"/>
      <w:marRight w:val="0"/>
      <w:marTop w:val="0"/>
      <w:marBottom w:val="0"/>
      <w:divBdr>
        <w:top w:val="none" w:sz="0" w:space="0" w:color="auto"/>
        <w:left w:val="none" w:sz="0" w:space="0" w:color="auto"/>
        <w:bottom w:val="none" w:sz="0" w:space="0" w:color="auto"/>
        <w:right w:val="none" w:sz="0" w:space="0" w:color="auto"/>
      </w:divBdr>
    </w:div>
    <w:div w:id="1187207296">
      <w:bodyDiv w:val="1"/>
      <w:marLeft w:val="0"/>
      <w:marRight w:val="0"/>
      <w:marTop w:val="0"/>
      <w:marBottom w:val="0"/>
      <w:divBdr>
        <w:top w:val="none" w:sz="0" w:space="0" w:color="auto"/>
        <w:left w:val="none" w:sz="0" w:space="0" w:color="auto"/>
        <w:bottom w:val="none" w:sz="0" w:space="0" w:color="auto"/>
        <w:right w:val="none" w:sz="0" w:space="0" w:color="auto"/>
      </w:divBdr>
    </w:div>
    <w:div w:id="1190491668">
      <w:bodyDiv w:val="1"/>
      <w:marLeft w:val="0"/>
      <w:marRight w:val="0"/>
      <w:marTop w:val="0"/>
      <w:marBottom w:val="0"/>
      <w:divBdr>
        <w:top w:val="none" w:sz="0" w:space="0" w:color="auto"/>
        <w:left w:val="none" w:sz="0" w:space="0" w:color="auto"/>
        <w:bottom w:val="none" w:sz="0" w:space="0" w:color="auto"/>
        <w:right w:val="none" w:sz="0" w:space="0" w:color="auto"/>
      </w:divBdr>
    </w:div>
    <w:div w:id="1195271730">
      <w:bodyDiv w:val="1"/>
      <w:marLeft w:val="0"/>
      <w:marRight w:val="0"/>
      <w:marTop w:val="0"/>
      <w:marBottom w:val="0"/>
      <w:divBdr>
        <w:top w:val="none" w:sz="0" w:space="0" w:color="auto"/>
        <w:left w:val="none" w:sz="0" w:space="0" w:color="auto"/>
        <w:bottom w:val="none" w:sz="0" w:space="0" w:color="auto"/>
        <w:right w:val="none" w:sz="0" w:space="0" w:color="auto"/>
      </w:divBdr>
    </w:div>
    <w:div w:id="1198078568">
      <w:bodyDiv w:val="1"/>
      <w:marLeft w:val="0"/>
      <w:marRight w:val="0"/>
      <w:marTop w:val="0"/>
      <w:marBottom w:val="0"/>
      <w:divBdr>
        <w:top w:val="none" w:sz="0" w:space="0" w:color="auto"/>
        <w:left w:val="none" w:sz="0" w:space="0" w:color="auto"/>
        <w:bottom w:val="none" w:sz="0" w:space="0" w:color="auto"/>
        <w:right w:val="none" w:sz="0" w:space="0" w:color="auto"/>
      </w:divBdr>
    </w:div>
    <w:div w:id="1199661059">
      <w:bodyDiv w:val="1"/>
      <w:marLeft w:val="0"/>
      <w:marRight w:val="0"/>
      <w:marTop w:val="0"/>
      <w:marBottom w:val="0"/>
      <w:divBdr>
        <w:top w:val="none" w:sz="0" w:space="0" w:color="auto"/>
        <w:left w:val="none" w:sz="0" w:space="0" w:color="auto"/>
        <w:bottom w:val="none" w:sz="0" w:space="0" w:color="auto"/>
        <w:right w:val="none" w:sz="0" w:space="0" w:color="auto"/>
      </w:divBdr>
    </w:div>
    <w:div w:id="1200633061">
      <w:bodyDiv w:val="1"/>
      <w:marLeft w:val="0"/>
      <w:marRight w:val="0"/>
      <w:marTop w:val="0"/>
      <w:marBottom w:val="0"/>
      <w:divBdr>
        <w:top w:val="none" w:sz="0" w:space="0" w:color="auto"/>
        <w:left w:val="none" w:sz="0" w:space="0" w:color="auto"/>
        <w:bottom w:val="none" w:sz="0" w:space="0" w:color="auto"/>
        <w:right w:val="none" w:sz="0" w:space="0" w:color="auto"/>
      </w:divBdr>
    </w:div>
    <w:div w:id="1203790477">
      <w:bodyDiv w:val="1"/>
      <w:marLeft w:val="0"/>
      <w:marRight w:val="0"/>
      <w:marTop w:val="0"/>
      <w:marBottom w:val="0"/>
      <w:divBdr>
        <w:top w:val="none" w:sz="0" w:space="0" w:color="auto"/>
        <w:left w:val="none" w:sz="0" w:space="0" w:color="auto"/>
        <w:bottom w:val="none" w:sz="0" w:space="0" w:color="auto"/>
        <w:right w:val="none" w:sz="0" w:space="0" w:color="auto"/>
      </w:divBdr>
    </w:div>
    <w:div w:id="1205675074">
      <w:bodyDiv w:val="1"/>
      <w:marLeft w:val="0"/>
      <w:marRight w:val="0"/>
      <w:marTop w:val="0"/>
      <w:marBottom w:val="0"/>
      <w:divBdr>
        <w:top w:val="none" w:sz="0" w:space="0" w:color="auto"/>
        <w:left w:val="none" w:sz="0" w:space="0" w:color="auto"/>
        <w:bottom w:val="none" w:sz="0" w:space="0" w:color="auto"/>
        <w:right w:val="none" w:sz="0" w:space="0" w:color="auto"/>
      </w:divBdr>
    </w:div>
    <w:div w:id="1210148187">
      <w:bodyDiv w:val="1"/>
      <w:marLeft w:val="0"/>
      <w:marRight w:val="0"/>
      <w:marTop w:val="0"/>
      <w:marBottom w:val="0"/>
      <w:divBdr>
        <w:top w:val="none" w:sz="0" w:space="0" w:color="auto"/>
        <w:left w:val="none" w:sz="0" w:space="0" w:color="auto"/>
        <w:bottom w:val="none" w:sz="0" w:space="0" w:color="auto"/>
        <w:right w:val="none" w:sz="0" w:space="0" w:color="auto"/>
      </w:divBdr>
    </w:div>
    <w:div w:id="1210264425">
      <w:bodyDiv w:val="1"/>
      <w:marLeft w:val="0"/>
      <w:marRight w:val="0"/>
      <w:marTop w:val="0"/>
      <w:marBottom w:val="0"/>
      <w:divBdr>
        <w:top w:val="none" w:sz="0" w:space="0" w:color="auto"/>
        <w:left w:val="none" w:sz="0" w:space="0" w:color="auto"/>
        <w:bottom w:val="none" w:sz="0" w:space="0" w:color="auto"/>
        <w:right w:val="none" w:sz="0" w:space="0" w:color="auto"/>
      </w:divBdr>
    </w:div>
    <w:div w:id="1210843338">
      <w:bodyDiv w:val="1"/>
      <w:marLeft w:val="0"/>
      <w:marRight w:val="0"/>
      <w:marTop w:val="0"/>
      <w:marBottom w:val="0"/>
      <w:divBdr>
        <w:top w:val="none" w:sz="0" w:space="0" w:color="auto"/>
        <w:left w:val="none" w:sz="0" w:space="0" w:color="auto"/>
        <w:bottom w:val="none" w:sz="0" w:space="0" w:color="auto"/>
        <w:right w:val="none" w:sz="0" w:space="0" w:color="auto"/>
      </w:divBdr>
    </w:div>
    <w:div w:id="1212040270">
      <w:bodyDiv w:val="1"/>
      <w:marLeft w:val="0"/>
      <w:marRight w:val="0"/>
      <w:marTop w:val="0"/>
      <w:marBottom w:val="0"/>
      <w:divBdr>
        <w:top w:val="none" w:sz="0" w:space="0" w:color="auto"/>
        <w:left w:val="none" w:sz="0" w:space="0" w:color="auto"/>
        <w:bottom w:val="none" w:sz="0" w:space="0" w:color="auto"/>
        <w:right w:val="none" w:sz="0" w:space="0" w:color="auto"/>
      </w:divBdr>
    </w:div>
    <w:div w:id="1212423207">
      <w:bodyDiv w:val="1"/>
      <w:marLeft w:val="0"/>
      <w:marRight w:val="0"/>
      <w:marTop w:val="0"/>
      <w:marBottom w:val="0"/>
      <w:divBdr>
        <w:top w:val="none" w:sz="0" w:space="0" w:color="auto"/>
        <w:left w:val="none" w:sz="0" w:space="0" w:color="auto"/>
        <w:bottom w:val="none" w:sz="0" w:space="0" w:color="auto"/>
        <w:right w:val="none" w:sz="0" w:space="0" w:color="auto"/>
      </w:divBdr>
    </w:div>
    <w:div w:id="1215653026">
      <w:bodyDiv w:val="1"/>
      <w:marLeft w:val="0"/>
      <w:marRight w:val="0"/>
      <w:marTop w:val="0"/>
      <w:marBottom w:val="0"/>
      <w:divBdr>
        <w:top w:val="none" w:sz="0" w:space="0" w:color="auto"/>
        <w:left w:val="none" w:sz="0" w:space="0" w:color="auto"/>
        <w:bottom w:val="none" w:sz="0" w:space="0" w:color="auto"/>
        <w:right w:val="none" w:sz="0" w:space="0" w:color="auto"/>
      </w:divBdr>
    </w:div>
    <w:div w:id="1218855858">
      <w:bodyDiv w:val="1"/>
      <w:marLeft w:val="0"/>
      <w:marRight w:val="0"/>
      <w:marTop w:val="0"/>
      <w:marBottom w:val="0"/>
      <w:divBdr>
        <w:top w:val="none" w:sz="0" w:space="0" w:color="auto"/>
        <w:left w:val="none" w:sz="0" w:space="0" w:color="auto"/>
        <w:bottom w:val="none" w:sz="0" w:space="0" w:color="auto"/>
        <w:right w:val="none" w:sz="0" w:space="0" w:color="auto"/>
      </w:divBdr>
    </w:div>
    <w:div w:id="1219440918">
      <w:bodyDiv w:val="1"/>
      <w:marLeft w:val="0"/>
      <w:marRight w:val="0"/>
      <w:marTop w:val="0"/>
      <w:marBottom w:val="0"/>
      <w:divBdr>
        <w:top w:val="none" w:sz="0" w:space="0" w:color="auto"/>
        <w:left w:val="none" w:sz="0" w:space="0" w:color="auto"/>
        <w:bottom w:val="none" w:sz="0" w:space="0" w:color="auto"/>
        <w:right w:val="none" w:sz="0" w:space="0" w:color="auto"/>
      </w:divBdr>
    </w:div>
    <w:div w:id="1219971113">
      <w:bodyDiv w:val="1"/>
      <w:marLeft w:val="0"/>
      <w:marRight w:val="0"/>
      <w:marTop w:val="0"/>
      <w:marBottom w:val="0"/>
      <w:divBdr>
        <w:top w:val="none" w:sz="0" w:space="0" w:color="auto"/>
        <w:left w:val="none" w:sz="0" w:space="0" w:color="auto"/>
        <w:bottom w:val="none" w:sz="0" w:space="0" w:color="auto"/>
        <w:right w:val="none" w:sz="0" w:space="0" w:color="auto"/>
      </w:divBdr>
    </w:div>
    <w:div w:id="1225720188">
      <w:bodyDiv w:val="1"/>
      <w:marLeft w:val="0"/>
      <w:marRight w:val="0"/>
      <w:marTop w:val="0"/>
      <w:marBottom w:val="0"/>
      <w:divBdr>
        <w:top w:val="none" w:sz="0" w:space="0" w:color="auto"/>
        <w:left w:val="none" w:sz="0" w:space="0" w:color="auto"/>
        <w:bottom w:val="none" w:sz="0" w:space="0" w:color="auto"/>
        <w:right w:val="none" w:sz="0" w:space="0" w:color="auto"/>
      </w:divBdr>
    </w:div>
    <w:div w:id="1240140908">
      <w:bodyDiv w:val="1"/>
      <w:marLeft w:val="0"/>
      <w:marRight w:val="0"/>
      <w:marTop w:val="0"/>
      <w:marBottom w:val="0"/>
      <w:divBdr>
        <w:top w:val="none" w:sz="0" w:space="0" w:color="auto"/>
        <w:left w:val="none" w:sz="0" w:space="0" w:color="auto"/>
        <w:bottom w:val="none" w:sz="0" w:space="0" w:color="auto"/>
        <w:right w:val="none" w:sz="0" w:space="0" w:color="auto"/>
      </w:divBdr>
    </w:div>
    <w:div w:id="1241676723">
      <w:bodyDiv w:val="1"/>
      <w:marLeft w:val="0"/>
      <w:marRight w:val="0"/>
      <w:marTop w:val="0"/>
      <w:marBottom w:val="0"/>
      <w:divBdr>
        <w:top w:val="none" w:sz="0" w:space="0" w:color="auto"/>
        <w:left w:val="none" w:sz="0" w:space="0" w:color="auto"/>
        <w:bottom w:val="none" w:sz="0" w:space="0" w:color="auto"/>
        <w:right w:val="none" w:sz="0" w:space="0" w:color="auto"/>
      </w:divBdr>
    </w:div>
    <w:div w:id="1247879478">
      <w:bodyDiv w:val="1"/>
      <w:marLeft w:val="0"/>
      <w:marRight w:val="0"/>
      <w:marTop w:val="0"/>
      <w:marBottom w:val="0"/>
      <w:divBdr>
        <w:top w:val="none" w:sz="0" w:space="0" w:color="auto"/>
        <w:left w:val="none" w:sz="0" w:space="0" w:color="auto"/>
        <w:bottom w:val="none" w:sz="0" w:space="0" w:color="auto"/>
        <w:right w:val="none" w:sz="0" w:space="0" w:color="auto"/>
      </w:divBdr>
    </w:div>
    <w:div w:id="1255630186">
      <w:bodyDiv w:val="1"/>
      <w:marLeft w:val="0"/>
      <w:marRight w:val="0"/>
      <w:marTop w:val="0"/>
      <w:marBottom w:val="0"/>
      <w:divBdr>
        <w:top w:val="none" w:sz="0" w:space="0" w:color="auto"/>
        <w:left w:val="none" w:sz="0" w:space="0" w:color="auto"/>
        <w:bottom w:val="none" w:sz="0" w:space="0" w:color="auto"/>
        <w:right w:val="none" w:sz="0" w:space="0" w:color="auto"/>
      </w:divBdr>
    </w:div>
    <w:div w:id="1256476051">
      <w:bodyDiv w:val="1"/>
      <w:marLeft w:val="0"/>
      <w:marRight w:val="0"/>
      <w:marTop w:val="0"/>
      <w:marBottom w:val="0"/>
      <w:divBdr>
        <w:top w:val="none" w:sz="0" w:space="0" w:color="auto"/>
        <w:left w:val="none" w:sz="0" w:space="0" w:color="auto"/>
        <w:bottom w:val="none" w:sz="0" w:space="0" w:color="auto"/>
        <w:right w:val="none" w:sz="0" w:space="0" w:color="auto"/>
      </w:divBdr>
    </w:div>
    <w:div w:id="1258248343">
      <w:bodyDiv w:val="1"/>
      <w:marLeft w:val="0"/>
      <w:marRight w:val="0"/>
      <w:marTop w:val="0"/>
      <w:marBottom w:val="0"/>
      <w:divBdr>
        <w:top w:val="none" w:sz="0" w:space="0" w:color="auto"/>
        <w:left w:val="none" w:sz="0" w:space="0" w:color="auto"/>
        <w:bottom w:val="none" w:sz="0" w:space="0" w:color="auto"/>
        <w:right w:val="none" w:sz="0" w:space="0" w:color="auto"/>
      </w:divBdr>
    </w:div>
    <w:div w:id="1258829997">
      <w:bodyDiv w:val="1"/>
      <w:marLeft w:val="0"/>
      <w:marRight w:val="0"/>
      <w:marTop w:val="0"/>
      <w:marBottom w:val="0"/>
      <w:divBdr>
        <w:top w:val="none" w:sz="0" w:space="0" w:color="auto"/>
        <w:left w:val="none" w:sz="0" w:space="0" w:color="auto"/>
        <w:bottom w:val="none" w:sz="0" w:space="0" w:color="auto"/>
        <w:right w:val="none" w:sz="0" w:space="0" w:color="auto"/>
      </w:divBdr>
    </w:div>
    <w:div w:id="1258908207">
      <w:bodyDiv w:val="1"/>
      <w:marLeft w:val="0"/>
      <w:marRight w:val="0"/>
      <w:marTop w:val="0"/>
      <w:marBottom w:val="0"/>
      <w:divBdr>
        <w:top w:val="none" w:sz="0" w:space="0" w:color="auto"/>
        <w:left w:val="none" w:sz="0" w:space="0" w:color="auto"/>
        <w:bottom w:val="none" w:sz="0" w:space="0" w:color="auto"/>
        <w:right w:val="none" w:sz="0" w:space="0" w:color="auto"/>
      </w:divBdr>
    </w:div>
    <w:div w:id="1259211554">
      <w:bodyDiv w:val="1"/>
      <w:marLeft w:val="0"/>
      <w:marRight w:val="0"/>
      <w:marTop w:val="0"/>
      <w:marBottom w:val="0"/>
      <w:divBdr>
        <w:top w:val="none" w:sz="0" w:space="0" w:color="auto"/>
        <w:left w:val="none" w:sz="0" w:space="0" w:color="auto"/>
        <w:bottom w:val="none" w:sz="0" w:space="0" w:color="auto"/>
        <w:right w:val="none" w:sz="0" w:space="0" w:color="auto"/>
      </w:divBdr>
    </w:div>
    <w:div w:id="1267079446">
      <w:bodyDiv w:val="1"/>
      <w:marLeft w:val="0"/>
      <w:marRight w:val="0"/>
      <w:marTop w:val="0"/>
      <w:marBottom w:val="0"/>
      <w:divBdr>
        <w:top w:val="none" w:sz="0" w:space="0" w:color="auto"/>
        <w:left w:val="none" w:sz="0" w:space="0" w:color="auto"/>
        <w:bottom w:val="none" w:sz="0" w:space="0" w:color="auto"/>
        <w:right w:val="none" w:sz="0" w:space="0" w:color="auto"/>
      </w:divBdr>
    </w:div>
    <w:div w:id="1274095269">
      <w:bodyDiv w:val="1"/>
      <w:marLeft w:val="0"/>
      <w:marRight w:val="0"/>
      <w:marTop w:val="0"/>
      <w:marBottom w:val="0"/>
      <w:divBdr>
        <w:top w:val="none" w:sz="0" w:space="0" w:color="auto"/>
        <w:left w:val="none" w:sz="0" w:space="0" w:color="auto"/>
        <w:bottom w:val="none" w:sz="0" w:space="0" w:color="auto"/>
        <w:right w:val="none" w:sz="0" w:space="0" w:color="auto"/>
      </w:divBdr>
    </w:div>
    <w:div w:id="1276907879">
      <w:bodyDiv w:val="1"/>
      <w:marLeft w:val="0"/>
      <w:marRight w:val="0"/>
      <w:marTop w:val="0"/>
      <w:marBottom w:val="0"/>
      <w:divBdr>
        <w:top w:val="none" w:sz="0" w:space="0" w:color="auto"/>
        <w:left w:val="none" w:sz="0" w:space="0" w:color="auto"/>
        <w:bottom w:val="none" w:sz="0" w:space="0" w:color="auto"/>
        <w:right w:val="none" w:sz="0" w:space="0" w:color="auto"/>
      </w:divBdr>
    </w:div>
    <w:div w:id="1278952688">
      <w:bodyDiv w:val="1"/>
      <w:marLeft w:val="0"/>
      <w:marRight w:val="0"/>
      <w:marTop w:val="0"/>
      <w:marBottom w:val="0"/>
      <w:divBdr>
        <w:top w:val="none" w:sz="0" w:space="0" w:color="auto"/>
        <w:left w:val="none" w:sz="0" w:space="0" w:color="auto"/>
        <w:bottom w:val="none" w:sz="0" w:space="0" w:color="auto"/>
        <w:right w:val="none" w:sz="0" w:space="0" w:color="auto"/>
      </w:divBdr>
    </w:div>
    <w:div w:id="1290815436">
      <w:bodyDiv w:val="1"/>
      <w:marLeft w:val="0"/>
      <w:marRight w:val="0"/>
      <w:marTop w:val="0"/>
      <w:marBottom w:val="0"/>
      <w:divBdr>
        <w:top w:val="none" w:sz="0" w:space="0" w:color="auto"/>
        <w:left w:val="none" w:sz="0" w:space="0" w:color="auto"/>
        <w:bottom w:val="none" w:sz="0" w:space="0" w:color="auto"/>
        <w:right w:val="none" w:sz="0" w:space="0" w:color="auto"/>
      </w:divBdr>
    </w:div>
    <w:div w:id="1295718202">
      <w:bodyDiv w:val="1"/>
      <w:marLeft w:val="0"/>
      <w:marRight w:val="0"/>
      <w:marTop w:val="0"/>
      <w:marBottom w:val="0"/>
      <w:divBdr>
        <w:top w:val="none" w:sz="0" w:space="0" w:color="auto"/>
        <w:left w:val="none" w:sz="0" w:space="0" w:color="auto"/>
        <w:bottom w:val="none" w:sz="0" w:space="0" w:color="auto"/>
        <w:right w:val="none" w:sz="0" w:space="0" w:color="auto"/>
      </w:divBdr>
    </w:div>
    <w:div w:id="1297182508">
      <w:bodyDiv w:val="1"/>
      <w:marLeft w:val="0"/>
      <w:marRight w:val="0"/>
      <w:marTop w:val="0"/>
      <w:marBottom w:val="0"/>
      <w:divBdr>
        <w:top w:val="none" w:sz="0" w:space="0" w:color="auto"/>
        <w:left w:val="none" w:sz="0" w:space="0" w:color="auto"/>
        <w:bottom w:val="none" w:sz="0" w:space="0" w:color="auto"/>
        <w:right w:val="none" w:sz="0" w:space="0" w:color="auto"/>
      </w:divBdr>
    </w:div>
    <w:div w:id="1298099291">
      <w:bodyDiv w:val="1"/>
      <w:marLeft w:val="0"/>
      <w:marRight w:val="0"/>
      <w:marTop w:val="0"/>
      <w:marBottom w:val="0"/>
      <w:divBdr>
        <w:top w:val="none" w:sz="0" w:space="0" w:color="auto"/>
        <w:left w:val="none" w:sz="0" w:space="0" w:color="auto"/>
        <w:bottom w:val="none" w:sz="0" w:space="0" w:color="auto"/>
        <w:right w:val="none" w:sz="0" w:space="0" w:color="auto"/>
      </w:divBdr>
    </w:div>
    <w:div w:id="1299651978">
      <w:bodyDiv w:val="1"/>
      <w:marLeft w:val="0"/>
      <w:marRight w:val="0"/>
      <w:marTop w:val="0"/>
      <w:marBottom w:val="0"/>
      <w:divBdr>
        <w:top w:val="none" w:sz="0" w:space="0" w:color="auto"/>
        <w:left w:val="none" w:sz="0" w:space="0" w:color="auto"/>
        <w:bottom w:val="none" w:sz="0" w:space="0" w:color="auto"/>
        <w:right w:val="none" w:sz="0" w:space="0" w:color="auto"/>
      </w:divBdr>
    </w:div>
    <w:div w:id="1300914531">
      <w:bodyDiv w:val="1"/>
      <w:marLeft w:val="0"/>
      <w:marRight w:val="0"/>
      <w:marTop w:val="0"/>
      <w:marBottom w:val="0"/>
      <w:divBdr>
        <w:top w:val="none" w:sz="0" w:space="0" w:color="auto"/>
        <w:left w:val="none" w:sz="0" w:space="0" w:color="auto"/>
        <w:bottom w:val="none" w:sz="0" w:space="0" w:color="auto"/>
        <w:right w:val="none" w:sz="0" w:space="0" w:color="auto"/>
      </w:divBdr>
    </w:div>
    <w:div w:id="1303845489">
      <w:bodyDiv w:val="1"/>
      <w:marLeft w:val="0"/>
      <w:marRight w:val="0"/>
      <w:marTop w:val="0"/>
      <w:marBottom w:val="0"/>
      <w:divBdr>
        <w:top w:val="none" w:sz="0" w:space="0" w:color="auto"/>
        <w:left w:val="none" w:sz="0" w:space="0" w:color="auto"/>
        <w:bottom w:val="none" w:sz="0" w:space="0" w:color="auto"/>
        <w:right w:val="none" w:sz="0" w:space="0" w:color="auto"/>
      </w:divBdr>
    </w:div>
    <w:div w:id="1314678675">
      <w:bodyDiv w:val="1"/>
      <w:marLeft w:val="0"/>
      <w:marRight w:val="0"/>
      <w:marTop w:val="0"/>
      <w:marBottom w:val="0"/>
      <w:divBdr>
        <w:top w:val="none" w:sz="0" w:space="0" w:color="auto"/>
        <w:left w:val="none" w:sz="0" w:space="0" w:color="auto"/>
        <w:bottom w:val="none" w:sz="0" w:space="0" w:color="auto"/>
        <w:right w:val="none" w:sz="0" w:space="0" w:color="auto"/>
      </w:divBdr>
    </w:div>
    <w:div w:id="1315255416">
      <w:bodyDiv w:val="1"/>
      <w:marLeft w:val="0"/>
      <w:marRight w:val="0"/>
      <w:marTop w:val="0"/>
      <w:marBottom w:val="0"/>
      <w:divBdr>
        <w:top w:val="none" w:sz="0" w:space="0" w:color="auto"/>
        <w:left w:val="none" w:sz="0" w:space="0" w:color="auto"/>
        <w:bottom w:val="none" w:sz="0" w:space="0" w:color="auto"/>
        <w:right w:val="none" w:sz="0" w:space="0" w:color="auto"/>
      </w:divBdr>
    </w:div>
    <w:div w:id="1315530332">
      <w:bodyDiv w:val="1"/>
      <w:marLeft w:val="0"/>
      <w:marRight w:val="0"/>
      <w:marTop w:val="0"/>
      <w:marBottom w:val="0"/>
      <w:divBdr>
        <w:top w:val="none" w:sz="0" w:space="0" w:color="auto"/>
        <w:left w:val="none" w:sz="0" w:space="0" w:color="auto"/>
        <w:bottom w:val="none" w:sz="0" w:space="0" w:color="auto"/>
        <w:right w:val="none" w:sz="0" w:space="0" w:color="auto"/>
      </w:divBdr>
    </w:div>
    <w:div w:id="1317565583">
      <w:bodyDiv w:val="1"/>
      <w:marLeft w:val="0"/>
      <w:marRight w:val="0"/>
      <w:marTop w:val="0"/>
      <w:marBottom w:val="0"/>
      <w:divBdr>
        <w:top w:val="none" w:sz="0" w:space="0" w:color="auto"/>
        <w:left w:val="none" w:sz="0" w:space="0" w:color="auto"/>
        <w:bottom w:val="none" w:sz="0" w:space="0" w:color="auto"/>
        <w:right w:val="none" w:sz="0" w:space="0" w:color="auto"/>
      </w:divBdr>
    </w:div>
    <w:div w:id="1322928827">
      <w:bodyDiv w:val="1"/>
      <w:marLeft w:val="0"/>
      <w:marRight w:val="0"/>
      <w:marTop w:val="0"/>
      <w:marBottom w:val="0"/>
      <w:divBdr>
        <w:top w:val="none" w:sz="0" w:space="0" w:color="auto"/>
        <w:left w:val="none" w:sz="0" w:space="0" w:color="auto"/>
        <w:bottom w:val="none" w:sz="0" w:space="0" w:color="auto"/>
        <w:right w:val="none" w:sz="0" w:space="0" w:color="auto"/>
      </w:divBdr>
    </w:div>
    <w:div w:id="1324896983">
      <w:bodyDiv w:val="1"/>
      <w:marLeft w:val="0"/>
      <w:marRight w:val="0"/>
      <w:marTop w:val="0"/>
      <w:marBottom w:val="0"/>
      <w:divBdr>
        <w:top w:val="none" w:sz="0" w:space="0" w:color="auto"/>
        <w:left w:val="none" w:sz="0" w:space="0" w:color="auto"/>
        <w:bottom w:val="none" w:sz="0" w:space="0" w:color="auto"/>
        <w:right w:val="none" w:sz="0" w:space="0" w:color="auto"/>
      </w:divBdr>
    </w:div>
    <w:div w:id="1326084732">
      <w:bodyDiv w:val="1"/>
      <w:marLeft w:val="0"/>
      <w:marRight w:val="0"/>
      <w:marTop w:val="0"/>
      <w:marBottom w:val="0"/>
      <w:divBdr>
        <w:top w:val="none" w:sz="0" w:space="0" w:color="auto"/>
        <w:left w:val="none" w:sz="0" w:space="0" w:color="auto"/>
        <w:bottom w:val="none" w:sz="0" w:space="0" w:color="auto"/>
        <w:right w:val="none" w:sz="0" w:space="0" w:color="auto"/>
      </w:divBdr>
    </w:div>
    <w:div w:id="1326594015">
      <w:bodyDiv w:val="1"/>
      <w:marLeft w:val="0"/>
      <w:marRight w:val="0"/>
      <w:marTop w:val="0"/>
      <w:marBottom w:val="0"/>
      <w:divBdr>
        <w:top w:val="none" w:sz="0" w:space="0" w:color="auto"/>
        <w:left w:val="none" w:sz="0" w:space="0" w:color="auto"/>
        <w:bottom w:val="none" w:sz="0" w:space="0" w:color="auto"/>
        <w:right w:val="none" w:sz="0" w:space="0" w:color="auto"/>
      </w:divBdr>
    </w:div>
    <w:div w:id="1327174532">
      <w:bodyDiv w:val="1"/>
      <w:marLeft w:val="0"/>
      <w:marRight w:val="0"/>
      <w:marTop w:val="0"/>
      <w:marBottom w:val="0"/>
      <w:divBdr>
        <w:top w:val="none" w:sz="0" w:space="0" w:color="auto"/>
        <w:left w:val="none" w:sz="0" w:space="0" w:color="auto"/>
        <w:bottom w:val="none" w:sz="0" w:space="0" w:color="auto"/>
        <w:right w:val="none" w:sz="0" w:space="0" w:color="auto"/>
      </w:divBdr>
    </w:div>
    <w:div w:id="1328095527">
      <w:bodyDiv w:val="1"/>
      <w:marLeft w:val="0"/>
      <w:marRight w:val="0"/>
      <w:marTop w:val="0"/>
      <w:marBottom w:val="0"/>
      <w:divBdr>
        <w:top w:val="none" w:sz="0" w:space="0" w:color="auto"/>
        <w:left w:val="none" w:sz="0" w:space="0" w:color="auto"/>
        <w:bottom w:val="none" w:sz="0" w:space="0" w:color="auto"/>
        <w:right w:val="none" w:sz="0" w:space="0" w:color="auto"/>
      </w:divBdr>
    </w:div>
    <w:div w:id="1329595783">
      <w:bodyDiv w:val="1"/>
      <w:marLeft w:val="0"/>
      <w:marRight w:val="0"/>
      <w:marTop w:val="0"/>
      <w:marBottom w:val="0"/>
      <w:divBdr>
        <w:top w:val="none" w:sz="0" w:space="0" w:color="auto"/>
        <w:left w:val="none" w:sz="0" w:space="0" w:color="auto"/>
        <w:bottom w:val="none" w:sz="0" w:space="0" w:color="auto"/>
        <w:right w:val="none" w:sz="0" w:space="0" w:color="auto"/>
      </w:divBdr>
    </w:div>
    <w:div w:id="1335953184">
      <w:bodyDiv w:val="1"/>
      <w:marLeft w:val="0"/>
      <w:marRight w:val="0"/>
      <w:marTop w:val="0"/>
      <w:marBottom w:val="0"/>
      <w:divBdr>
        <w:top w:val="none" w:sz="0" w:space="0" w:color="auto"/>
        <w:left w:val="none" w:sz="0" w:space="0" w:color="auto"/>
        <w:bottom w:val="none" w:sz="0" w:space="0" w:color="auto"/>
        <w:right w:val="none" w:sz="0" w:space="0" w:color="auto"/>
      </w:divBdr>
    </w:div>
    <w:div w:id="1336759060">
      <w:bodyDiv w:val="1"/>
      <w:marLeft w:val="0"/>
      <w:marRight w:val="0"/>
      <w:marTop w:val="0"/>
      <w:marBottom w:val="0"/>
      <w:divBdr>
        <w:top w:val="none" w:sz="0" w:space="0" w:color="auto"/>
        <w:left w:val="none" w:sz="0" w:space="0" w:color="auto"/>
        <w:bottom w:val="none" w:sz="0" w:space="0" w:color="auto"/>
        <w:right w:val="none" w:sz="0" w:space="0" w:color="auto"/>
      </w:divBdr>
    </w:div>
    <w:div w:id="1339844658">
      <w:bodyDiv w:val="1"/>
      <w:marLeft w:val="0"/>
      <w:marRight w:val="0"/>
      <w:marTop w:val="0"/>
      <w:marBottom w:val="0"/>
      <w:divBdr>
        <w:top w:val="none" w:sz="0" w:space="0" w:color="auto"/>
        <w:left w:val="none" w:sz="0" w:space="0" w:color="auto"/>
        <w:bottom w:val="none" w:sz="0" w:space="0" w:color="auto"/>
        <w:right w:val="none" w:sz="0" w:space="0" w:color="auto"/>
      </w:divBdr>
    </w:div>
    <w:div w:id="1342508270">
      <w:bodyDiv w:val="1"/>
      <w:marLeft w:val="0"/>
      <w:marRight w:val="0"/>
      <w:marTop w:val="0"/>
      <w:marBottom w:val="0"/>
      <w:divBdr>
        <w:top w:val="none" w:sz="0" w:space="0" w:color="auto"/>
        <w:left w:val="none" w:sz="0" w:space="0" w:color="auto"/>
        <w:bottom w:val="none" w:sz="0" w:space="0" w:color="auto"/>
        <w:right w:val="none" w:sz="0" w:space="0" w:color="auto"/>
      </w:divBdr>
    </w:div>
    <w:div w:id="1344087390">
      <w:bodyDiv w:val="1"/>
      <w:marLeft w:val="0"/>
      <w:marRight w:val="0"/>
      <w:marTop w:val="0"/>
      <w:marBottom w:val="0"/>
      <w:divBdr>
        <w:top w:val="none" w:sz="0" w:space="0" w:color="auto"/>
        <w:left w:val="none" w:sz="0" w:space="0" w:color="auto"/>
        <w:bottom w:val="none" w:sz="0" w:space="0" w:color="auto"/>
        <w:right w:val="none" w:sz="0" w:space="0" w:color="auto"/>
      </w:divBdr>
    </w:div>
    <w:div w:id="1344555364">
      <w:bodyDiv w:val="1"/>
      <w:marLeft w:val="0"/>
      <w:marRight w:val="0"/>
      <w:marTop w:val="0"/>
      <w:marBottom w:val="0"/>
      <w:divBdr>
        <w:top w:val="none" w:sz="0" w:space="0" w:color="auto"/>
        <w:left w:val="none" w:sz="0" w:space="0" w:color="auto"/>
        <w:bottom w:val="none" w:sz="0" w:space="0" w:color="auto"/>
        <w:right w:val="none" w:sz="0" w:space="0" w:color="auto"/>
      </w:divBdr>
    </w:div>
    <w:div w:id="1349528872">
      <w:bodyDiv w:val="1"/>
      <w:marLeft w:val="0"/>
      <w:marRight w:val="0"/>
      <w:marTop w:val="0"/>
      <w:marBottom w:val="0"/>
      <w:divBdr>
        <w:top w:val="none" w:sz="0" w:space="0" w:color="auto"/>
        <w:left w:val="none" w:sz="0" w:space="0" w:color="auto"/>
        <w:bottom w:val="none" w:sz="0" w:space="0" w:color="auto"/>
        <w:right w:val="none" w:sz="0" w:space="0" w:color="auto"/>
      </w:divBdr>
    </w:div>
    <w:div w:id="1350327568">
      <w:bodyDiv w:val="1"/>
      <w:marLeft w:val="0"/>
      <w:marRight w:val="0"/>
      <w:marTop w:val="0"/>
      <w:marBottom w:val="0"/>
      <w:divBdr>
        <w:top w:val="none" w:sz="0" w:space="0" w:color="auto"/>
        <w:left w:val="none" w:sz="0" w:space="0" w:color="auto"/>
        <w:bottom w:val="none" w:sz="0" w:space="0" w:color="auto"/>
        <w:right w:val="none" w:sz="0" w:space="0" w:color="auto"/>
      </w:divBdr>
    </w:div>
    <w:div w:id="1356232771">
      <w:bodyDiv w:val="1"/>
      <w:marLeft w:val="0"/>
      <w:marRight w:val="0"/>
      <w:marTop w:val="0"/>
      <w:marBottom w:val="0"/>
      <w:divBdr>
        <w:top w:val="none" w:sz="0" w:space="0" w:color="auto"/>
        <w:left w:val="none" w:sz="0" w:space="0" w:color="auto"/>
        <w:bottom w:val="none" w:sz="0" w:space="0" w:color="auto"/>
        <w:right w:val="none" w:sz="0" w:space="0" w:color="auto"/>
      </w:divBdr>
    </w:div>
    <w:div w:id="1361274721">
      <w:bodyDiv w:val="1"/>
      <w:marLeft w:val="0"/>
      <w:marRight w:val="0"/>
      <w:marTop w:val="0"/>
      <w:marBottom w:val="0"/>
      <w:divBdr>
        <w:top w:val="none" w:sz="0" w:space="0" w:color="auto"/>
        <w:left w:val="none" w:sz="0" w:space="0" w:color="auto"/>
        <w:bottom w:val="none" w:sz="0" w:space="0" w:color="auto"/>
        <w:right w:val="none" w:sz="0" w:space="0" w:color="auto"/>
      </w:divBdr>
    </w:div>
    <w:div w:id="1361513263">
      <w:bodyDiv w:val="1"/>
      <w:marLeft w:val="0"/>
      <w:marRight w:val="0"/>
      <w:marTop w:val="0"/>
      <w:marBottom w:val="0"/>
      <w:divBdr>
        <w:top w:val="none" w:sz="0" w:space="0" w:color="auto"/>
        <w:left w:val="none" w:sz="0" w:space="0" w:color="auto"/>
        <w:bottom w:val="none" w:sz="0" w:space="0" w:color="auto"/>
        <w:right w:val="none" w:sz="0" w:space="0" w:color="auto"/>
      </w:divBdr>
    </w:div>
    <w:div w:id="1374816890">
      <w:bodyDiv w:val="1"/>
      <w:marLeft w:val="0"/>
      <w:marRight w:val="0"/>
      <w:marTop w:val="0"/>
      <w:marBottom w:val="0"/>
      <w:divBdr>
        <w:top w:val="none" w:sz="0" w:space="0" w:color="auto"/>
        <w:left w:val="none" w:sz="0" w:space="0" w:color="auto"/>
        <w:bottom w:val="none" w:sz="0" w:space="0" w:color="auto"/>
        <w:right w:val="none" w:sz="0" w:space="0" w:color="auto"/>
      </w:divBdr>
    </w:div>
    <w:div w:id="1376083113">
      <w:bodyDiv w:val="1"/>
      <w:marLeft w:val="0"/>
      <w:marRight w:val="0"/>
      <w:marTop w:val="0"/>
      <w:marBottom w:val="0"/>
      <w:divBdr>
        <w:top w:val="none" w:sz="0" w:space="0" w:color="auto"/>
        <w:left w:val="none" w:sz="0" w:space="0" w:color="auto"/>
        <w:bottom w:val="none" w:sz="0" w:space="0" w:color="auto"/>
        <w:right w:val="none" w:sz="0" w:space="0" w:color="auto"/>
      </w:divBdr>
    </w:div>
    <w:div w:id="1379863183">
      <w:bodyDiv w:val="1"/>
      <w:marLeft w:val="0"/>
      <w:marRight w:val="0"/>
      <w:marTop w:val="0"/>
      <w:marBottom w:val="0"/>
      <w:divBdr>
        <w:top w:val="none" w:sz="0" w:space="0" w:color="auto"/>
        <w:left w:val="none" w:sz="0" w:space="0" w:color="auto"/>
        <w:bottom w:val="none" w:sz="0" w:space="0" w:color="auto"/>
        <w:right w:val="none" w:sz="0" w:space="0" w:color="auto"/>
      </w:divBdr>
    </w:div>
    <w:div w:id="1380058041">
      <w:bodyDiv w:val="1"/>
      <w:marLeft w:val="0"/>
      <w:marRight w:val="0"/>
      <w:marTop w:val="0"/>
      <w:marBottom w:val="0"/>
      <w:divBdr>
        <w:top w:val="none" w:sz="0" w:space="0" w:color="auto"/>
        <w:left w:val="none" w:sz="0" w:space="0" w:color="auto"/>
        <w:bottom w:val="none" w:sz="0" w:space="0" w:color="auto"/>
        <w:right w:val="none" w:sz="0" w:space="0" w:color="auto"/>
      </w:divBdr>
    </w:div>
    <w:div w:id="1381173679">
      <w:bodyDiv w:val="1"/>
      <w:marLeft w:val="0"/>
      <w:marRight w:val="0"/>
      <w:marTop w:val="0"/>
      <w:marBottom w:val="0"/>
      <w:divBdr>
        <w:top w:val="none" w:sz="0" w:space="0" w:color="auto"/>
        <w:left w:val="none" w:sz="0" w:space="0" w:color="auto"/>
        <w:bottom w:val="none" w:sz="0" w:space="0" w:color="auto"/>
        <w:right w:val="none" w:sz="0" w:space="0" w:color="auto"/>
      </w:divBdr>
    </w:div>
    <w:div w:id="1382514497">
      <w:bodyDiv w:val="1"/>
      <w:marLeft w:val="0"/>
      <w:marRight w:val="0"/>
      <w:marTop w:val="0"/>
      <w:marBottom w:val="0"/>
      <w:divBdr>
        <w:top w:val="none" w:sz="0" w:space="0" w:color="auto"/>
        <w:left w:val="none" w:sz="0" w:space="0" w:color="auto"/>
        <w:bottom w:val="none" w:sz="0" w:space="0" w:color="auto"/>
        <w:right w:val="none" w:sz="0" w:space="0" w:color="auto"/>
      </w:divBdr>
    </w:div>
    <w:div w:id="1382704236">
      <w:bodyDiv w:val="1"/>
      <w:marLeft w:val="0"/>
      <w:marRight w:val="0"/>
      <w:marTop w:val="0"/>
      <w:marBottom w:val="0"/>
      <w:divBdr>
        <w:top w:val="none" w:sz="0" w:space="0" w:color="auto"/>
        <w:left w:val="none" w:sz="0" w:space="0" w:color="auto"/>
        <w:bottom w:val="none" w:sz="0" w:space="0" w:color="auto"/>
        <w:right w:val="none" w:sz="0" w:space="0" w:color="auto"/>
      </w:divBdr>
    </w:div>
    <w:div w:id="1383673807">
      <w:bodyDiv w:val="1"/>
      <w:marLeft w:val="0"/>
      <w:marRight w:val="0"/>
      <w:marTop w:val="0"/>
      <w:marBottom w:val="0"/>
      <w:divBdr>
        <w:top w:val="none" w:sz="0" w:space="0" w:color="auto"/>
        <w:left w:val="none" w:sz="0" w:space="0" w:color="auto"/>
        <w:bottom w:val="none" w:sz="0" w:space="0" w:color="auto"/>
        <w:right w:val="none" w:sz="0" w:space="0" w:color="auto"/>
      </w:divBdr>
    </w:div>
    <w:div w:id="1383746328">
      <w:bodyDiv w:val="1"/>
      <w:marLeft w:val="0"/>
      <w:marRight w:val="0"/>
      <w:marTop w:val="0"/>
      <w:marBottom w:val="0"/>
      <w:divBdr>
        <w:top w:val="none" w:sz="0" w:space="0" w:color="auto"/>
        <w:left w:val="none" w:sz="0" w:space="0" w:color="auto"/>
        <w:bottom w:val="none" w:sz="0" w:space="0" w:color="auto"/>
        <w:right w:val="none" w:sz="0" w:space="0" w:color="auto"/>
      </w:divBdr>
    </w:div>
    <w:div w:id="1402096848">
      <w:bodyDiv w:val="1"/>
      <w:marLeft w:val="0"/>
      <w:marRight w:val="0"/>
      <w:marTop w:val="0"/>
      <w:marBottom w:val="0"/>
      <w:divBdr>
        <w:top w:val="none" w:sz="0" w:space="0" w:color="auto"/>
        <w:left w:val="none" w:sz="0" w:space="0" w:color="auto"/>
        <w:bottom w:val="none" w:sz="0" w:space="0" w:color="auto"/>
        <w:right w:val="none" w:sz="0" w:space="0" w:color="auto"/>
      </w:divBdr>
    </w:div>
    <w:div w:id="1405182582">
      <w:bodyDiv w:val="1"/>
      <w:marLeft w:val="0"/>
      <w:marRight w:val="0"/>
      <w:marTop w:val="0"/>
      <w:marBottom w:val="0"/>
      <w:divBdr>
        <w:top w:val="none" w:sz="0" w:space="0" w:color="auto"/>
        <w:left w:val="none" w:sz="0" w:space="0" w:color="auto"/>
        <w:bottom w:val="none" w:sz="0" w:space="0" w:color="auto"/>
        <w:right w:val="none" w:sz="0" w:space="0" w:color="auto"/>
      </w:divBdr>
    </w:div>
    <w:div w:id="1406100616">
      <w:bodyDiv w:val="1"/>
      <w:marLeft w:val="0"/>
      <w:marRight w:val="0"/>
      <w:marTop w:val="0"/>
      <w:marBottom w:val="0"/>
      <w:divBdr>
        <w:top w:val="none" w:sz="0" w:space="0" w:color="auto"/>
        <w:left w:val="none" w:sz="0" w:space="0" w:color="auto"/>
        <w:bottom w:val="none" w:sz="0" w:space="0" w:color="auto"/>
        <w:right w:val="none" w:sz="0" w:space="0" w:color="auto"/>
      </w:divBdr>
    </w:div>
    <w:div w:id="1413158415">
      <w:bodyDiv w:val="1"/>
      <w:marLeft w:val="0"/>
      <w:marRight w:val="0"/>
      <w:marTop w:val="0"/>
      <w:marBottom w:val="0"/>
      <w:divBdr>
        <w:top w:val="none" w:sz="0" w:space="0" w:color="auto"/>
        <w:left w:val="none" w:sz="0" w:space="0" w:color="auto"/>
        <w:bottom w:val="none" w:sz="0" w:space="0" w:color="auto"/>
        <w:right w:val="none" w:sz="0" w:space="0" w:color="auto"/>
      </w:divBdr>
    </w:div>
    <w:div w:id="1417509900">
      <w:bodyDiv w:val="1"/>
      <w:marLeft w:val="0"/>
      <w:marRight w:val="0"/>
      <w:marTop w:val="0"/>
      <w:marBottom w:val="0"/>
      <w:divBdr>
        <w:top w:val="none" w:sz="0" w:space="0" w:color="auto"/>
        <w:left w:val="none" w:sz="0" w:space="0" w:color="auto"/>
        <w:bottom w:val="none" w:sz="0" w:space="0" w:color="auto"/>
        <w:right w:val="none" w:sz="0" w:space="0" w:color="auto"/>
      </w:divBdr>
    </w:div>
    <w:div w:id="1431661385">
      <w:bodyDiv w:val="1"/>
      <w:marLeft w:val="0"/>
      <w:marRight w:val="0"/>
      <w:marTop w:val="0"/>
      <w:marBottom w:val="0"/>
      <w:divBdr>
        <w:top w:val="none" w:sz="0" w:space="0" w:color="auto"/>
        <w:left w:val="none" w:sz="0" w:space="0" w:color="auto"/>
        <w:bottom w:val="none" w:sz="0" w:space="0" w:color="auto"/>
        <w:right w:val="none" w:sz="0" w:space="0" w:color="auto"/>
      </w:divBdr>
    </w:div>
    <w:div w:id="1437483846">
      <w:bodyDiv w:val="1"/>
      <w:marLeft w:val="0"/>
      <w:marRight w:val="0"/>
      <w:marTop w:val="0"/>
      <w:marBottom w:val="0"/>
      <w:divBdr>
        <w:top w:val="none" w:sz="0" w:space="0" w:color="auto"/>
        <w:left w:val="none" w:sz="0" w:space="0" w:color="auto"/>
        <w:bottom w:val="none" w:sz="0" w:space="0" w:color="auto"/>
        <w:right w:val="none" w:sz="0" w:space="0" w:color="auto"/>
      </w:divBdr>
    </w:div>
    <w:div w:id="1438482122">
      <w:bodyDiv w:val="1"/>
      <w:marLeft w:val="0"/>
      <w:marRight w:val="0"/>
      <w:marTop w:val="0"/>
      <w:marBottom w:val="0"/>
      <w:divBdr>
        <w:top w:val="none" w:sz="0" w:space="0" w:color="auto"/>
        <w:left w:val="none" w:sz="0" w:space="0" w:color="auto"/>
        <w:bottom w:val="none" w:sz="0" w:space="0" w:color="auto"/>
        <w:right w:val="none" w:sz="0" w:space="0" w:color="auto"/>
      </w:divBdr>
    </w:div>
    <w:div w:id="1442604374">
      <w:bodyDiv w:val="1"/>
      <w:marLeft w:val="0"/>
      <w:marRight w:val="0"/>
      <w:marTop w:val="0"/>
      <w:marBottom w:val="0"/>
      <w:divBdr>
        <w:top w:val="none" w:sz="0" w:space="0" w:color="auto"/>
        <w:left w:val="none" w:sz="0" w:space="0" w:color="auto"/>
        <w:bottom w:val="none" w:sz="0" w:space="0" w:color="auto"/>
        <w:right w:val="none" w:sz="0" w:space="0" w:color="auto"/>
      </w:divBdr>
    </w:div>
    <w:div w:id="1443694931">
      <w:bodyDiv w:val="1"/>
      <w:marLeft w:val="0"/>
      <w:marRight w:val="0"/>
      <w:marTop w:val="0"/>
      <w:marBottom w:val="0"/>
      <w:divBdr>
        <w:top w:val="none" w:sz="0" w:space="0" w:color="auto"/>
        <w:left w:val="none" w:sz="0" w:space="0" w:color="auto"/>
        <w:bottom w:val="none" w:sz="0" w:space="0" w:color="auto"/>
        <w:right w:val="none" w:sz="0" w:space="0" w:color="auto"/>
      </w:divBdr>
    </w:div>
    <w:div w:id="1457600317">
      <w:bodyDiv w:val="1"/>
      <w:marLeft w:val="0"/>
      <w:marRight w:val="0"/>
      <w:marTop w:val="0"/>
      <w:marBottom w:val="0"/>
      <w:divBdr>
        <w:top w:val="none" w:sz="0" w:space="0" w:color="auto"/>
        <w:left w:val="none" w:sz="0" w:space="0" w:color="auto"/>
        <w:bottom w:val="none" w:sz="0" w:space="0" w:color="auto"/>
        <w:right w:val="none" w:sz="0" w:space="0" w:color="auto"/>
      </w:divBdr>
    </w:div>
    <w:div w:id="1467971143">
      <w:bodyDiv w:val="1"/>
      <w:marLeft w:val="0"/>
      <w:marRight w:val="0"/>
      <w:marTop w:val="0"/>
      <w:marBottom w:val="0"/>
      <w:divBdr>
        <w:top w:val="none" w:sz="0" w:space="0" w:color="auto"/>
        <w:left w:val="none" w:sz="0" w:space="0" w:color="auto"/>
        <w:bottom w:val="none" w:sz="0" w:space="0" w:color="auto"/>
        <w:right w:val="none" w:sz="0" w:space="0" w:color="auto"/>
      </w:divBdr>
    </w:div>
    <w:div w:id="1471364389">
      <w:bodyDiv w:val="1"/>
      <w:marLeft w:val="0"/>
      <w:marRight w:val="0"/>
      <w:marTop w:val="0"/>
      <w:marBottom w:val="0"/>
      <w:divBdr>
        <w:top w:val="none" w:sz="0" w:space="0" w:color="auto"/>
        <w:left w:val="none" w:sz="0" w:space="0" w:color="auto"/>
        <w:bottom w:val="none" w:sz="0" w:space="0" w:color="auto"/>
        <w:right w:val="none" w:sz="0" w:space="0" w:color="auto"/>
      </w:divBdr>
    </w:div>
    <w:div w:id="1472166293">
      <w:bodyDiv w:val="1"/>
      <w:marLeft w:val="0"/>
      <w:marRight w:val="0"/>
      <w:marTop w:val="0"/>
      <w:marBottom w:val="0"/>
      <w:divBdr>
        <w:top w:val="none" w:sz="0" w:space="0" w:color="auto"/>
        <w:left w:val="none" w:sz="0" w:space="0" w:color="auto"/>
        <w:bottom w:val="none" w:sz="0" w:space="0" w:color="auto"/>
        <w:right w:val="none" w:sz="0" w:space="0" w:color="auto"/>
      </w:divBdr>
    </w:div>
    <w:div w:id="1473400182">
      <w:bodyDiv w:val="1"/>
      <w:marLeft w:val="0"/>
      <w:marRight w:val="0"/>
      <w:marTop w:val="0"/>
      <w:marBottom w:val="0"/>
      <w:divBdr>
        <w:top w:val="none" w:sz="0" w:space="0" w:color="auto"/>
        <w:left w:val="none" w:sz="0" w:space="0" w:color="auto"/>
        <w:bottom w:val="none" w:sz="0" w:space="0" w:color="auto"/>
        <w:right w:val="none" w:sz="0" w:space="0" w:color="auto"/>
      </w:divBdr>
    </w:div>
    <w:div w:id="1473983604">
      <w:bodyDiv w:val="1"/>
      <w:marLeft w:val="0"/>
      <w:marRight w:val="0"/>
      <w:marTop w:val="0"/>
      <w:marBottom w:val="0"/>
      <w:divBdr>
        <w:top w:val="none" w:sz="0" w:space="0" w:color="auto"/>
        <w:left w:val="none" w:sz="0" w:space="0" w:color="auto"/>
        <w:bottom w:val="none" w:sz="0" w:space="0" w:color="auto"/>
        <w:right w:val="none" w:sz="0" w:space="0" w:color="auto"/>
      </w:divBdr>
    </w:div>
    <w:div w:id="1474516585">
      <w:bodyDiv w:val="1"/>
      <w:marLeft w:val="0"/>
      <w:marRight w:val="0"/>
      <w:marTop w:val="0"/>
      <w:marBottom w:val="0"/>
      <w:divBdr>
        <w:top w:val="none" w:sz="0" w:space="0" w:color="auto"/>
        <w:left w:val="none" w:sz="0" w:space="0" w:color="auto"/>
        <w:bottom w:val="none" w:sz="0" w:space="0" w:color="auto"/>
        <w:right w:val="none" w:sz="0" w:space="0" w:color="auto"/>
      </w:divBdr>
    </w:div>
    <w:div w:id="1477065231">
      <w:bodyDiv w:val="1"/>
      <w:marLeft w:val="0"/>
      <w:marRight w:val="0"/>
      <w:marTop w:val="0"/>
      <w:marBottom w:val="0"/>
      <w:divBdr>
        <w:top w:val="none" w:sz="0" w:space="0" w:color="auto"/>
        <w:left w:val="none" w:sz="0" w:space="0" w:color="auto"/>
        <w:bottom w:val="none" w:sz="0" w:space="0" w:color="auto"/>
        <w:right w:val="none" w:sz="0" w:space="0" w:color="auto"/>
      </w:divBdr>
    </w:div>
    <w:div w:id="1482653077">
      <w:bodyDiv w:val="1"/>
      <w:marLeft w:val="0"/>
      <w:marRight w:val="0"/>
      <w:marTop w:val="0"/>
      <w:marBottom w:val="0"/>
      <w:divBdr>
        <w:top w:val="none" w:sz="0" w:space="0" w:color="auto"/>
        <w:left w:val="none" w:sz="0" w:space="0" w:color="auto"/>
        <w:bottom w:val="none" w:sz="0" w:space="0" w:color="auto"/>
        <w:right w:val="none" w:sz="0" w:space="0" w:color="auto"/>
      </w:divBdr>
    </w:div>
    <w:div w:id="1484420641">
      <w:bodyDiv w:val="1"/>
      <w:marLeft w:val="0"/>
      <w:marRight w:val="0"/>
      <w:marTop w:val="0"/>
      <w:marBottom w:val="0"/>
      <w:divBdr>
        <w:top w:val="none" w:sz="0" w:space="0" w:color="auto"/>
        <w:left w:val="none" w:sz="0" w:space="0" w:color="auto"/>
        <w:bottom w:val="none" w:sz="0" w:space="0" w:color="auto"/>
        <w:right w:val="none" w:sz="0" w:space="0" w:color="auto"/>
      </w:divBdr>
    </w:div>
    <w:div w:id="1485513784">
      <w:bodyDiv w:val="1"/>
      <w:marLeft w:val="0"/>
      <w:marRight w:val="0"/>
      <w:marTop w:val="0"/>
      <w:marBottom w:val="0"/>
      <w:divBdr>
        <w:top w:val="none" w:sz="0" w:space="0" w:color="auto"/>
        <w:left w:val="none" w:sz="0" w:space="0" w:color="auto"/>
        <w:bottom w:val="none" w:sz="0" w:space="0" w:color="auto"/>
        <w:right w:val="none" w:sz="0" w:space="0" w:color="auto"/>
      </w:divBdr>
    </w:div>
    <w:div w:id="1491828624">
      <w:bodyDiv w:val="1"/>
      <w:marLeft w:val="0"/>
      <w:marRight w:val="0"/>
      <w:marTop w:val="0"/>
      <w:marBottom w:val="0"/>
      <w:divBdr>
        <w:top w:val="none" w:sz="0" w:space="0" w:color="auto"/>
        <w:left w:val="none" w:sz="0" w:space="0" w:color="auto"/>
        <w:bottom w:val="none" w:sz="0" w:space="0" w:color="auto"/>
        <w:right w:val="none" w:sz="0" w:space="0" w:color="auto"/>
      </w:divBdr>
    </w:div>
    <w:div w:id="1494375958">
      <w:bodyDiv w:val="1"/>
      <w:marLeft w:val="0"/>
      <w:marRight w:val="0"/>
      <w:marTop w:val="0"/>
      <w:marBottom w:val="0"/>
      <w:divBdr>
        <w:top w:val="none" w:sz="0" w:space="0" w:color="auto"/>
        <w:left w:val="none" w:sz="0" w:space="0" w:color="auto"/>
        <w:bottom w:val="none" w:sz="0" w:space="0" w:color="auto"/>
        <w:right w:val="none" w:sz="0" w:space="0" w:color="auto"/>
      </w:divBdr>
    </w:div>
    <w:div w:id="1497963849">
      <w:bodyDiv w:val="1"/>
      <w:marLeft w:val="0"/>
      <w:marRight w:val="0"/>
      <w:marTop w:val="0"/>
      <w:marBottom w:val="0"/>
      <w:divBdr>
        <w:top w:val="none" w:sz="0" w:space="0" w:color="auto"/>
        <w:left w:val="none" w:sz="0" w:space="0" w:color="auto"/>
        <w:bottom w:val="none" w:sz="0" w:space="0" w:color="auto"/>
        <w:right w:val="none" w:sz="0" w:space="0" w:color="auto"/>
      </w:divBdr>
    </w:div>
    <w:div w:id="1499151968">
      <w:bodyDiv w:val="1"/>
      <w:marLeft w:val="0"/>
      <w:marRight w:val="0"/>
      <w:marTop w:val="0"/>
      <w:marBottom w:val="0"/>
      <w:divBdr>
        <w:top w:val="none" w:sz="0" w:space="0" w:color="auto"/>
        <w:left w:val="none" w:sz="0" w:space="0" w:color="auto"/>
        <w:bottom w:val="none" w:sz="0" w:space="0" w:color="auto"/>
        <w:right w:val="none" w:sz="0" w:space="0" w:color="auto"/>
      </w:divBdr>
    </w:div>
    <w:div w:id="1503277725">
      <w:bodyDiv w:val="1"/>
      <w:marLeft w:val="0"/>
      <w:marRight w:val="0"/>
      <w:marTop w:val="0"/>
      <w:marBottom w:val="0"/>
      <w:divBdr>
        <w:top w:val="none" w:sz="0" w:space="0" w:color="auto"/>
        <w:left w:val="none" w:sz="0" w:space="0" w:color="auto"/>
        <w:bottom w:val="none" w:sz="0" w:space="0" w:color="auto"/>
        <w:right w:val="none" w:sz="0" w:space="0" w:color="auto"/>
      </w:divBdr>
    </w:div>
    <w:div w:id="1506554517">
      <w:bodyDiv w:val="1"/>
      <w:marLeft w:val="0"/>
      <w:marRight w:val="0"/>
      <w:marTop w:val="0"/>
      <w:marBottom w:val="0"/>
      <w:divBdr>
        <w:top w:val="none" w:sz="0" w:space="0" w:color="auto"/>
        <w:left w:val="none" w:sz="0" w:space="0" w:color="auto"/>
        <w:bottom w:val="none" w:sz="0" w:space="0" w:color="auto"/>
        <w:right w:val="none" w:sz="0" w:space="0" w:color="auto"/>
      </w:divBdr>
    </w:div>
    <w:div w:id="1506893250">
      <w:bodyDiv w:val="1"/>
      <w:marLeft w:val="0"/>
      <w:marRight w:val="0"/>
      <w:marTop w:val="0"/>
      <w:marBottom w:val="0"/>
      <w:divBdr>
        <w:top w:val="none" w:sz="0" w:space="0" w:color="auto"/>
        <w:left w:val="none" w:sz="0" w:space="0" w:color="auto"/>
        <w:bottom w:val="none" w:sz="0" w:space="0" w:color="auto"/>
        <w:right w:val="none" w:sz="0" w:space="0" w:color="auto"/>
      </w:divBdr>
    </w:div>
    <w:div w:id="1514958574">
      <w:bodyDiv w:val="1"/>
      <w:marLeft w:val="0"/>
      <w:marRight w:val="0"/>
      <w:marTop w:val="0"/>
      <w:marBottom w:val="0"/>
      <w:divBdr>
        <w:top w:val="none" w:sz="0" w:space="0" w:color="auto"/>
        <w:left w:val="none" w:sz="0" w:space="0" w:color="auto"/>
        <w:bottom w:val="none" w:sz="0" w:space="0" w:color="auto"/>
        <w:right w:val="none" w:sz="0" w:space="0" w:color="auto"/>
      </w:divBdr>
    </w:div>
    <w:div w:id="1516962430">
      <w:bodyDiv w:val="1"/>
      <w:marLeft w:val="0"/>
      <w:marRight w:val="0"/>
      <w:marTop w:val="0"/>
      <w:marBottom w:val="0"/>
      <w:divBdr>
        <w:top w:val="none" w:sz="0" w:space="0" w:color="auto"/>
        <w:left w:val="none" w:sz="0" w:space="0" w:color="auto"/>
        <w:bottom w:val="none" w:sz="0" w:space="0" w:color="auto"/>
        <w:right w:val="none" w:sz="0" w:space="0" w:color="auto"/>
      </w:divBdr>
    </w:div>
    <w:div w:id="1517427588">
      <w:bodyDiv w:val="1"/>
      <w:marLeft w:val="0"/>
      <w:marRight w:val="0"/>
      <w:marTop w:val="0"/>
      <w:marBottom w:val="0"/>
      <w:divBdr>
        <w:top w:val="none" w:sz="0" w:space="0" w:color="auto"/>
        <w:left w:val="none" w:sz="0" w:space="0" w:color="auto"/>
        <w:bottom w:val="none" w:sz="0" w:space="0" w:color="auto"/>
        <w:right w:val="none" w:sz="0" w:space="0" w:color="auto"/>
      </w:divBdr>
    </w:div>
    <w:div w:id="1527519434">
      <w:bodyDiv w:val="1"/>
      <w:marLeft w:val="0"/>
      <w:marRight w:val="0"/>
      <w:marTop w:val="0"/>
      <w:marBottom w:val="0"/>
      <w:divBdr>
        <w:top w:val="none" w:sz="0" w:space="0" w:color="auto"/>
        <w:left w:val="none" w:sz="0" w:space="0" w:color="auto"/>
        <w:bottom w:val="none" w:sz="0" w:space="0" w:color="auto"/>
        <w:right w:val="none" w:sz="0" w:space="0" w:color="auto"/>
      </w:divBdr>
    </w:div>
    <w:div w:id="1537424155">
      <w:bodyDiv w:val="1"/>
      <w:marLeft w:val="0"/>
      <w:marRight w:val="0"/>
      <w:marTop w:val="0"/>
      <w:marBottom w:val="0"/>
      <w:divBdr>
        <w:top w:val="none" w:sz="0" w:space="0" w:color="auto"/>
        <w:left w:val="none" w:sz="0" w:space="0" w:color="auto"/>
        <w:bottom w:val="none" w:sz="0" w:space="0" w:color="auto"/>
        <w:right w:val="none" w:sz="0" w:space="0" w:color="auto"/>
      </w:divBdr>
    </w:div>
    <w:div w:id="1540706584">
      <w:bodyDiv w:val="1"/>
      <w:marLeft w:val="0"/>
      <w:marRight w:val="0"/>
      <w:marTop w:val="0"/>
      <w:marBottom w:val="0"/>
      <w:divBdr>
        <w:top w:val="none" w:sz="0" w:space="0" w:color="auto"/>
        <w:left w:val="none" w:sz="0" w:space="0" w:color="auto"/>
        <w:bottom w:val="none" w:sz="0" w:space="0" w:color="auto"/>
        <w:right w:val="none" w:sz="0" w:space="0" w:color="auto"/>
      </w:divBdr>
    </w:div>
    <w:div w:id="1541164593">
      <w:bodyDiv w:val="1"/>
      <w:marLeft w:val="0"/>
      <w:marRight w:val="0"/>
      <w:marTop w:val="0"/>
      <w:marBottom w:val="0"/>
      <w:divBdr>
        <w:top w:val="none" w:sz="0" w:space="0" w:color="auto"/>
        <w:left w:val="none" w:sz="0" w:space="0" w:color="auto"/>
        <w:bottom w:val="none" w:sz="0" w:space="0" w:color="auto"/>
        <w:right w:val="none" w:sz="0" w:space="0" w:color="auto"/>
      </w:divBdr>
    </w:div>
    <w:div w:id="1547646027">
      <w:bodyDiv w:val="1"/>
      <w:marLeft w:val="0"/>
      <w:marRight w:val="0"/>
      <w:marTop w:val="0"/>
      <w:marBottom w:val="0"/>
      <w:divBdr>
        <w:top w:val="none" w:sz="0" w:space="0" w:color="auto"/>
        <w:left w:val="none" w:sz="0" w:space="0" w:color="auto"/>
        <w:bottom w:val="none" w:sz="0" w:space="0" w:color="auto"/>
        <w:right w:val="none" w:sz="0" w:space="0" w:color="auto"/>
      </w:divBdr>
    </w:div>
    <w:div w:id="1555779236">
      <w:bodyDiv w:val="1"/>
      <w:marLeft w:val="0"/>
      <w:marRight w:val="0"/>
      <w:marTop w:val="0"/>
      <w:marBottom w:val="0"/>
      <w:divBdr>
        <w:top w:val="none" w:sz="0" w:space="0" w:color="auto"/>
        <w:left w:val="none" w:sz="0" w:space="0" w:color="auto"/>
        <w:bottom w:val="none" w:sz="0" w:space="0" w:color="auto"/>
        <w:right w:val="none" w:sz="0" w:space="0" w:color="auto"/>
      </w:divBdr>
    </w:div>
    <w:div w:id="1568681860">
      <w:bodyDiv w:val="1"/>
      <w:marLeft w:val="0"/>
      <w:marRight w:val="0"/>
      <w:marTop w:val="0"/>
      <w:marBottom w:val="0"/>
      <w:divBdr>
        <w:top w:val="none" w:sz="0" w:space="0" w:color="auto"/>
        <w:left w:val="none" w:sz="0" w:space="0" w:color="auto"/>
        <w:bottom w:val="none" w:sz="0" w:space="0" w:color="auto"/>
        <w:right w:val="none" w:sz="0" w:space="0" w:color="auto"/>
      </w:divBdr>
    </w:div>
    <w:div w:id="1569150637">
      <w:bodyDiv w:val="1"/>
      <w:marLeft w:val="0"/>
      <w:marRight w:val="0"/>
      <w:marTop w:val="0"/>
      <w:marBottom w:val="0"/>
      <w:divBdr>
        <w:top w:val="none" w:sz="0" w:space="0" w:color="auto"/>
        <w:left w:val="none" w:sz="0" w:space="0" w:color="auto"/>
        <w:bottom w:val="none" w:sz="0" w:space="0" w:color="auto"/>
        <w:right w:val="none" w:sz="0" w:space="0" w:color="auto"/>
      </w:divBdr>
    </w:div>
    <w:div w:id="1570462173">
      <w:bodyDiv w:val="1"/>
      <w:marLeft w:val="0"/>
      <w:marRight w:val="0"/>
      <w:marTop w:val="0"/>
      <w:marBottom w:val="0"/>
      <w:divBdr>
        <w:top w:val="none" w:sz="0" w:space="0" w:color="auto"/>
        <w:left w:val="none" w:sz="0" w:space="0" w:color="auto"/>
        <w:bottom w:val="none" w:sz="0" w:space="0" w:color="auto"/>
        <w:right w:val="none" w:sz="0" w:space="0" w:color="auto"/>
      </w:divBdr>
    </w:div>
    <w:div w:id="1580476832">
      <w:bodyDiv w:val="1"/>
      <w:marLeft w:val="0"/>
      <w:marRight w:val="0"/>
      <w:marTop w:val="0"/>
      <w:marBottom w:val="0"/>
      <w:divBdr>
        <w:top w:val="none" w:sz="0" w:space="0" w:color="auto"/>
        <w:left w:val="none" w:sz="0" w:space="0" w:color="auto"/>
        <w:bottom w:val="none" w:sz="0" w:space="0" w:color="auto"/>
        <w:right w:val="none" w:sz="0" w:space="0" w:color="auto"/>
      </w:divBdr>
    </w:div>
    <w:div w:id="1583490457">
      <w:bodyDiv w:val="1"/>
      <w:marLeft w:val="0"/>
      <w:marRight w:val="0"/>
      <w:marTop w:val="0"/>
      <w:marBottom w:val="0"/>
      <w:divBdr>
        <w:top w:val="none" w:sz="0" w:space="0" w:color="auto"/>
        <w:left w:val="none" w:sz="0" w:space="0" w:color="auto"/>
        <w:bottom w:val="none" w:sz="0" w:space="0" w:color="auto"/>
        <w:right w:val="none" w:sz="0" w:space="0" w:color="auto"/>
      </w:divBdr>
    </w:div>
    <w:div w:id="1583643028">
      <w:bodyDiv w:val="1"/>
      <w:marLeft w:val="0"/>
      <w:marRight w:val="0"/>
      <w:marTop w:val="0"/>
      <w:marBottom w:val="0"/>
      <w:divBdr>
        <w:top w:val="none" w:sz="0" w:space="0" w:color="auto"/>
        <w:left w:val="none" w:sz="0" w:space="0" w:color="auto"/>
        <w:bottom w:val="none" w:sz="0" w:space="0" w:color="auto"/>
        <w:right w:val="none" w:sz="0" w:space="0" w:color="auto"/>
      </w:divBdr>
    </w:div>
    <w:div w:id="1584559734">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192289">
      <w:bodyDiv w:val="1"/>
      <w:marLeft w:val="0"/>
      <w:marRight w:val="0"/>
      <w:marTop w:val="0"/>
      <w:marBottom w:val="0"/>
      <w:divBdr>
        <w:top w:val="none" w:sz="0" w:space="0" w:color="auto"/>
        <w:left w:val="none" w:sz="0" w:space="0" w:color="auto"/>
        <w:bottom w:val="none" w:sz="0" w:space="0" w:color="auto"/>
        <w:right w:val="none" w:sz="0" w:space="0" w:color="auto"/>
      </w:divBdr>
    </w:div>
    <w:div w:id="1591236724">
      <w:bodyDiv w:val="1"/>
      <w:marLeft w:val="0"/>
      <w:marRight w:val="0"/>
      <w:marTop w:val="0"/>
      <w:marBottom w:val="0"/>
      <w:divBdr>
        <w:top w:val="none" w:sz="0" w:space="0" w:color="auto"/>
        <w:left w:val="none" w:sz="0" w:space="0" w:color="auto"/>
        <w:bottom w:val="none" w:sz="0" w:space="0" w:color="auto"/>
        <w:right w:val="none" w:sz="0" w:space="0" w:color="auto"/>
      </w:divBdr>
    </w:div>
    <w:div w:id="1593735648">
      <w:bodyDiv w:val="1"/>
      <w:marLeft w:val="0"/>
      <w:marRight w:val="0"/>
      <w:marTop w:val="0"/>
      <w:marBottom w:val="0"/>
      <w:divBdr>
        <w:top w:val="none" w:sz="0" w:space="0" w:color="auto"/>
        <w:left w:val="none" w:sz="0" w:space="0" w:color="auto"/>
        <w:bottom w:val="none" w:sz="0" w:space="0" w:color="auto"/>
        <w:right w:val="none" w:sz="0" w:space="0" w:color="auto"/>
      </w:divBdr>
    </w:div>
    <w:div w:id="1600025468">
      <w:bodyDiv w:val="1"/>
      <w:marLeft w:val="0"/>
      <w:marRight w:val="0"/>
      <w:marTop w:val="0"/>
      <w:marBottom w:val="0"/>
      <w:divBdr>
        <w:top w:val="none" w:sz="0" w:space="0" w:color="auto"/>
        <w:left w:val="none" w:sz="0" w:space="0" w:color="auto"/>
        <w:bottom w:val="none" w:sz="0" w:space="0" w:color="auto"/>
        <w:right w:val="none" w:sz="0" w:space="0" w:color="auto"/>
      </w:divBdr>
    </w:div>
    <w:div w:id="1606959018">
      <w:bodyDiv w:val="1"/>
      <w:marLeft w:val="0"/>
      <w:marRight w:val="0"/>
      <w:marTop w:val="0"/>
      <w:marBottom w:val="0"/>
      <w:divBdr>
        <w:top w:val="none" w:sz="0" w:space="0" w:color="auto"/>
        <w:left w:val="none" w:sz="0" w:space="0" w:color="auto"/>
        <w:bottom w:val="none" w:sz="0" w:space="0" w:color="auto"/>
        <w:right w:val="none" w:sz="0" w:space="0" w:color="auto"/>
      </w:divBdr>
    </w:div>
    <w:div w:id="1614509777">
      <w:bodyDiv w:val="1"/>
      <w:marLeft w:val="0"/>
      <w:marRight w:val="0"/>
      <w:marTop w:val="0"/>
      <w:marBottom w:val="0"/>
      <w:divBdr>
        <w:top w:val="none" w:sz="0" w:space="0" w:color="auto"/>
        <w:left w:val="none" w:sz="0" w:space="0" w:color="auto"/>
        <w:bottom w:val="none" w:sz="0" w:space="0" w:color="auto"/>
        <w:right w:val="none" w:sz="0" w:space="0" w:color="auto"/>
      </w:divBdr>
    </w:div>
    <w:div w:id="1615940073">
      <w:bodyDiv w:val="1"/>
      <w:marLeft w:val="0"/>
      <w:marRight w:val="0"/>
      <w:marTop w:val="0"/>
      <w:marBottom w:val="0"/>
      <w:divBdr>
        <w:top w:val="none" w:sz="0" w:space="0" w:color="auto"/>
        <w:left w:val="none" w:sz="0" w:space="0" w:color="auto"/>
        <w:bottom w:val="none" w:sz="0" w:space="0" w:color="auto"/>
        <w:right w:val="none" w:sz="0" w:space="0" w:color="auto"/>
      </w:divBdr>
    </w:div>
    <w:div w:id="1623461890">
      <w:bodyDiv w:val="1"/>
      <w:marLeft w:val="0"/>
      <w:marRight w:val="0"/>
      <w:marTop w:val="0"/>
      <w:marBottom w:val="0"/>
      <w:divBdr>
        <w:top w:val="none" w:sz="0" w:space="0" w:color="auto"/>
        <w:left w:val="none" w:sz="0" w:space="0" w:color="auto"/>
        <w:bottom w:val="none" w:sz="0" w:space="0" w:color="auto"/>
        <w:right w:val="none" w:sz="0" w:space="0" w:color="auto"/>
      </w:divBdr>
    </w:div>
    <w:div w:id="1623876451">
      <w:bodyDiv w:val="1"/>
      <w:marLeft w:val="0"/>
      <w:marRight w:val="0"/>
      <w:marTop w:val="0"/>
      <w:marBottom w:val="0"/>
      <w:divBdr>
        <w:top w:val="none" w:sz="0" w:space="0" w:color="auto"/>
        <w:left w:val="none" w:sz="0" w:space="0" w:color="auto"/>
        <w:bottom w:val="none" w:sz="0" w:space="0" w:color="auto"/>
        <w:right w:val="none" w:sz="0" w:space="0" w:color="auto"/>
      </w:divBdr>
    </w:div>
    <w:div w:id="1625959779">
      <w:bodyDiv w:val="1"/>
      <w:marLeft w:val="0"/>
      <w:marRight w:val="0"/>
      <w:marTop w:val="0"/>
      <w:marBottom w:val="0"/>
      <w:divBdr>
        <w:top w:val="none" w:sz="0" w:space="0" w:color="auto"/>
        <w:left w:val="none" w:sz="0" w:space="0" w:color="auto"/>
        <w:bottom w:val="none" w:sz="0" w:space="0" w:color="auto"/>
        <w:right w:val="none" w:sz="0" w:space="0" w:color="auto"/>
      </w:divBdr>
    </w:div>
    <w:div w:id="1635869239">
      <w:bodyDiv w:val="1"/>
      <w:marLeft w:val="0"/>
      <w:marRight w:val="0"/>
      <w:marTop w:val="0"/>
      <w:marBottom w:val="0"/>
      <w:divBdr>
        <w:top w:val="none" w:sz="0" w:space="0" w:color="auto"/>
        <w:left w:val="none" w:sz="0" w:space="0" w:color="auto"/>
        <w:bottom w:val="none" w:sz="0" w:space="0" w:color="auto"/>
        <w:right w:val="none" w:sz="0" w:space="0" w:color="auto"/>
      </w:divBdr>
    </w:div>
    <w:div w:id="1646467774">
      <w:bodyDiv w:val="1"/>
      <w:marLeft w:val="0"/>
      <w:marRight w:val="0"/>
      <w:marTop w:val="0"/>
      <w:marBottom w:val="0"/>
      <w:divBdr>
        <w:top w:val="none" w:sz="0" w:space="0" w:color="auto"/>
        <w:left w:val="none" w:sz="0" w:space="0" w:color="auto"/>
        <w:bottom w:val="none" w:sz="0" w:space="0" w:color="auto"/>
        <w:right w:val="none" w:sz="0" w:space="0" w:color="auto"/>
      </w:divBdr>
    </w:div>
    <w:div w:id="1646472302">
      <w:bodyDiv w:val="1"/>
      <w:marLeft w:val="0"/>
      <w:marRight w:val="0"/>
      <w:marTop w:val="0"/>
      <w:marBottom w:val="0"/>
      <w:divBdr>
        <w:top w:val="none" w:sz="0" w:space="0" w:color="auto"/>
        <w:left w:val="none" w:sz="0" w:space="0" w:color="auto"/>
        <w:bottom w:val="none" w:sz="0" w:space="0" w:color="auto"/>
        <w:right w:val="none" w:sz="0" w:space="0" w:color="auto"/>
      </w:divBdr>
    </w:div>
    <w:div w:id="1648708722">
      <w:bodyDiv w:val="1"/>
      <w:marLeft w:val="0"/>
      <w:marRight w:val="0"/>
      <w:marTop w:val="0"/>
      <w:marBottom w:val="0"/>
      <w:divBdr>
        <w:top w:val="none" w:sz="0" w:space="0" w:color="auto"/>
        <w:left w:val="none" w:sz="0" w:space="0" w:color="auto"/>
        <w:bottom w:val="none" w:sz="0" w:space="0" w:color="auto"/>
        <w:right w:val="none" w:sz="0" w:space="0" w:color="auto"/>
      </w:divBdr>
    </w:div>
    <w:div w:id="1653171042">
      <w:bodyDiv w:val="1"/>
      <w:marLeft w:val="0"/>
      <w:marRight w:val="0"/>
      <w:marTop w:val="0"/>
      <w:marBottom w:val="0"/>
      <w:divBdr>
        <w:top w:val="none" w:sz="0" w:space="0" w:color="auto"/>
        <w:left w:val="none" w:sz="0" w:space="0" w:color="auto"/>
        <w:bottom w:val="none" w:sz="0" w:space="0" w:color="auto"/>
        <w:right w:val="none" w:sz="0" w:space="0" w:color="auto"/>
      </w:divBdr>
    </w:div>
    <w:div w:id="1656370748">
      <w:bodyDiv w:val="1"/>
      <w:marLeft w:val="0"/>
      <w:marRight w:val="0"/>
      <w:marTop w:val="0"/>
      <w:marBottom w:val="0"/>
      <w:divBdr>
        <w:top w:val="none" w:sz="0" w:space="0" w:color="auto"/>
        <w:left w:val="none" w:sz="0" w:space="0" w:color="auto"/>
        <w:bottom w:val="none" w:sz="0" w:space="0" w:color="auto"/>
        <w:right w:val="none" w:sz="0" w:space="0" w:color="auto"/>
      </w:divBdr>
    </w:div>
    <w:div w:id="1656689901">
      <w:bodyDiv w:val="1"/>
      <w:marLeft w:val="0"/>
      <w:marRight w:val="0"/>
      <w:marTop w:val="0"/>
      <w:marBottom w:val="0"/>
      <w:divBdr>
        <w:top w:val="none" w:sz="0" w:space="0" w:color="auto"/>
        <w:left w:val="none" w:sz="0" w:space="0" w:color="auto"/>
        <w:bottom w:val="none" w:sz="0" w:space="0" w:color="auto"/>
        <w:right w:val="none" w:sz="0" w:space="0" w:color="auto"/>
      </w:divBdr>
    </w:div>
    <w:div w:id="1662199198">
      <w:bodyDiv w:val="1"/>
      <w:marLeft w:val="0"/>
      <w:marRight w:val="0"/>
      <w:marTop w:val="0"/>
      <w:marBottom w:val="0"/>
      <w:divBdr>
        <w:top w:val="none" w:sz="0" w:space="0" w:color="auto"/>
        <w:left w:val="none" w:sz="0" w:space="0" w:color="auto"/>
        <w:bottom w:val="none" w:sz="0" w:space="0" w:color="auto"/>
        <w:right w:val="none" w:sz="0" w:space="0" w:color="auto"/>
      </w:divBdr>
    </w:div>
    <w:div w:id="1662926418">
      <w:bodyDiv w:val="1"/>
      <w:marLeft w:val="0"/>
      <w:marRight w:val="0"/>
      <w:marTop w:val="0"/>
      <w:marBottom w:val="0"/>
      <w:divBdr>
        <w:top w:val="none" w:sz="0" w:space="0" w:color="auto"/>
        <w:left w:val="none" w:sz="0" w:space="0" w:color="auto"/>
        <w:bottom w:val="none" w:sz="0" w:space="0" w:color="auto"/>
        <w:right w:val="none" w:sz="0" w:space="0" w:color="auto"/>
      </w:divBdr>
    </w:div>
    <w:div w:id="1670517624">
      <w:bodyDiv w:val="1"/>
      <w:marLeft w:val="0"/>
      <w:marRight w:val="0"/>
      <w:marTop w:val="0"/>
      <w:marBottom w:val="0"/>
      <w:divBdr>
        <w:top w:val="none" w:sz="0" w:space="0" w:color="auto"/>
        <w:left w:val="none" w:sz="0" w:space="0" w:color="auto"/>
        <w:bottom w:val="none" w:sz="0" w:space="0" w:color="auto"/>
        <w:right w:val="none" w:sz="0" w:space="0" w:color="auto"/>
      </w:divBdr>
    </w:div>
    <w:div w:id="1691836631">
      <w:bodyDiv w:val="1"/>
      <w:marLeft w:val="0"/>
      <w:marRight w:val="0"/>
      <w:marTop w:val="0"/>
      <w:marBottom w:val="0"/>
      <w:divBdr>
        <w:top w:val="none" w:sz="0" w:space="0" w:color="auto"/>
        <w:left w:val="none" w:sz="0" w:space="0" w:color="auto"/>
        <w:bottom w:val="none" w:sz="0" w:space="0" w:color="auto"/>
        <w:right w:val="none" w:sz="0" w:space="0" w:color="auto"/>
      </w:divBdr>
    </w:div>
    <w:div w:id="1692411914">
      <w:bodyDiv w:val="1"/>
      <w:marLeft w:val="0"/>
      <w:marRight w:val="0"/>
      <w:marTop w:val="0"/>
      <w:marBottom w:val="0"/>
      <w:divBdr>
        <w:top w:val="none" w:sz="0" w:space="0" w:color="auto"/>
        <w:left w:val="none" w:sz="0" w:space="0" w:color="auto"/>
        <w:bottom w:val="none" w:sz="0" w:space="0" w:color="auto"/>
        <w:right w:val="none" w:sz="0" w:space="0" w:color="auto"/>
      </w:divBdr>
    </w:div>
    <w:div w:id="1697845363">
      <w:bodyDiv w:val="1"/>
      <w:marLeft w:val="0"/>
      <w:marRight w:val="0"/>
      <w:marTop w:val="0"/>
      <w:marBottom w:val="0"/>
      <w:divBdr>
        <w:top w:val="none" w:sz="0" w:space="0" w:color="auto"/>
        <w:left w:val="none" w:sz="0" w:space="0" w:color="auto"/>
        <w:bottom w:val="none" w:sz="0" w:space="0" w:color="auto"/>
        <w:right w:val="none" w:sz="0" w:space="0" w:color="auto"/>
      </w:divBdr>
    </w:div>
    <w:div w:id="1708138645">
      <w:bodyDiv w:val="1"/>
      <w:marLeft w:val="0"/>
      <w:marRight w:val="0"/>
      <w:marTop w:val="0"/>
      <w:marBottom w:val="0"/>
      <w:divBdr>
        <w:top w:val="none" w:sz="0" w:space="0" w:color="auto"/>
        <w:left w:val="none" w:sz="0" w:space="0" w:color="auto"/>
        <w:bottom w:val="none" w:sz="0" w:space="0" w:color="auto"/>
        <w:right w:val="none" w:sz="0" w:space="0" w:color="auto"/>
      </w:divBdr>
    </w:div>
    <w:div w:id="1708676892">
      <w:bodyDiv w:val="1"/>
      <w:marLeft w:val="0"/>
      <w:marRight w:val="0"/>
      <w:marTop w:val="0"/>
      <w:marBottom w:val="0"/>
      <w:divBdr>
        <w:top w:val="none" w:sz="0" w:space="0" w:color="auto"/>
        <w:left w:val="none" w:sz="0" w:space="0" w:color="auto"/>
        <w:bottom w:val="none" w:sz="0" w:space="0" w:color="auto"/>
        <w:right w:val="none" w:sz="0" w:space="0" w:color="auto"/>
      </w:divBdr>
    </w:div>
    <w:div w:id="1710032200">
      <w:bodyDiv w:val="1"/>
      <w:marLeft w:val="0"/>
      <w:marRight w:val="0"/>
      <w:marTop w:val="0"/>
      <w:marBottom w:val="0"/>
      <w:divBdr>
        <w:top w:val="none" w:sz="0" w:space="0" w:color="auto"/>
        <w:left w:val="none" w:sz="0" w:space="0" w:color="auto"/>
        <w:bottom w:val="none" w:sz="0" w:space="0" w:color="auto"/>
        <w:right w:val="none" w:sz="0" w:space="0" w:color="auto"/>
      </w:divBdr>
    </w:div>
    <w:div w:id="1711761208">
      <w:bodyDiv w:val="1"/>
      <w:marLeft w:val="0"/>
      <w:marRight w:val="0"/>
      <w:marTop w:val="0"/>
      <w:marBottom w:val="0"/>
      <w:divBdr>
        <w:top w:val="none" w:sz="0" w:space="0" w:color="auto"/>
        <w:left w:val="none" w:sz="0" w:space="0" w:color="auto"/>
        <w:bottom w:val="none" w:sz="0" w:space="0" w:color="auto"/>
        <w:right w:val="none" w:sz="0" w:space="0" w:color="auto"/>
      </w:divBdr>
    </w:div>
    <w:div w:id="1711875755">
      <w:bodyDiv w:val="1"/>
      <w:marLeft w:val="0"/>
      <w:marRight w:val="0"/>
      <w:marTop w:val="0"/>
      <w:marBottom w:val="0"/>
      <w:divBdr>
        <w:top w:val="none" w:sz="0" w:space="0" w:color="auto"/>
        <w:left w:val="none" w:sz="0" w:space="0" w:color="auto"/>
        <w:bottom w:val="none" w:sz="0" w:space="0" w:color="auto"/>
        <w:right w:val="none" w:sz="0" w:space="0" w:color="auto"/>
      </w:divBdr>
    </w:div>
    <w:div w:id="1715344180">
      <w:bodyDiv w:val="1"/>
      <w:marLeft w:val="0"/>
      <w:marRight w:val="0"/>
      <w:marTop w:val="0"/>
      <w:marBottom w:val="0"/>
      <w:divBdr>
        <w:top w:val="none" w:sz="0" w:space="0" w:color="auto"/>
        <w:left w:val="none" w:sz="0" w:space="0" w:color="auto"/>
        <w:bottom w:val="none" w:sz="0" w:space="0" w:color="auto"/>
        <w:right w:val="none" w:sz="0" w:space="0" w:color="auto"/>
      </w:divBdr>
    </w:div>
    <w:div w:id="1719818888">
      <w:bodyDiv w:val="1"/>
      <w:marLeft w:val="0"/>
      <w:marRight w:val="0"/>
      <w:marTop w:val="0"/>
      <w:marBottom w:val="0"/>
      <w:divBdr>
        <w:top w:val="none" w:sz="0" w:space="0" w:color="auto"/>
        <w:left w:val="none" w:sz="0" w:space="0" w:color="auto"/>
        <w:bottom w:val="none" w:sz="0" w:space="0" w:color="auto"/>
        <w:right w:val="none" w:sz="0" w:space="0" w:color="auto"/>
      </w:divBdr>
    </w:div>
    <w:div w:id="1722168220">
      <w:bodyDiv w:val="1"/>
      <w:marLeft w:val="0"/>
      <w:marRight w:val="0"/>
      <w:marTop w:val="0"/>
      <w:marBottom w:val="0"/>
      <w:divBdr>
        <w:top w:val="none" w:sz="0" w:space="0" w:color="auto"/>
        <w:left w:val="none" w:sz="0" w:space="0" w:color="auto"/>
        <w:bottom w:val="none" w:sz="0" w:space="0" w:color="auto"/>
        <w:right w:val="none" w:sz="0" w:space="0" w:color="auto"/>
      </w:divBdr>
    </w:div>
    <w:div w:id="1727600909">
      <w:bodyDiv w:val="1"/>
      <w:marLeft w:val="0"/>
      <w:marRight w:val="0"/>
      <w:marTop w:val="0"/>
      <w:marBottom w:val="0"/>
      <w:divBdr>
        <w:top w:val="none" w:sz="0" w:space="0" w:color="auto"/>
        <w:left w:val="none" w:sz="0" w:space="0" w:color="auto"/>
        <w:bottom w:val="none" w:sz="0" w:space="0" w:color="auto"/>
        <w:right w:val="none" w:sz="0" w:space="0" w:color="auto"/>
      </w:divBdr>
    </w:div>
    <w:div w:id="1732003611">
      <w:bodyDiv w:val="1"/>
      <w:marLeft w:val="0"/>
      <w:marRight w:val="0"/>
      <w:marTop w:val="0"/>
      <w:marBottom w:val="0"/>
      <w:divBdr>
        <w:top w:val="none" w:sz="0" w:space="0" w:color="auto"/>
        <w:left w:val="none" w:sz="0" w:space="0" w:color="auto"/>
        <w:bottom w:val="none" w:sz="0" w:space="0" w:color="auto"/>
        <w:right w:val="none" w:sz="0" w:space="0" w:color="auto"/>
      </w:divBdr>
    </w:div>
    <w:div w:id="1738278990">
      <w:bodyDiv w:val="1"/>
      <w:marLeft w:val="0"/>
      <w:marRight w:val="0"/>
      <w:marTop w:val="0"/>
      <w:marBottom w:val="0"/>
      <w:divBdr>
        <w:top w:val="none" w:sz="0" w:space="0" w:color="auto"/>
        <w:left w:val="none" w:sz="0" w:space="0" w:color="auto"/>
        <w:bottom w:val="none" w:sz="0" w:space="0" w:color="auto"/>
        <w:right w:val="none" w:sz="0" w:space="0" w:color="auto"/>
      </w:divBdr>
    </w:div>
    <w:div w:id="1738434811">
      <w:bodyDiv w:val="1"/>
      <w:marLeft w:val="0"/>
      <w:marRight w:val="0"/>
      <w:marTop w:val="0"/>
      <w:marBottom w:val="0"/>
      <w:divBdr>
        <w:top w:val="none" w:sz="0" w:space="0" w:color="auto"/>
        <w:left w:val="none" w:sz="0" w:space="0" w:color="auto"/>
        <w:bottom w:val="none" w:sz="0" w:space="0" w:color="auto"/>
        <w:right w:val="none" w:sz="0" w:space="0" w:color="auto"/>
      </w:divBdr>
    </w:div>
    <w:div w:id="1742022485">
      <w:bodyDiv w:val="1"/>
      <w:marLeft w:val="0"/>
      <w:marRight w:val="0"/>
      <w:marTop w:val="0"/>
      <w:marBottom w:val="0"/>
      <w:divBdr>
        <w:top w:val="none" w:sz="0" w:space="0" w:color="auto"/>
        <w:left w:val="none" w:sz="0" w:space="0" w:color="auto"/>
        <w:bottom w:val="none" w:sz="0" w:space="0" w:color="auto"/>
        <w:right w:val="none" w:sz="0" w:space="0" w:color="auto"/>
      </w:divBdr>
    </w:div>
    <w:div w:id="1743789544">
      <w:bodyDiv w:val="1"/>
      <w:marLeft w:val="0"/>
      <w:marRight w:val="0"/>
      <w:marTop w:val="0"/>
      <w:marBottom w:val="0"/>
      <w:divBdr>
        <w:top w:val="none" w:sz="0" w:space="0" w:color="auto"/>
        <w:left w:val="none" w:sz="0" w:space="0" w:color="auto"/>
        <w:bottom w:val="none" w:sz="0" w:space="0" w:color="auto"/>
        <w:right w:val="none" w:sz="0" w:space="0" w:color="auto"/>
      </w:divBdr>
    </w:div>
    <w:div w:id="1745570823">
      <w:bodyDiv w:val="1"/>
      <w:marLeft w:val="0"/>
      <w:marRight w:val="0"/>
      <w:marTop w:val="0"/>
      <w:marBottom w:val="0"/>
      <w:divBdr>
        <w:top w:val="none" w:sz="0" w:space="0" w:color="auto"/>
        <w:left w:val="none" w:sz="0" w:space="0" w:color="auto"/>
        <w:bottom w:val="none" w:sz="0" w:space="0" w:color="auto"/>
        <w:right w:val="none" w:sz="0" w:space="0" w:color="auto"/>
      </w:divBdr>
    </w:div>
    <w:div w:id="1745683287">
      <w:bodyDiv w:val="1"/>
      <w:marLeft w:val="0"/>
      <w:marRight w:val="0"/>
      <w:marTop w:val="0"/>
      <w:marBottom w:val="0"/>
      <w:divBdr>
        <w:top w:val="none" w:sz="0" w:space="0" w:color="auto"/>
        <w:left w:val="none" w:sz="0" w:space="0" w:color="auto"/>
        <w:bottom w:val="none" w:sz="0" w:space="0" w:color="auto"/>
        <w:right w:val="none" w:sz="0" w:space="0" w:color="auto"/>
      </w:divBdr>
    </w:div>
    <w:div w:id="1746494222">
      <w:bodyDiv w:val="1"/>
      <w:marLeft w:val="0"/>
      <w:marRight w:val="0"/>
      <w:marTop w:val="0"/>
      <w:marBottom w:val="0"/>
      <w:divBdr>
        <w:top w:val="none" w:sz="0" w:space="0" w:color="auto"/>
        <w:left w:val="none" w:sz="0" w:space="0" w:color="auto"/>
        <w:bottom w:val="none" w:sz="0" w:space="0" w:color="auto"/>
        <w:right w:val="none" w:sz="0" w:space="0" w:color="auto"/>
      </w:divBdr>
    </w:div>
    <w:div w:id="1750885483">
      <w:bodyDiv w:val="1"/>
      <w:marLeft w:val="0"/>
      <w:marRight w:val="0"/>
      <w:marTop w:val="0"/>
      <w:marBottom w:val="0"/>
      <w:divBdr>
        <w:top w:val="none" w:sz="0" w:space="0" w:color="auto"/>
        <w:left w:val="none" w:sz="0" w:space="0" w:color="auto"/>
        <w:bottom w:val="none" w:sz="0" w:space="0" w:color="auto"/>
        <w:right w:val="none" w:sz="0" w:space="0" w:color="auto"/>
      </w:divBdr>
    </w:div>
    <w:div w:id="1751998166">
      <w:bodyDiv w:val="1"/>
      <w:marLeft w:val="0"/>
      <w:marRight w:val="0"/>
      <w:marTop w:val="0"/>
      <w:marBottom w:val="0"/>
      <w:divBdr>
        <w:top w:val="none" w:sz="0" w:space="0" w:color="auto"/>
        <w:left w:val="none" w:sz="0" w:space="0" w:color="auto"/>
        <w:bottom w:val="none" w:sz="0" w:space="0" w:color="auto"/>
        <w:right w:val="none" w:sz="0" w:space="0" w:color="auto"/>
      </w:divBdr>
    </w:div>
    <w:div w:id="1752657737">
      <w:bodyDiv w:val="1"/>
      <w:marLeft w:val="0"/>
      <w:marRight w:val="0"/>
      <w:marTop w:val="0"/>
      <w:marBottom w:val="0"/>
      <w:divBdr>
        <w:top w:val="none" w:sz="0" w:space="0" w:color="auto"/>
        <w:left w:val="none" w:sz="0" w:space="0" w:color="auto"/>
        <w:bottom w:val="none" w:sz="0" w:space="0" w:color="auto"/>
        <w:right w:val="none" w:sz="0" w:space="0" w:color="auto"/>
      </w:divBdr>
    </w:div>
    <w:div w:id="1754357500">
      <w:bodyDiv w:val="1"/>
      <w:marLeft w:val="0"/>
      <w:marRight w:val="0"/>
      <w:marTop w:val="0"/>
      <w:marBottom w:val="0"/>
      <w:divBdr>
        <w:top w:val="none" w:sz="0" w:space="0" w:color="auto"/>
        <w:left w:val="none" w:sz="0" w:space="0" w:color="auto"/>
        <w:bottom w:val="none" w:sz="0" w:space="0" w:color="auto"/>
        <w:right w:val="none" w:sz="0" w:space="0" w:color="auto"/>
      </w:divBdr>
    </w:div>
    <w:div w:id="1755711369">
      <w:bodyDiv w:val="1"/>
      <w:marLeft w:val="0"/>
      <w:marRight w:val="0"/>
      <w:marTop w:val="0"/>
      <w:marBottom w:val="0"/>
      <w:divBdr>
        <w:top w:val="none" w:sz="0" w:space="0" w:color="auto"/>
        <w:left w:val="none" w:sz="0" w:space="0" w:color="auto"/>
        <w:bottom w:val="none" w:sz="0" w:space="0" w:color="auto"/>
        <w:right w:val="none" w:sz="0" w:space="0" w:color="auto"/>
      </w:divBdr>
    </w:div>
    <w:div w:id="1757021980">
      <w:bodyDiv w:val="1"/>
      <w:marLeft w:val="0"/>
      <w:marRight w:val="0"/>
      <w:marTop w:val="0"/>
      <w:marBottom w:val="0"/>
      <w:divBdr>
        <w:top w:val="none" w:sz="0" w:space="0" w:color="auto"/>
        <w:left w:val="none" w:sz="0" w:space="0" w:color="auto"/>
        <w:bottom w:val="none" w:sz="0" w:space="0" w:color="auto"/>
        <w:right w:val="none" w:sz="0" w:space="0" w:color="auto"/>
      </w:divBdr>
    </w:div>
    <w:div w:id="1757242078">
      <w:bodyDiv w:val="1"/>
      <w:marLeft w:val="0"/>
      <w:marRight w:val="0"/>
      <w:marTop w:val="0"/>
      <w:marBottom w:val="0"/>
      <w:divBdr>
        <w:top w:val="none" w:sz="0" w:space="0" w:color="auto"/>
        <w:left w:val="none" w:sz="0" w:space="0" w:color="auto"/>
        <w:bottom w:val="none" w:sz="0" w:space="0" w:color="auto"/>
        <w:right w:val="none" w:sz="0" w:space="0" w:color="auto"/>
      </w:divBdr>
    </w:div>
    <w:div w:id="1761178806">
      <w:bodyDiv w:val="1"/>
      <w:marLeft w:val="0"/>
      <w:marRight w:val="0"/>
      <w:marTop w:val="0"/>
      <w:marBottom w:val="0"/>
      <w:divBdr>
        <w:top w:val="none" w:sz="0" w:space="0" w:color="auto"/>
        <w:left w:val="none" w:sz="0" w:space="0" w:color="auto"/>
        <w:bottom w:val="none" w:sz="0" w:space="0" w:color="auto"/>
        <w:right w:val="none" w:sz="0" w:space="0" w:color="auto"/>
      </w:divBdr>
    </w:div>
    <w:div w:id="1764447120">
      <w:bodyDiv w:val="1"/>
      <w:marLeft w:val="0"/>
      <w:marRight w:val="0"/>
      <w:marTop w:val="0"/>
      <w:marBottom w:val="0"/>
      <w:divBdr>
        <w:top w:val="none" w:sz="0" w:space="0" w:color="auto"/>
        <w:left w:val="none" w:sz="0" w:space="0" w:color="auto"/>
        <w:bottom w:val="none" w:sz="0" w:space="0" w:color="auto"/>
        <w:right w:val="none" w:sz="0" w:space="0" w:color="auto"/>
      </w:divBdr>
    </w:div>
    <w:div w:id="1769234089">
      <w:bodyDiv w:val="1"/>
      <w:marLeft w:val="0"/>
      <w:marRight w:val="0"/>
      <w:marTop w:val="0"/>
      <w:marBottom w:val="0"/>
      <w:divBdr>
        <w:top w:val="none" w:sz="0" w:space="0" w:color="auto"/>
        <w:left w:val="none" w:sz="0" w:space="0" w:color="auto"/>
        <w:bottom w:val="none" w:sz="0" w:space="0" w:color="auto"/>
        <w:right w:val="none" w:sz="0" w:space="0" w:color="auto"/>
      </w:divBdr>
    </w:div>
    <w:div w:id="1769695096">
      <w:bodyDiv w:val="1"/>
      <w:marLeft w:val="0"/>
      <w:marRight w:val="0"/>
      <w:marTop w:val="0"/>
      <w:marBottom w:val="0"/>
      <w:divBdr>
        <w:top w:val="none" w:sz="0" w:space="0" w:color="auto"/>
        <w:left w:val="none" w:sz="0" w:space="0" w:color="auto"/>
        <w:bottom w:val="none" w:sz="0" w:space="0" w:color="auto"/>
        <w:right w:val="none" w:sz="0" w:space="0" w:color="auto"/>
      </w:divBdr>
    </w:div>
    <w:div w:id="1769739572">
      <w:bodyDiv w:val="1"/>
      <w:marLeft w:val="0"/>
      <w:marRight w:val="0"/>
      <w:marTop w:val="0"/>
      <w:marBottom w:val="0"/>
      <w:divBdr>
        <w:top w:val="none" w:sz="0" w:space="0" w:color="auto"/>
        <w:left w:val="none" w:sz="0" w:space="0" w:color="auto"/>
        <w:bottom w:val="none" w:sz="0" w:space="0" w:color="auto"/>
        <w:right w:val="none" w:sz="0" w:space="0" w:color="auto"/>
      </w:divBdr>
    </w:div>
    <w:div w:id="1776710214">
      <w:bodyDiv w:val="1"/>
      <w:marLeft w:val="0"/>
      <w:marRight w:val="0"/>
      <w:marTop w:val="0"/>
      <w:marBottom w:val="0"/>
      <w:divBdr>
        <w:top w:val="none" w:sz="0" w:space="0" w:color="auto"/>
        <w:left w:val="none" w:sz="0" w:space="0" w:color="auto"/>
        <w:bottom w:val="none" w:sz="0" w:space="0" w:color="auto"/>
        <w:right w:val="none" w:sz="0" w:space="0" w:color="auto"/>
      </w:divBdr>
    </w:div>
    <w:div w:id="1780755226">
      <w:bodyDiv w:val="1"/>
      <w:marLeft w:val="0"/>
      <w:marRight w:val="0"/>
      <w:marTop w:val="0"/>
      <w:marBottom w:val="0"/>
      <w:divBdr>
        <w:top w:val="none" w:sz="0" w:space="0" w:color="auto"/>
        <w:left w:val="none" w:sz="0" w:space="0" w:color="auto"/>
        <w:bottom w:val="none" w:sz="0" w:space="0" w:color="auto"/>
        <w:right w:val="none" w:sz="0" w:space="0" w:color="auto"/>
      </w:divBdr>
    </w:div>
    <w:div w:id="1780760222">
      <w:bodyDiv w:val="1"/>
      <w:marLeft w:val="0"/>
      <w:marRight w:val="0"/>
      <w:marTop w:val="0"/>
      <w:marBottom w:val="0"/>
      <w:divBdr>
        <w:top w:val="none" w:sz="0" w:space="0" w:color="auto"/>
        <w:left w:val="none" w:sz="0" w:space="0" w:color="auto"/>
        <w:bottom w:val="none" w:sz="0" w:space="0" w:color="auto"/>
        <w:right w:val="none" w:sz="0" w:space="0" w:color="auto"/>
      </w:divBdr>
    </w:div>
    <w:div w:id="1783841209">
      <w:bodyDiv w:val="1"/>
      <w:marLeft w:val="0"/>
      <w:marRight w:val="0"/>
      <w:marTop w:val="0"/>
      <w:marBottom w:val="0"/>
      <w:divBdr>
        <w:top w:val="none" w:sz="0" w:space="0" w:color="auto"/>
        <w:left w:val="none" w:sz="0" w:space="0" w:color="auto"/>
        <w:bottom w:val="none" w:sz="0" w:space="0" w:color="auto"/>
        <w:right w:val="none" w:sz="0" w:space="0" w:color="auto"/>
      </w:divBdr>
    </w:div>
    <w:div w:id="1787965478">
      <w:bodyDiv w:val="1"/>
      <w:marLeft w:val="0"/>
      <w:marRight w:val="0"/>
      <w:marTop w:val="0"/>
      <w:marBottom w:val="0"/>
      <w:divBdr>
        <w:top w:val="none" w:sz="0" w:space="0" w:color="auto"/>
        <w:left w:val="none" w:sz="0" w:space="0" w:color="auto"/>
        <w:bottom w:val="none" w:sz="0" w:space="0" w:color="auto"/>
        <w:right w:val="none" w:sz="0" w:space="0" w:color="auto"/>
      </w:divBdr>
    </w:div>
    <w:div w:id="1793359203">
      <w:bodyDiv w:val="1"/>
      <w:marLeft w:val="0"/>
      <w:marRight w:val="0"/>
      <w:marTop w:val="0"/>
      <w:marBottom w:val="0"/>
      <w:divBdr>
        <w:top w:val="none" w:sz="0" w:space="0" w:color="auto"/>
        <w:left w:val="none" w:sz="0" w:space="0" w:color="auto"/>
        <w:bottom w:val="none" w:sz="0" w:space="0" w:color="auto"/>
        <w:right w:val="none" w:sz="0" w:space="0" w:color="auto"/>
      </w:divBdr>
    </w:div>
    <w:div w:id="1795636664">
      <w:bodyDiv w:val="1"/>
      <w:marLeft w:val="0"/>
      <w:marRight w:val="0"/>
      <w:marTop w:val="0"/>
      <w:marBottom w:val="0"/>
      <w:divBdr>
        <w:top w:val="none" w:sz="0" w:space="0" w:color="auto"/>
        <w:left w:val="none" w:sz="0" w:space="0" w:color="auto"/>
        <w:bottom w:val="none" w:sz="0" w:space="0" w:color="auto"/>
        <w:right w:val="none" w:sz="0" w:space="0" w:color="auto"/>
      </w:divBdr>
    </w:div>
    <w:div w:id="1799227533">
      <w:bodyDiv w:val="1"/>
      <w:marLeft w:val="0"/>
      <w:marRight w:val="0"/>
      <w:marTop w:val="0"/>
      <w:marBottom w:val="0"/>
      <w:divBdr>
        <w:top w:val="none" w:sz="0" w:space="0" w:color="auto"/>
        <w:left w:val="none" w:sz="0" w:space="0" w:color="auto"/>
        <w:bottom w:val="none" w:sz="0" w:space="0" w:color="auto"/>
        <w:right w:val="none" w:sz="0" w:space="0" w:color="auto"/>
      </w:divBdr>
    </w:div>
    <w:div w:id="1801923704">
      <w:bodyDiv w:val="1"/>
      <w:marLeft w:val="0"/>
      <w:marRight w:val="0"/>
      <w:marTop w:val="0"/>
      <w:marBottom w:val="0"/>
      <w:divBdr>
        <w:top w:val="none" w:sz="0" w:space="0" w:color="auto"/>
        <w:left w:val="none" w:sz="0" w:space="0" w:color="auto"/>
        <w:bottom w:val="none" w:sz="0" w:space="0" w:color="auto"/>
        <w:right w:val="none" w:sz="0" w:space="0" w:color="auto"/>
      </w:divBdr>
    </w:div>
    <w:div w:id="1810395174">
      <w:bodyDiv w:val="1"/>
      <w:marLeft w:val="0"/>
      <w:marRight w:val="0"/>
      <w:marTop w:val="0"/>
      <w:marBottom w:val="0"/>
      <w:divBdr>
        <w:top w:val="none" w:sz="0" w:space="0" w:color="auto"/>
        <w:left w:val="none" w:sz="0" w:space="0" w:color="auto"/>
        <w:bottom w:val="none" w:sz="0" w:space="0" w:color="auto"/>
        <w:right w:val="none" w:sz="0" w:space="0" w:color="auto"/>
      </w:divBdr>
    </w:div>
    <w:div w:id="1818764218">
      <w:bodyDiv w:val="1"/>
      <w:marLeft w:val="0"/>
      <w:marRight w:val="0"/>
      <w:marTop w:val="0"/>
      <w:marBottom w:val="0"/>
      <w:divBdr>
        <w:top w:val="none" w:sz="0" w:space="0" w:color="auto"/>
        <w:left w:val="none" w:sz="0" w:space="0" w:color="auto"/>
        <w:bottom w:val="none" w:sz="0" w:space="0" w:color="auto"/>
        <w:right w:val="none" w:sz="0" w:space="0" w:color="auto"/>
      </w:divBdr>
    </w:div>
    <w:div w:id="1819689780">
      <w:bodyDiv w:val="1"/>
      <w:marLeft w:val="0"/>
      <w:marRight w:val="0"/>
      <w:marTop w:val="0"/>
      <w:marBottom w:val="0"/>
      <w:divBdr>
        <w:top w:val="none" w:sz="0" w:space="0" w:color="auto"/>
        <w:left w:val="none" w:sz="0" w:space="0" w:color="auto"/>
        <w:bottom w:val="none" w:sz="0" w:space="0" w:color="auto"/>
        <w:right w:val="none" w:sz="0" w:space="0" w:color="auto"/>
      </w:divBdr>
    </w:div>
    <w:div w:id="1825774428">
      <w:bodyDiv w:val="1"/>
      <w:marLeft w:val="0"/>
      <w:marRight w:val="0"/>
      <w:marTop w:val="0"/>
      <w:marBottom w:val="0"/>
      <w:divBdr>
        <w:top w:val="none" w:sz="0" w:space="0" w:color="auto"/>
        <w:left w:val="none" w:sz="0" w:space="0" w:color="auto"/>
        <w:bottom w:val="none" w:sz="0" w:space="0" w:color="auto"/>
        <w:right w:val="none" w:sz="0" w:space="0" w:color="auto"/>
      </w:divBdr>
    </w:div>
    <w:div w:id="1827282042">
      <w:bodyDiv w:val="1"/>
      <w:marLeft w:val="0"/>
      <w:marRight w:val="0"/>
      <w:marTop w:val="0"/>
      <w:marBottom w:val="0"/>
      <w:divBdr>
        <w:top w:val="none" w:sz="0" w:space="0" w:color="auto"/>
        <w:left w:val="none" w:sz="0" w:space="0" w:color="auto"/>
        <w:bottom w:val="none" w:sz="0" w:space="0" w:color="auto"/>
        <w:right w:val="none" w:sz="0" w:space="0" w:color="auto"/>
      </w:divBdr>
    </w:div>
    <w:div w:id="1834179008">
      <w:bodyDiv w:val="1"/>
      <w:marLeft w:val="0"/>
      <w:marRight w:val="0"/>
      <w:marTop w:val="0"/>
      <w:marBottom w:val="0"/>
      <w:divBdr>
        <w:top w:val="none" w:sz="0" w:space="0" w:color="auto"/>
        <w:left w:val="none" w:sz="0" w:space="0" w:color="auto"/>
        <w:bottom w:val="none" w:sz="0" w:space="0" w:color="auto"/>
        <w:right w:val="none" w:sz="0" w:space="0" w:color="auto"/>
      </w:divBdr>
    </w:div>
    <w:div w:id="1836844567">
      <w:bodyDiv w:val="1"/>
      <w:marLeft w:val="0"/>
      <w:marRight w:val="0"/>
      <w:marTop w:val="0"/>
      <w:marBottom w:val="0"/>
      <w:divBdr>
        <w:top w:val="none" w:sz="0" w:space="0" w:color="auto"/>
        <w:left w:val="none" w:sz="0" w:space="0" w:color="auto"/>
        <w:bottom w:val="none" w:sz="0" w:space="0" w:color="auto"/>
        <w:right w:val="none" w:sz="0" w:space="0" w:color="auto"/>
      </w:divBdr>
    </w:div>
    <w:div w:id="1841118810">
      <w:bodyDiv w:val="1"/>
      <w:marLeft w:val="0"/>
      <w:marRight w:val="0"/>
      <w:marTop w:val="0"/>
      <w:marBottom w:val="0"/>
      <w:divBdr>
        <w:top w:val="none" w:sz="0" w:space="0" w:color="auto"/>
        <w:left w:val="none" w:sz="0" w:space="0" w:color="auto"/>
        <w:bottom w:val="none" w:sz="0" w:space="0" w:color="auto"/>
        <w:right w:val="none" w:sz="0" w:space="0" w:color="auto"/>
      </w:divBdr>
    </w:div>
    <w:div w:id="1841693926">
      <w:bodyDiv w:val="1"/>
      <w:marLeft w:val="0"/>
      <w:marRight w:val="0"/>
      <w:marTop w:val="0"/>
      <w:marBottom w:val="0"/>
      <w:divBdr>
        <w:top w:val="none" w:sz="0" w:space="0" w:color="auto"/>
        <w:left w:val="none" w:sz="0" w:space="0" w:color="auto"/>
        <w:bottom w:val="none" w:sz="0" w:space="0" w:color="auto"/>
        <w:right w:val="none" w:sz="0" w:space="0" w:color="auto"/>
      </w:divBdr>
    </w:div>
    <w:div w:id="1842499069">
      <w:bodyDiv w:val="1"/>
      <w:marLeft w:val="0"/>
      <w:marRight w:val="0"/>
      <w:marTop w:val="0"/>
      <w:marBottom w:val="0"/>
      <w:divBdr>
        <w:top w:val="none" w:sz="0" w:space="0" w:color="auto"/>
        <w:left w:val="none" w:sz="0" w:space="0" w:color="auto"/>
        <w:bottom w:val="none" w:sz="0" w:space="0" w:color="auto"/>
        <w:right w:val="none" w:sz="0" w:space="0" w:color="auto"/>
      </w:divBdr>
    </w:div>
    <w:div w:id="1852210254">
      <w:bodyDiv w:val="1"/>
      <w:marLeft w:val="0"/>
      <w:marRight w:val="0"/>
      <w:marTop w:val="0"/>
      <w:marBottom w:val="0"/>
      <w:divBdr>
        <w:top w:val="none" w:sz="0" w:space="0" w:color="auto"/>
        <w:left w:val="none" w:sz="0" w:space="0" w:color="auto"/>
        <w:bottom w:val="none" w:sz="0" w:space="0" w:color="auto"/>
        <w:right w:val="none" w:sz="0" w:space="0" w:color="auto"/>
      </w:divBdr>
    </w:div>
    <w:div w:id="1852455582">
      <w:bodyDiv w:val="1"/>
      <w:marLeft w:val="0"/>
      <w:marRight w:val="0"/>
      <w:marTop w:val="0"/>
      <w:marBottom w:val="0"/>
      <w:divBdr>
        <w:top w:val="none" w:sz="0" w:space="0" w:color="auto"/>
        <w:left w:val="none" w:sz="0" w:space="0" w:color="auto"/>
        <w:bottom w:val="none" w:sz="0" w:space="0" w:color="auto"/>
        <w:right w:val="none" w:sz="0" w:space="0" w:color="auto"/>
      </w:divBdr>
    </w:div>
    <w:div w:id="1867328834">
      <w:bodyDiv w:val="1"/>
      <w:marLeft w:val="0"/>
      <w:marRight w:val="0"/>
      <w:marTop w:val="0"/>
      <w:marBottom w:val="0"/>
      <w:divBdr>
        <w:top w:val="none" w:sz="0" w:space="0" w:color="auto"/>
        <w:left w:val="none" w:sz="0" w:space="0" w:color="auto"/>
        <w:bottom w:val="none" w:sz="0" w:space="0" w:color="auto"/>
        <w:right w:val="none" w:sz="0" w:space="0" w:color="auto"/>
      </w:divBdr>
    </w:div>
    <w:div w:id="1867670176">
      <w:bodyDiv w:val="1"/>
      <w:marLeft w:val="0"/>
      <w:marRight w:val="0"/>
      <w:marTop w:val="0"/>
      <w:marBottom w:val="0"/>
      <w:divBdr>
        <w:top w:val="none" w:sz="0" w:space="0" w:color="auto"/>
        <w:left w:val="none" w:sz="0" w:space="0" w:color="auto"/>
        <w:bottom w:val="none" w:sz="0" w:space="0" w:color="auto"/>
        <w:right w:val="none" w:sz="0" w:space="0" w:color="auto"/>
      </w:divBdr>
    </w:div>
    <w:div w:id="1867983935">
      <w:bodyDiv w:val="1"/>
      <w:marLeft w:val="0"/>
      <w:marRight w:val="0"/>
      <w:marTop w:val="0"/>
      <w:marBottom w:val="0"/>
      <w:divBdr>
        <w:top w:val="none" w:sz="0" w:space="0" w:color="auto"/>
        <w:left w:val="none" w:sz="0" w:space="0" w:color="auto"/>
        <w:bottom w:val="none" w:sz="0" w:space="0" w:color="auto"/>
        <w:right w:val="none" w:sz="0" w:space="0" w:color="auto"/>
      </w:divBdr>
    </w:div>
    <w:div w:id="1868709795">
      <w:bodyDiv w:val="1"/>
      <w:marLeft w:val="0"/>
      <w:marRight w:val="0"/>
      <w:marTop w:val="0"/>
      <w:marBottom w:val="0"/>
      <w:divBdr>
        <w:top w:val="none" w:sz="0" w:space="0" w:color="auto"/>
        <w:left w:val="none" w:sz="0" w:space="0" w:color="auto"/>
        <w:bottom w:val="none" w:sz="0" w:space="0" w:color="auto"/>
        <w:right w:val="none" w:sz="0" w:space="0" w:color="auto"/>
      </w:divBdr>
    </w:div>
    <w:div w:id="1871917273">
      <w:bodyDiv w:val="1"/>
      <w:marLeft w:val="0"/>
      <w:marRight w:val="0"/>
      <w:marTop w:val="0"/>
      <w:marBottom w:val="0"/>
      <w:divBdr>
        <w:top w:val="none" w:sz="0" w:space="0" w:color="auto"/>
        <w:left w:val="none" w:sz="0" w:space="0" w:color="auto"/>
        <w:bottom w:val="none" w:sz="0" w:space="0" w:color="auto"/>
        <w:right w:val="none" w:sz="0" w:space="0" w:color="auto"/>
      </w:divBdr>
    </w:div>
    <w:div w:id="1874925319">
      <w:bodyDiv w:val="1"/>
      <w:marLeft w:val="0"/>
      <w:marRight w:val="0"/>
      <w:marTop w:val="0"/>
      <w:marBottom w:val="0"/>
      <w:divBdr>
        <w:top w:val="none" w:sz="0" w:space="0" w:color="auto"/>
        <w:left w:val="none" w:sz="0" w:space="0" w:color="auto"/>
        <w:bottom w:val="none" w:sz="0" w:space="0" w:color="auto"/>
        <w:right w:val="none" w:sz="0" w:space="0" w:color="auto"/>
      </w:divBdr>
    </w:div>
    <w:div w:id="1877086761">
      <w:bodyDiv w:val="1"/>
      <w:marLeft w:val="0"/>
      <w:marRight w:val="0"/>
      <w:marTop w:val="0"/>
      <w:marBottom w:val="0"/>
      <w:divBdr>
        <w:top w:val="none" w:sz="0" w:space="0" w:color="auto"/>
        <w:left w:val="none" w:sz="0" w:space="0" w:color="auto"/>
        <w:bottom w:val="none" w:sz="0" w:space="0" w:color="auto"/>
        <w:right w:val="none" w:sz="0" w:space="0" w:color="auto"/>
      </w:divBdr>
    </w:div>
    <w:div w:id="1883635862">
      <w:bodyDiv w:val="1"/>
      <w:marLeft w:val="0"/>
      <w:marRight w:val="0"/>
      <w:marTop w:val="0"/>
      <w:marBottom w:val="0"/>
      <w:divBdr>
        <w:top w:val="none" w:sz="0" w:space="0" w:color="auto"/>
        <w:left w:val="none" w:sz="0" w:space="0" w:color="auto"/>
        <w:bottom w:val="none" w:sz="0" w:space="0" w:color="auto"/>
        <w:right w:val="none" w:sz="0" w:space="0" w:color="auto"/>
      </w:divBdr>
    </w:div>
    <w:div w:id="1891458059">
      <w:bodyDiv w:val="1"/>
      <w:marLeft w:val="0"/>
      <w:marRight w:val="0"/>
      <w:marTop w:val="0"/>
      <w:marBottom w:val="0"/>
      <w:divBdr>
        <w:top w:val="none" w:sz="0" w:space="0" w:color="auto"/>
        <w:left w:val="none" w:sz="0" w:space="0" w:color="auto"/>
        <w:bottom w:val="none" w:sz="0" w:space="0" w:color="auto"/>
        <w:right w:val="none" w:sz="0" w:space="0" w:color="auto"/>
      </w:divBdr>
    </w:div>
    <w:div w:id="1893343864">
      <w:bodyDiv w:val="1"/>
      <w:marLeft w:val="0"/>
      <w:marRight w:val="0"/>
      <w:marTop w:val="0"/>
      <w:marBottom w:val="0"/>
      <w:divBdr>
        <w:top w:val="none" w:sz="0" w:space="0" w:color="auto"/>
        <w:left w:val="none" w:sz="0" w:space="0" w:color="auto"/>
        <w:bottom w:val="none" w:sz="0" w:space="0" w:color="auto"/>
        <w:right w:val="none" w:sz="0" w:space="0" w:color="auto"/>
      </w:divBdr>
    </w:div>
    <w:div w:id="1894461707">
      <w:bodyDiv w:val="1"/>
      <w:marLeft w:val="0"/>
      <w:marRight w:val="0"/>
      <w:marTop w:val="0"/>
      <w:marBottom w:val="0"/>
      <w:divBdr>
        <w:top w:val="none" w:sz="0" w:space="0" w:color="auto"/>
        <w:left w:val="none" w:sz="0" w:space="0" w:color="auto"/>
        <w:bottom w:val="none" w:sz="0" w:space="0" w:color="auto"/>
        <w:right w:val="none" w:sz="0" w:space="0" w:color="auto"/>
      </w:divBdr>
    </w:div>
    <w:div w:id="1897622240">
      <w:bodyDiv w:val="1"/>
      <w:marLeft w:val="0"/>
      <w:marRight w:val="0"/>
      <w:marTop w:val="0"/>
      <w:marBottom w:val="0"/>
      <w:divBdr>
        <w:top w:val="none" w:sz="0" w:space="0" w:color="auto"/>
        <w:left w:val="none" w:sz="0" w:space="0" w:color="auto"/>
        <w:bottom w:val="none" w:sz="0" w:space="0" w:color="auto"/>
        <w:right w:val="none" w:sz="0" w:space="0" w:color="auto"/>
      </w:divBdr>
    </w:div>
    <w:div w:id="1898709042">
      <w:bodyDiv w:val="1"/>
      <w:marLeft w:val="0"/>
      <w:marRight w:val="0"/>
      <w:marTop w:val="0"/>
      <w:marBottom w:val="0"/>
      <w:divBdr>
        <w:top w:val="none" w:sz="0" w:space="0" w:color="auto"/>
        <w:left w:val="none" w:sz="0" w:space="0" w:color="auto"/>
        <w:bottom w:val="none" w:sz="0" w:space="0" w:color="auto"/>
        <w:right w:val="none" w:sz="0" w:space="0" w:color="auto"/>
      </w:divBdr>
    </w:div>
    <w:div w:id="1899122977">
      <w:bodyDiv w:val="1"/>
      <w:marLeft w:val="0"/>
      <w:marRight w:val="0"/>
      <w:marTop w:val="0"/>
      <w:marBottom w:val="0"/>
      <w:divBdr>
        <w:top w:val="none" w:sz="0" w:space="0" w:color="auto"/>
        <w:left w:val="none" w:sz="0" w:space="0" w:color="auto"/>
        <w:bottom w:val="none" w:sz="0" w:space="0" w:color="auto"/>
        <w:right w:val="none" w:sz="0" w:space="0" w:color="auto"/>
      </w:divBdr>
    </w:div>
    <w:div w:id="1900047370">
      <w:bodyDiv w:val="1"/>
      <w:marLeft w:val="0"/>
      <w:marRight w:val="0"/>
      <w:marTop w:val="0"/>
      <w:marBottom w:val="0"/>
      <w:divBdr>
        <w:top w:val="none" w:sz="0" w:space="0" w:color="auto"/>
        <w:left w:val="none" w:sz="0" w:space="0" w:color="auto"/>
        <w:bottom w:val="none" w:sz="0" w:space="0" w:color="auto"/>
        <w:right w:val="none" w:sz="0" w:space="0" w:color="auto"/>
      </w:divBdr>
    </w:div>
    <w:div w:id="1901667725">
      <w:bodyDiv w:val="1"/>
      <w:marLeft w:val="0"/>
      <w:marRight w:val="0"/>
      <w:marTop w:val="0"/>
      <w:marBottom w:val="0"/>
      <w:divBdr>
        <w:top w:val="none" w:sz="0" w:space="0" w:color="auto"/>
        <w:left w:val="none" w:sz="0" w:space="0" w:color="auto"/>
        <w:bottom w:val="none" w:sz="0" w:space="0" w:color="auto"/>
        <w:right w:val="none" w:sz="0" w:space="0" w:color="auto"/>
      </w:divBdr>
    </w:div>
    <w:div w:id="1904414429">
      <w:bodyDiv w:val="1"/>
      <w:marLeft w:val="0"/>
      <w:marRight w:val="0"/>
      <w:marTop w:val="0"/>
      <w:marBottom w:val="0"/>
      <w:divBdr>
        <w:top w:val="none" w:sz="0" w:space="0" w:color="auto"/>
        <w:left w:val="none" w:sz="0" w:space="0" w:color="auto"/>
        <w:bottom w:val="none" w:sz="0" w:space="0" w:color="auto"/>
        <w:right w:val="none" w:sz="0" w:space="0" w:color="auto"/>
      </w:divBdr>
    </w:div>
    <w:div w:id="1906988887">
      <w:bodyDiv w:val="1"/>
      <w:marLeft w:val="0"/>
      <w:marRight w:val="0"/>
      <w:marTop w:val="0"/>
      <w:marBottom w:val="0"/>
      <w:divBdr>
        <w:top w:val="none" w:sz="0" w:space="0" w:color="auto"/>
        <w:left w:val="none" w:sz="0" w:space="0" w:color="auto"/>
        <w:bottom w:val="none" w:sz="0" w:space="0" w:color="auto"/>
        <w:right w:val="none" w:sz="0" w:space="0" w:color="auto"/>
      </w:divBdr>
    </w:div>
    <w:div w:id="1917931068">
      <w:bodyDiv w:val="1"/>
      <w:marLeft w:val="0"/>
      <w:marRight w:val="0"/>
      <w:marTop w:val="0"/>
      <w:marBottom w:val="0"/>
      <w:divBdr>
        <w:top w:val="none" w:sz="0" w:space="0" w:color="auto"/>
        <w:left w:val="none" w:sz="0" w:space="0" w:color="auto"/>
        <w:bottom w:val="none" w:sz="0" w:space="0" w:color="auto"/>
        <w:right w:val="none" w:sz="0" w:space="0" w:color="auto"/>
      </w:divBdr>
    </w:div>
    <w:div w:id="1920170566">
      <w:bodyDiv w:val="1"/>
      <w:marLeft w:val="0"/>
      <w:marRight w:val="0"/>
      <w:marTop w:val="0"/>
      <w:marBottom w:val="0"/>
      <w:divBdr>
        <w:top w:val="none" w:sz="0" w:space="0" w:color="auto"/>
        <w:left w:val="none" w:sz="0" w:space="0" w:color="auto"/>
        <w:bottom w:val="none" w:sz="0" w:space="0" w:color="auto"/>
        <w:right w:val="none" w:sz="0" w:space="0" w:color="auto"/>
      </w:divBdr>
    </w:div>
    <w:div w:id="1924945526">
      <w:bodyDiv w:val="1"/>
      <w:marLeft w:val="0"/>
      <w:marRight w:val="0"/>
      <w:marTop w:val="0"/>
      <w:marBottom w:val="0"/>
      <w:divBdr>
        <w:top w:val="none" w:sz="0" w:space="0" w:color="auto"/>
        <w:left w:val="none" w:sz="0" w:space="0" w:color="auto"/>
        <w:bottom w:val="none" w:sz="0" w:space="0" w:color="auto"/>
        <w:right w:val="none" w:sz="0" w:space="0" w:color="auto"/>
      </w:divBdr>
    </w:div>
    <w:div w:id="1928032959">
      <w:bodyDiv w:val="1"/>
      <w:marLeft w:val="0"/>
      <w:marRight w:val="0"/>
      <w:marTop w:val="0"/>
      <w:marBottom w:val="0"/>
      <w:divBdr>
        <w:top w:val="none" w:sz="0" w:space="0" w:color="auto"/>
        <w:left w:val="none" w:sz="0" w:space="0" w:color="auto"/>
        <w:bottom w:val="none" w:sz="0" w:space="0" w:color="auto"/>
        <w:right w:val="none" w:sz="0" w:space="0" w:color="auto"/>
      </w:divBdr>
    </w:div>
    <w:div w:id="1937899753">
      <w:bodyDiv w:val="1"/>
      <w:marLeft w:val="0"/>
      <w:marRight w:val="0"/>
      <w:marTop w:val="0"/>
      <w:marBottom w:val="0"/>
      <w:divBdr>
        <w:top w:val="none" w:sz="0" w:space="0" w:color="auto"/>
        <w:left w:val="none" w:sz="0" w:space="0" w:color="auto"/>
        <w:bottom w:val="none" w:sz="0" w:space="0" w:color="auto"/>
        <w:right w:val="none" w:sz="0" w:space="0" w:color="auto"/>
      </w:divBdr>
    </w:div>
    <w:div w:id="1938711439">
      <w:bodyDiv w:val="1"/>
      <w:marLeft w:val="0"/>
      <w:marRight w:val="0"/>
      <w:marTop w:val="0"/>
      <w:marBottom w:val="0"/>
      <w:divBdr>
        <w:top w:val="none" w:sz="0" w:space="0" w:color="auto"/>
        <w:left w:val="none" w:sz="0" w:space="0" w:color="auto"/>
        <w:bottom w:val="none" w:sz="0" w:space="0" w:color="auto"/>
        <w:right w:val="none" w:sz="0" w:space="0" w:color="auto"/>
      </w:divBdr>
    </w:div>
    <w:div w:id="1944216544">
      <w:bodyDiv w:val="1"/>
      <w:marLeft w:val="0"/>
      <w:marRight w:val="0"/>
      <w:marTop w:val="0"/>
      <w:marBottom w:val="0"/>
      <w:divBdr>
        <w:top w:val="none" w:sz="0" w:space="0" w:color="auto"/>
        <w:left w:val="none" w:sz="0" w:space="0" w:color="auto"/>
        <w:bottom w:val="none" w:sz="0" w:space="0" w:color="auto"/>
        <w:right w:val="none" w:sz="0" w:space="0" w:color="auto"/>
      </w:divBdr>
    </w:div>
    <w:div w:id="1948808193">
      <w:bodyDiv w:val="1"/>
      <w:marLeft w:val="0"/>
      <w:marRight w:val="0"/>
      <w:marTop w:val="0"/>
      <w:marBottom w:val="0"/>
      <w:divBdr>
        <w:top w:val="none" w:sz="0" w:space="0" w:color="auto"/>
        <w:left w:val="none" w:sz="0" w:space="0" w:color="auto"/>
        <w:bottom w:val="none" w:sz="0" w:space="0" w:color="auto"/>
        <w:right w:val="none" w:sz="0" w:space="0" w:color="auto"/>
      </w:divBdr>
    </w:div>
    <w:div w:id="1950552108">
      <w:bodyDiv w:val="1"/>
      <w:marLeft w:val="0"/>
      <w:marRight w:val="0"/>
      <w:marTop w:val="0"/>
      <w:marBottom w:val="0"/>
      <w:divBdr>
        <w:top w:val="none" w:sz="0" w:space="0" w:color="auto"/>
        <w:left w:val="none" w:sz="0" w:space="0" w:color="auto"/>
        <w:bottom w:val="none" w:sz="0" w:space="0" w:color="auto"/>
        <w:right w:val="none" w:sz="0" w:space="0" w:color="auto"/>
      </w:divBdr>
    </w:div>
    <w:div w:id="1954241256">
      <w:bodyDiv w:val="1"/>
      <w:marLeft w:val="0"/>
      <w:marRight w:val="0"/>
      <w:marTop w:val="0"/>
      <w:marBottom w:val="0"/>
      <w:divBdr>
        <w:top w:val="none" w:sz="0" w:space="0" w:color="auto"/>
        <w:left w:val="none" w:sz="0" w:space="0" w:color="auto"/>
        <w:bottom w:val="none" w:sz="0" w:space="0" w:color="auto"/>
        <w:right w:val="none" w:sz="0" w:space="0" w:color="auto"/>
      </w:divBdr>
    </w:div>
    <w:div w:id="1963924762">
      <w:bodyDiv w:val="1"/>
      <w:marLeft w:val="0"/>
      <w:marRight w:val="0"/>
      <w:marTop w:val="0"/>
      <w:marBottom w:val="0"/>
      <w:divBdr>
        <w:top w:val="none" w:sz="0" w:space="0" w:color="auto"/>
        <w:left w:val="none" w:sz="0" w:space="0" w:color="auto"/>
        <w:bottom w:val="none" w:sz="0" w:space="0" w:color="auto"/>
        <w:right w:val="none" w:sz="0" w:space="0" w:color="auto"/>
      </w:divBdr>
    </w:div>
    <w:div w:id="1965648551">
      <w:bodyDiv w:val="1"/>
      <w:marLeft w:val="0"/>
      <w:marRight w:val="0"/>
      <w:marTop w:val="0"/>
      <w:marBottom w:val="0"/>
      <w:divBdr>
        <w:top w:val="none" w:sz="0" w:space="0" w:color="auto"/>
        <w:left w:val="none" w:sz="0" w:space="0" w:color="auto"/>
        <w:bottom w:val="none" w:sz="0" w:space="0" w:color="auto"/>
        <w:right w:val="none" w:sz="0" w:space="0" w:color="auto"/>
      </w:divBdr>
    </w:div>
    <w:div w:id="1972978994">
      <w:bodyDiv w:val="1"/>
      <w:marLeft w:val="0"/>
      <w:marRight w:val="0"/>
      <w:marTop w:val="0"/>
      <w:marBottom w:val="0"/>
      <w:divBdr>
        <w:top w:val="none" w:sz="0" w:space="0" w:color="auto"/>
        <w:left w:val="none" w:sz="0" w:space="0" w:color="auto"/>
        <w:bottom w:val="none" w:sz="0" w:space="0" w:color="auto"/>
        <w:right w:val="none" w:sz="0" w:space="0" w:color="auto"/>
      </w:divBdr>
    </w:div>
    <w:div w:id="1973712802">
      <w:bodyDiv w:val="1"/>
      <w:marLeft w:val="0"/>
      <w:marRight w:val="0"/>
      <w:marTop w:val="0"/>
      <w:marBottom w:val="0"/>
      <w:divBdr>
        <w:top w:val="none" w:sz="0" w:space="0" w:color="auto"/>
        <w:left w:val="none" w:sz="0" w:space="0" w:color="auto"/>
        <w:bottom w:val="none" w:sz="0" w:space="0" w:color="auto"/>
        <w:right w:val="none" w:sz="0" w:space="0" w:color="auto"/>
      </w:divBdr>
    </w:div>
    <w:div w:id="1976983601">
      <w:bodyDiv w:val="1"/>
      <w:marLeft w:val="0"/>
      <w:marRight w:val="0"/>
      <w:marTop w:val="0"/>
      <w:marBottom w:val="0"/>
      <w:divBdr>
        <w:top w:val="none" w:sz="0" w:space="0" w:color="auto"/>
        <w:left w:val="none" w:sz="0" w:space="0" w:color="auto"/>
        <w:bottom w:val="none" w:sz="0" w:space="0" w:color="auto"/>
        <w:right w:val="none" w:sz="0" w:space="0" w:color="auto"/>
      </w:divBdr>
    </w:div>
    <w:div w:id="1983845997">
      <w:bodyDiv w:val="1"/>
      <w:marLeft w:val="0"/>
      <w:marRight w:val="0"/>
      <w:marTop w:val="0"/>
      <w:marBottom w:val="0"/>
      <w:divBdr>
        <w:top w:val="none" w:sz="0" w:space="0" w:color="auto"/>
        <w:left w:val="none" w:sz="0" w:space="0" w:color="auto"/>
        <w:bottom w:val="none" w:sz="0" w:space="0" w:color="auto"/>
        <w:right w:val="none" w:sz="0" w:space="0" w:color="auto"/>
      </w:divBdr>
    </w:div>
    <w:div w:id="1986229323">
      <w:bodyDiv w:val="1"/>
      <w:marLeft w:val="0"/>
      <w:marRight w:val="0"/>
      <w:marTop w:val="0"/>
      <w:marBottom w:val="0"/>
      <w:divBdr>
        <w:top w:val="none" w:sz="0" w:space="0" w:color="auto"/>
        <w:left w:val="none" w:sz="0" w:space="0" w:color="auto"/>
        <w:bottom w:val="none" w:sz="0" w:space="0" w:color="auto"/>
        <w:right w:val="none" w:sz="0" w:space="0" w:color="auto"/>
      </w:divBdr>
    </w:div>
    <w:div w:id="1986615958">
      <w:bodyDiv w:val="1"/>
      <w:marLeft w:val="0"/>
      <w:marRight w:val="0"/>
      <w:marTop w:val="0"/>
      <w:marBottom w:val="0"/>
      <w:divBdr>
        <w:top w:val="none" w:sz="0" w:space="0" w:color="auto"/>
        <w:left w:val="none" w:sz="0" w:space="0" w:color="auto"/>
        <w:bottom w:val="none" w:sz="0" w:space="0" w:color="auto"/>
        <w:right w:val="none" w:sz="0" w:space="0" w:color="auto"/>
      </w:divBdr>
    </w:div>
    <w:div w:id="1992169642">
      <w:bodyDiv w:val="1"/>
      <w:marLeft w:val="0"/>
      <w:marRight w:val="0"/>
      <w:marTop w:val="0"/>
      <w:marBottom w:val="0"/>
      <w:divBdr>
        <w:top w:val="none" w:sz="0" w:space="0" w:color="auto"/>
        <w:left w:val="none" w:sz="0" w:space="0" w:color="auto"/>
        <w:bottom w:val="none" w:sz="0" w:space="0" w:color="auto"/>
        <w:right w:val="none" w:sz="0" w:space="0" w:color="auto"/>
      </w:divBdr>
    </w:div>
    <w:div w:id="1994526354">
      <w:bodyDiv w:val="1"/>
      <w:marLeft w:val="0"/>
      <w:marRight w:val="0"/>
      <w:marTop w:val="0"/>
      <w:marBottom w:val="0"/>
      <w:divBdr>
        <w:top w:val="none" w:sz="0" w:space="0" w:color="auto"/>
        <w:left w:val="none" w:sz="0" w:space="0" w:color="auto"/>
        <w:bottom w:val="none" w:sz="0" w:space="0" w:color="auto"/>
        <w:right w:val="none" w:sz="0" w:space="0" w:color="auto"/>
      </w:divBdr>
    </w:div>
    <w:div w:id="1997612065">
      <w:bodyDiv w:val="1"/>
      <w:marLeft w:val="0"/>
      <w:marRight w:val="0"/>
      <w:marTop w:val="0"/>
      <w:marBottom w:val="0"/>
      <w:divBdr>
        <w:top w:val="none" w:sz="0" w:space="0" w:color="auto"/>
        <w:left w:val="none" w:sz="0" w:space="0" w:color="auto"/>
        <w:bottom w:val="none" w:sz="0" w:space="0" w:color="auto"/>
        <w:right w:val="none" w:sz="0" w:space="0" w:color="auto"/>
      </w:divBdr>
    </w:div>
    <w:div w:id="1998725376">
      <w:bodyDiv w:val="1"/>
      <w:marLeft w:val="0"/>
      <w:marRight w:val="0"/>
      <w:marTop w:val="0"/>
      <w:marBottom w:val="0"/>
      <w:divBdr>
        <w:top w:val="none" w:sz="0" w:space="0" w:color="auto"/>
        <w:left w:val="none" w:sz="0" w:space="0" w:color="auto"/>
        <w:bottom w:val="none" w:sz="0" w:space="0" w:color="auto"/>
        <w:right w:val="none" w:sz="0" w:space="0" w:color="auto"/>
      </w:divBdr>
    </w:div>
    <w:div w:id="2001234366">
      <w:bodyDiv w:val="1"/>
      <w:marLeft w:val="0"/>
      <w:marRight w:val="0"/>
      <w:marTop w:val="0"/>
      <w:marBottom w:val="0"/>
      <w:divBdr>
        <w:top w:val="none" w:sz="0" w:space="0" w:color="auto"/>
        <w:left w:val="none" w:sz="0" w:space="0" w:color="auto"/>
        <w:bottom w:val="none" w:sz="0" w:space="0" w:color="auto"/>
        <w:right w:val="none" w:sz="0" w:space="0" w:color="auto"/>
      </w:divBdr>
    </w:div>
    <w:div w:id="2001349075">
      <w:bodyDiv w:val="1"/>
      <w:marLeft w:val="0"/>
      <w:marRight w:val="0"/>
      <w:marTop w:val="0"/>
      <w:marBottom w:val="0"/>
      <w:divBdr>
        <w:top w:val="none" w:sz="0" w:space="0" w:color="auto"/>
        <w:left w:val="none" w:sz="0" w:space="0" w:color="auto"/>
        <w:bottom w:val="none" w:sz="0" w:space="0" w:color="auto"/>
        <w:right w:val="none" w:sz="0" w:space="0" w:color="auto"/>
      </w:divBdr>
    </w:div>
    <w:div w:id="2003048337">
      <w:bodyDiv w:val="1"/>
      <w:marLeft w:val="0"/>
      <w:marRight w:val="0"/>
      <w:marTop w:val="0"/>
      <w:marBottom w:val="0"/>
      <w:divBdr>
        <w:top w:val="none" w:sz="0" w:space="0" w:color="auto"/>
        <w:left w:val="none" w:sz="0" w:space="0" w:color="auto"/>
        <w:bottom w:val="none" w:sz="0" w:space="0" w:color="auto"/>
        <w:right w:val="none" w:sz="0" w:space="0" w:color="auto"/>
      </w:divBdr>
    </w:div>
    <w:div w:id="2003851690">
      <w:bodyDiv w:val="1"/>
      <w:marLeft w:val="0"/>
      <w:marRight w:val="0"/>
      <w:marTop w:val="0"/>
      <w:marBottom w:val="0"/>
      <w:divBdr>
        <w:top w:val="none" w:sz="0" w:space="0" w:color="auto"/>
        <w:left w:val="none" w:sz="0" w:space="0" w:color="auto"/>
        <w:bottom w:val="none" w:sz="0" w:space="0" w:color="auto"/>
        <w:right w:val="none" w:sz="0" w:space="0" w:color="auto"/>
      </w:divBdr>
    </w:div>
    <w:div w:id="2005670656">
      <w:bodyDiv w:val="1"/>
      <w:marLeft w:val="0"/>
      <w:marRight w:val="0"/>
      <w:marTop w:val="0"/>
      <w:marBottom w:val="0"/>
      <w:divBdr>
        <w:top w:val="none" w:sz="0" w:space="0" w:color="auto"/>
        <w:left w:val="none" w:sz="0" w:space="0" w:color="auto"/>
        <w:bottom w:val="none" w:sz="0" w:space="0" w:color="auto"/>
        <w:right w:val="none" w:sz="0" w:space="0" w:color="auto"/>
      </w:divBdr>
    </w:div>
    <w:div w:id="200673787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12752571">
      <w:bodyDiv w:val="1"/>
      <w:marLeft w:val="0"/>
      <w:marRight w:val="0"/>
      <w:marTop w:val="0"/>
      <w:marBottom w:val="0"/>
      <w:divBdr>
        <w:top w:val="none" w:sz="0" w:space="0" w:color="auto"/>
        <w:left w:val="none" w:sz="0" w:space="0" w:color="auto"/>
        <w:bottom w:val="none" w:sz="0" w:space="0" w:color="auto"/>
        <w:right w:val="none" w:sz="0" w:space="0" w:color="auto"/>
      </w:divBdr>
    </w:div>
    <w:div w:id="2020889462">
      <w:bodyDiv w:val="1"/>
      <w:marLeft w:val="0"/>
      <w:marRight w:val="0"/>
      <w:marTop w:val="0"/>
      <w:marBottom w:val="0"/>
      <w:divBdr>
        <w:top w:val="none" w:sz="0" w:space="0" w:color="auto"/>
        <w:left w:val="none" w:sz="0" w:space="0" w:color="auto"/>
        <w:bottom w:val="none" w:sz="0" w:space="0" w:color="auto"/>
        <w:right w:val="none" w:sz="0" w:space="0" w:color="auto"/>
      </w:divBdr>
    </w:div>
    <w:div w:id="2020959423">
      <w:bodyDiv w:val="1"/>
      <w:marLeft w:val="0"/>
      <w:marRight w:val="0"/>
      <w:marTop w:val="0"/>
      <w:marBottom w:val="0"/>
      <w:divBdr>
        <w:top w:val="none" w:sz="0" w:space="0" w:color="auto"/>
        <w:left w:val="none" w:sz="0" w:space="0" w:color="auto"/>
        <w:bottom w:val="none" w:sz="0" w:space="0" w:color="auto"/>
        <w:right w:val="none" w:sz="0" w:space="0" w:color="auto"/>
      </w:divBdr>
    </w:div>
    <w:div w:id="2031375173">
      <w:bodyDiv w:val="1"/>
      <w:marLeft w:val="0"/>
      <w:marRight w:val="0"/>
      <w:marTop w:val="0"/>
      <w:marBottom w:val="0"/>
      <w:divBdr>
        <w:top w:val="none" w:sz="0" w:space="0" w:color="auto"/>
        <w:left w:val="none" w:sz="0" w:space="0" w:color="auto"/>
        <w:bottom w:val="none" w:sz="0" w:space="0" w:color="auto"/>
        <w:right w:val="none" w:sz="0" w:space="0" w:color="auto"/>
      </w:divBdr>
    </w:div>
    <w:div w:id="2034072496">
      <w:bodyDiv w:val="1"/>
      <w:marLeft w:val="0"/>
      <w:marRight w:val="0"/>
      <w:marTop w:val="0"/>
      <w:marBottom w:val="0"/>
      <w:divBdr>
        <w:top w:val="none" w:sz="0" w:space="0" w:color="auto"/>
        <w:left w:val="none" w:sz="0" w:space="0" w:color="auto"/>
        <w:bottom w:val="none" w:sz="0" w:space="0" w:color="auto"/>
        <w:right w:val="none" w:sz="0" w:space="0" w:color="auto"/>
      </w:divBdr>
    </w:div>
    <w:div w:id="2036035016">
      <w:bodyDiv w:val="1"/>
      <w:marLeft w:val="0"/>
      <w:marRight w:val="0"/>
      <w:marTop w:val="0"/>
      <w:marBottom w:val="0"/>
      <w:divBdr>
        <w:top w:val="none" w:sz="0" w:space="0" w:color="auto"/>
        <w:left w:val="none" w:sz="0" w:space="0" w:color="auto"/>
        <w:bottom w:val="none" w:sz="0" w:space="0" w:color="auto"/>
        <w:right w:val="none" w:sz="0" w:space="0" w:color="auto"/>
      </w:divBdr>
    </w:div>
    <w:div w:id="2045599167">
      <w:bodyDiv w:val="1"/>
      <w:marLeft w:val="0"/>
      <w:marRight w:val="0"/>
      <w:marTop w:val="0"/>
      <w:marBottom w:val="0"/>
      <w:divBdr>
        <w:top w:val="none" w:sz="0" w:space="0" w:color="auto"/>
        <w:left w:val="none" w:sz="0" w:space="0" w:color="auto"/>
        <w:bottom w:val="none" w:sz="0" w:space="0" w:color="auto"/>
        <w:right w:val="none" w:sz="0" w:space="0" w:color="auto"/>
      </w:divBdr>
    </w:div>
    <w:div w:id="2046323652">
      <w:bodyDiv w:val="1"/>
      <w:marLeft w:val="0"/>
      <w:marRight w:val="0"/>
      <w:marTop w:val="0"/>
      <w:marBottom w:val="0"/>
      <w:divBdr>
        <w:top w:val="none" w:sz="0" w:space="0" w:color="auto"/>
        <w:left w:val="none" w:sz="0" w:space="0" w:color="auto"/>
        <w:bottom w:val="none" w:sz="0" w:space="0" w:color="auto"/>
        <w:right w:val="none" w:sz="0" w:space="0" w:color="auto"/>
      </w:divBdr>
      <w:divsChild>
        <w:div w:id="1377703013">
          <w:marLeft w:val="0"/>
          <w:marRight w:val="0"/>
          <w:marTop w:val="0"/>
          <w:marBottom w:val="0"/>
          <w:divBdr>
            <w:top w:val="none" w:sz="0" w:space="0" w:color="auto"/>
            <w:left w:val="none" w:sz="0" w:space="0" w:color="auto"/>
            <w:bottom w:val="none" w:sz="0" w:space="0" w:color="auto"/>
            <w:right w:val="none" w:sz="0" w:space="0" w:color="auto"/>
          </w:divBdr>
        </w:div>
      </w:divsChild>
    </w:div>
    <w:div w:id="2050497550">
      <w:bodyDiv w:val="1"/>
      <w:marLeft w:val="0"/>
      <w:marRight w:val="0"/>
      <w:marTop w:val="0"/>
      <w:marBottom w:val="0"/>
      <w:divBdr>
        <w:top w:val="none" w:sz="0" w:space="0" w:color="auto"/>
        <w:left w:val="none" w:sz="0" w:space="0" w:color="auto"/>
        <w:bottom w:val="none" w:sz="0" w:space="0" w:color="auto"/>
        <w:right w:val="none" w:sz="0" w:space="0" w:color="auto"/>
      </w:divBdr>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5960695">
      <w:bodyDiv w:val="1"/>
      <w:marLeft w:val="0"/>
      <w:marRight w:val="0"/>
      <w:marTop w:val="0"/>
      <w:marBottom w:val="0"/>
      <w:divBdr>
        <w:top w:val="none" w:sz="0" w:space="0" w:color="auto"/>
        <w:left w:val="none" w:sz="0" w:space="0" w:color="auto"/>
        <w:bottom w:val="none" w:sz="0" w:space="0" w:color="auto"/>
        <w:right w:val="none" w:sz="0" w:space="0" w:color="auto"/>
      </w:divBdr>
    </w:div>
    <w:div w:id="2057966702">
      <w:bodyDiv w:val="1"/>
      <w:marLeft w:val="0"/>
      <w:marRight w:val="0"/>
      <w:marTop w:val="0"/>
      <w:marBottom w:val="0"/>
      <w:divBdr>
        <w:top w:val="none" w:sz="0" w:space="0" w:color="auto"/>
        <w:left w:val="none" w:sz="0" w:space="0" w:color="auto"/>
        <w:bottom w:val="none" w:sz="0" w:space="0" w:color="auto"/>
        <w:right w:val="none" w:sz="0" w:space="0" w:color="auto"/>
      </w:divBdr>
    </w:div>
    <w:div w:id="2060276886">
      <w:bodyDiv w:val="1"/>
      <w:marLeft w:val="0"/>
      <w:marRight w:val="0"/>
      <w:marTop w:val="0"/>
      <w:marBottom w:val="0"/>
      <w:divBdr>
        <w:top w:val="none" w:sz="0" w:space="0" w:color="auto"/>
        <w:left w:val="none" w:sz="0" w:space="0" w:color="auto"/>
        <w:bottom w:val="none" w:sz="0" w:space="0" w:color="auto"/>
        <w:right w:val="none" w:sz="0" w:space="0" w:color="auto"/>
      </w:divBdr>
    </w:div>
    <w:div w:id="2063097980">
      <w:bodyDiv w:val="1"/>
      <w:marLeft w:val="0"/>
      <w:marRight w:val="0"/>
      <w:marTop w:val="0"/>
      <w:marBottom w:val="0"/>
      <w:divBdr>
        <w:top w:val="none" w:sz="0" w:space="0" w:color="auto"/>
        <w:left w:val="none" w:sz="0" w:space="0" w:color="auto"/>
        <w:bottom w:val="none" w:sz="0" w:space="0" w:color="auto"/>
        <w:right w:val="none" w:sz="0" w:space="0" w:color="auto"/>
      </w:divBdr>
    </w:div>
    <w:div w:id="2064479638">
      <w:bodyDiv w:val="1"/>
      <w:marLeft w:val="0"/>
      <w:marRight w:val="0"/>
      <w:marTop w:val="0"/>
      <w:marBottom w:val="0"/>
      <w:divBdr>
        <w:top w:val="none" w:sz="0" w:space="0" w:color="auto"/>
        <w:left w:val="none" w:sz="0" w:space="0" w:color="auto"/>
        <w:bottom w:val="none" w:sz="0" w:space="0" w:color="auto"/>
        <w:right w:val="none" w:sz="0" w:space="0" w:color="auto"/>
      </w:divBdr>
    </w:div>
    <w:div w:id="2068457998">
      <w:bodyDiv w:val="1"/>
      <w:marLeft w:val="0"/>
      <w:marRight w:val="0"/>
      <w:marTop w:val="0"/>
      <w:marBottom w:val="0"/>
      <w:divBdr>
        <w:top w:val="none" w:sz="0" w:space="0" w:color="auto"/>
        <w:left w:val="none" w:sz="0" w:space="0" w:color="auto"/>
        <w:bottom w:val="none" w:sz="0" w:space="0" w:color="auto"/>
        <w:right w:val="none" w:sz="0" w:space="0" w:color="auto"/>
      </w:divBdr>
    </w:div>
    <w:div w:id="2069574204">
      <w:bodyDiv w:val="1"/>
      <w:marLeft w:val="0"/>
      <w:marRight w:val="0"/>
      <w:marTop w:val="0"/>
      <w:marBottom w:val="0"/>
      <w:divBdr>
        <w:top w:val="none" w:sz="0" w:space="0" w:color="auto"/>
        <w:left w:val="none" w:sz="0" w:space="0" w:color="auto"/>
        <w:bottom w:val="none" w:sz="0" w:space="0" w:color="auto"/>
        <w:right w:val="none" w:sz="0" w:space="0" w:color="auto"/>
      </w:divBdr>
    </w:div>
    <w:div w:id="2075817008">
      <w:bodyDiv w:val="1"/>
      <w:marLeft w:val="0"/>
      <w:marRight w:val="0"/>
      <w:marTop w:val="0"/>
      <w:marBottom w:val="0"/>
      <w:divBdr>
        <w:top w:val="none" w:sz="0" w:space="0" w:color="auto"/>
        <w:left w:val="none" w:sz="0" w:space="0" w:color="auto"/>
        <w:bottom w:val="none" w:sz="0" w:space="0" w:color="auto"/>
        <w:right w:val="none" w:sz="0" w:space="0" w:color="auto"/>
      </w:divBdr>
    </w:div>
    <w:div w:id="2078550654">
      <w:bodyDiv w:val="1"/>
      <w:marLeft w:val="0"/>
      <w:marRight w:val="0"/>
      <w:marTop w:val="0"/>
      <w:marBottom w:val="0"/>
      <w:divBdr>
        <w:top w:val="none" w:sz="0" w:space="0" w:color="auto"/>
        <w:left w:val="none" w:sz="0" w:space="0" w:color="auto"/>
        <w:bottom w:val="none" w:sz="0" w:space="0" w:color="auto"/>
        <w:right w:val="none" w:sz="0" w:space="0" w:color="auto"/>
      </w:divBdr>
    </w:div>
    <w:div w:id="2079547482">
      <w:bodyDiv w:val="1"/>
      <w:marLeft w:val="0"/>
      <w:marRight w:val="0"/>
      <w:marTop w:val="0"/>
      <w:marBottom w:val="0"/>
      <w:divBdr>
        <w:top w:val="none" w:sz="0" w:space="0" w:color="auto"/>
        <w:left w:val="none" w:sz="0" w:space="0" w:color="auto"/>
        <w:bottom w:val="none" w:sz="0" w:space="0" w:color="auto"/>
        <w:right w:val="none" w:sz="0" w:space="0" w:color="auto"/>
      </w:divBdr>
    </w:div>
    <w:div w:id="2083529436">
      <w:bodyDiv w:val="1"/>
      <w:marLeft w:val="0"/>
      <w:marRight w:val="0"/>
      <w:marTop w:val="0"/>
      <w:marBottom w:val="0"/>
      <w:divBdr>
        <w:top w:val="none" w:sz="0" w:space="0" w:color="auto"/>
        <w:left w:val="none" w:sz="0" w:space="0" w:color="auto"/>
        <w:bottom w:val="none" w:sz="0" w:space="0" w:color="auto"/>
        <w:right w:val="none" w:sz="0" w:space="0" w:color="auto"/>
      </w:divBdr>
    </w:div>
    <w:div w:id="2085570329">
      <w:bodyDiv w:val="1"/>
      <w:marLeft w:val="0"/>
      <w:marRight w:val="0"/>
      <w:marTop w:val="0"/>
      <w:marBottom w:val="0"/>
      <w:divBdr>
        <w:top w:val="none" w:sz="0" w:space="0" w:color="auto"/>
        <w:left w:val="none" w:sz="0" w:space="0" w:color="auto"/>
        <w:bottom w:val="none" w:sz="0" w:space="0" w:color="auto"/>
        <w:right w:val="none" w:sz="0" w:space="0" w:color="auto"/>
      </w:divBdr>
    </w:div>
    <w:div w:id="2087723881">
      <w:bodyDiv w:val="1"/>
      <w:marLeft w:val="0"/>
      <w:marRight w:val="0"/>
      <w:marTop w:val="0"/>
      <w:marBottom w:val="0"/>
      <w:divBdr>
        <w:top w:val="none" w:sz="0" w:space="0" w:color="auto"/>
        <w:left w:val="none" w:sz="0" w:space="0" w:color="auto"/>
        <w:bottom w:val="none" w:sz="0" w:space="0" w:color="auto"/>
        <w:right w:val="none" w:sz="0" w:space="0" w:color="auto"/>
      </w:divBdr>
    </w:div>
    <w:div w:id="2094663956">
      <w:bodyDiv w:val="1"/>
      <w:marLeft w:val="0"/>
      <w:marRight w:val="0"/>
      <w:marTop w:val="0"/>
      <w:marBottom w:val="0"/>
      <w:divBdr>
        <w:top w:val="none" w:sz="0" w:space="0" w:color="auto"/>
        <w:left w:val="none" w:sz="0" w:space="0" w:color="auto"/>
        <w:bottom w:val="none" w:sz="0" w:space="0" w:color="auto"/>
        <w:right w:val="none" w:sz="0" w:space="0" w:color="auto"/>
      </w:divBdr>
    </w:div>
    <w:div w:id="2098475891">
      <w:bodyDiv w:val="1"/>
      <w:marLeft w:val="0"/>
      <w:marRight w:val="0"/>
      <w:marTop w:val="0"/>
      <w:marBottom w:val="0"/>
      <w:divBdr>
        <w:top w:val="none" w:sz="0" w:space="0" w:color="auto"/>
        <w:left w:val="none" w:sz="0" w:space="0" w:color="auto"/>
        <w:bottom w:val="none" w:sz="0" w:space="0" w:color="auto"/>
        <w:right w:val="none" w:sz="0" w:space="0" w:color="auto"/>
      </w:divBdr>
    </w:div>
    <w:div w:id="2103184306">
      <w:bodyDiv w:val="1"/>
      <w:marLeft w:val="0"/>
      <w:marRight w:val="0"/>
      <w:marTop w:val="0"/>
      <w:marBottom w:val="0"/>
      <w:divBdr>
        <w:top w:val="none" w:sz="0" w:space="0" w:color="auto"/>
        <w:left w:val="none" w:sz="0" w:space="0" w:color="auto"/>
        <w:bottom w:val="none" w:sz="0" w:space="0" w:color="auto"/>
        <w:right w:val="none" w:sz="0" w:space="0" w:color="auto"/>
      </w:divBdr>
    </w:div>
    <w:div w:id="2107574983">
      <w:bodyDiv w:val="1"/>
      <w:marLeft w:val="0"/>
      <w:marRight w:val="0"/>
      <w:marTop w:val="0"/>
      <w:marBottom w:val="0"/>
      <w:divBdr>
        <w:top w:val="none" w:sz="0" w:space="0" w:color="auto"/>
        <w:left w:val="none" w:sz="0" w:space="0" w:color="auto"/>
        <w:bottom w:val="none" w:sz="0" w:space="0" w:color="auto"/>
        <w:right w:val="none" w:sz="0" w:space="0" w:color="auto"/>
      </w:divBdr>
    </w:div>
    <w:div w:id="2114202107">
      <w:bodyDiv w:val="1"/>
      <w:marLeft w:val="0"/>
      <w:marRight w:val="0"/>
      <w:marTop w:val="0"/>
      <w:marBottom w:val="0"/>
      <w:divBdr>
        <w:top w:val="none" w:sz="0" w:space="0" w:color="auto"/>
        <w:left w:val="none" w:sz="0" w:space="0" w:color="auto"/>
        <w:bottom w:val="none" w:sz="0" w:space="0" w:color="auto"/>
        <w:right w:val="none" w:sz="0" w:space="0" w:color="auto"/>
      </w:divBdr>
    </w:div>
    <w:div w:id="2118137865">
      <w:bodyDiv w:val="1"/>
      <w:marLeft w:val="0"/>
      <w:marRight w:val="0"/>
      <w:marTop w:val="0"/>
      <w:marBottom w:val="0"/>
      <w:divBdr>
        <w:top w:val="none" w:sz="0" w:space="0" w:color="auto"/>
        <w:left w:val="none" w:sz="0" w:space="0" w:color="auto"/>
        <w:bottom w:val="none" w:sz="0" w:space="0" w:color="auto"/>
        <w:right w:val="none" w:sz="0" w:space="0" w:color="auto"/>
      </w:divBdr>
    </w:div>
    <w:div w:id="2119447787">
      <w:bodyDiv w:val="1"/>
      <w:marLeft w:val="0"/>
      <w:marRight w:val="0"/>
      <w:marTop w:val="0"/>
      <w:marBottom w:val="0"/>
      <w:divBdr>
        <w:top w:val="none" w:sz="0" w:space="0" w:color="auto"/>
        <w:left w:val="none" w:sz="0" w:space="0" w:color="auto"/>
        <w:bottom w:val="none" w:sz="0" w:space="0" w:color="auto"/>
        <w:right w:val="none" w:sz="0" w:space="0" w:color="auto"/>
      </w:divBdr>
    </w:div>
    <w:div w:id="2120568540">
      <w:bodyDiv w:val="1"/>
      <w:marLeft w:val="0"/>
      <w:marRight w:val="0"/>
      <w:marTop w:val="0"/>
      <w:marBottom w:val="0"/>
      <w:divBdr>
        <w:top w:val="none" w:sz="0" w:space="0" w:color="auto"/>
        <w:left w:val="none" w:sz="0" w:space="0" w:color="auto"/>
        <w:bottom w:val="none" w:sz="0" w:space="0" w:color="auto"/>
        <w:right w:val="none" w:sz="0" w:space="0" w:color="auto"/>
      </w:divBdr>
    </w:div>
    <w:div w:id="2124228062">
      <w:bodyDiv w:val="1"/>
      <w:marLeft w:val="0"/>
      <w:marRight w:val="0"/>
      <w:marTop w:val="0"/>
      <w:marBottom w:val="0"/>
      <w:divBdr>
        <w:top w:val="none" w:sz="0" w:space="0" w:color="auto"/>
        <w:left w:val="none" w:sz="0" w:space="0" w:color="auto"/>
        <w:bottom w:val="none" w:sz="0" w:space="0" w:color="auto"/>
        <w:right w:val="none" w:sz="0" w:space="0" w:color="auto"/>
      </w:divBdr>
    </w:div>
    <w:div w:id="2126995057">
      <w:bodyDiv w:val="1"/>
      <w:marLeft w:val="0"/>
      <w:marRight w:val="0"/>
      <w:marTop w:val="0"/>
      <w:marBottom w:val="0"/>
      <w:divBdr>
        <w:top w:val="none" w:sz="0" w:space="0" w:color="auto"/>
        <w:left w:val="none" w:sz="0" w:space="0" w:color="auto"/>
        <w:bottom w:val="none" w:sz="0" w:space="0" w:color="auto"/>
        <w:right w:val="none" w:sz="0" w:space="0" w:color="auto"/>
      </w:divBdr>
    </w:div>
    <w:div w:id="2142914332">
      <w:bodyDiv w:val="1"/>
      <w:marLeft w:val="0"/>
      <w:marRight w:val="0"/>
      <w:marTop w:val="0"/>
      <w:marBottom w:val="0"/>
      <w:divBdr>
        <w:top w:val="none" w:sz="0" w:space="0" w:color="auto"/>
        <w:left w:val="none" w:sz="0" w:space="0" w:color="auto"/>
        <w:bottom w:val="none" w:sz="0" w:space="0" w:color="auto"/>
        <w:right w:val="none" w:sz="0" w:space="0" w:color="auto"/>
      </w:divBdr>
    </w:div>
    <w:div w:id="21430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D202D0C4175E44A9B5E38D1693CF06" ma:contentTypeVersion="19" ma:contentTypeDescription="Create a new document." ma:contentTypeScope="" ma:versionID="4ed439b77e37fee9fbaf53104fdcc37f">
  <xsd:schema xmlns:xsd="http://www.w3.org/2001/XMLSchema" xmlns:xs="http://www.w3.org/2001/XMLSchema" xmlns:p="http://schemas.microsoft.com/office/2006/metadata/properties" xmlns:ns2="41995d14-4505-490b-a2a8-e36e202c5fcc" xmlns:ns3="7cd55d9e-5ab1-47fa-b0f5-e525702eac26" xmlns:ns4="http://schemas.microsoft.com/sharepoint/v4" targetNamespace="http://schemas.microsoft.com/office/2006/metadata/properties" ma:root="true" ma:fieldsID="e7823c77f6bdc15369ff0b1e52d4f938" ns2:_="" ns3:_="" ns4:_="">
    <xsd:import namespace="41995d14-4505-490b-a2a8-e36e202c5fcc"/>
    <xsd:import namespace="7cd55d9e-5ab1-47fa-b0f5-e525702eac2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5d14-4505-490b-a2a8-e36e202c5f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8265e-dd52-4d2f-beea-1ad65d822033}" ma:internalName="TaxCatchAll" ma:showField="CatchAllData" ma:web="41995d14-4505-490b-a2a8-e36e202c5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55d9e-5ab1-47fa-b0f5-e525702eac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5e83fc-d1f5-43a2-bbd2-58974d732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995d14-4505-490b-a2a8-e36e202c5fcc" xsi:nil="true"/>
    <lcf76f155ced4ddcb4097134ff3c332f xmlns="7cd55d9e-5ab1-47fa-b0f5-e525702eac26">
      <Terms xmlns="http://schemas.microsoft.com/office/infopath/2007/PartnerControls"/>
    </lcf76f155ced4ddcb4097134ff3c332f>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1398-B9E6-4981-ABE3-7E88C087474D}">
  <ds:schemaRefs>
    <ds:schemaRef ds:uri="http://schemas.microsoft.com/sharepoint/v3/contenttype/forms"/>
  </ds:schemaRefs>
</ds:datastoreItem>
</file>

<file path=customXml/itemProps2.xml><?xml version="1.0" encoding="utf-8"?>
<ds:datastoreItem xmlns:ds="http://schemas.openxmlformats.org/officeDocument/2006/customXml" ds:itemID="{023279BD-3919-4927-84B0-E17B0E112250}"/>
</file>

<file path=customXml/itemProps3.xml><?xml version="1.0" encoding="utf-8"?>
<ds:datastoreItem xmlns:ds="http://schemas.openxmlformats.org/officeDocument/2006/customXml" ds:itemID="{A199306B-EA12-4646-9692-DDB7B5251DEC}">
  <ds:schemaRefs>
    <ds:schemaRef ds:uri="http://schemas.microsoft.com/office/2006/metadata/properties"/>
    <ds:schemaRef ds:uri="http://schemas.microsoft.com/office/infopath/2007/PartnerControls"/>
    <ds:schemaRef ds:uri="41995d14-4505-490b-a2a8-e36e202c5fcc"/>
    <ds:schemaRef ds:uri="7cd55d9e-5ab1-47fa-b0f5-e525702eac26"/>
  </ds:schemaRefs>
</ds:datastoreItem>
</file>

<file path=customXml/itemProps4.xml><?xml version="1.0" encoding="utf-8"?>
<ds:datastoreItem xmlns:ds="http://schemas.openxmlformats.org/officeDocument/2006/customXml" ds:itemID="{AECC75B9-8CFB-4605-AF19-1ED4FE40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26</Pages>
  <Words>8010</Words>
  <Characters>45659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Quad Interim FS</vt:lpstr>
    </vt:vector>
  </TitlesOfParts>
  <Company>Andrew R. Williams</Company>
  <LinksUpToDate>false</LinksUpToDate>
  <CharactersWithSpaces>53562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 Interim FS</dc:title>
  <dc:subject/>
  <dc:creator>KR</dc:creator>
  <cp:keywords/>
  <dc:description/>
  <cp:lastModifiedBy>Helen Andaya</cp:lastModifiedBy>
  <cp:revision>157</cp:revision>
  <cp:lastPrinted>2024-04-22T16:06:00Z</cp:lastPrinted>
  <dcterms:created xsi:type="dcterms:W3CDTF">2024-04-24T22:59:00Z</dcterms:created>
  <dcterms:modified xsi:type="dcterms:W3CDTF">2024-04-25T18:22:00Z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0x0101005FD202D0C4175E44A9B5E38D1693CF06</vt:lpwstr>
  </property>
  <property fmtid="{D5CDD505-2E9C-101B-9397-08002B2CF9AE}" pid="3" name="MediaServiceImageTags">
    <vt:lpwstr/>
  </property>
  <property fmtid="{D5CDD505-2E9C-101B-9397-08002B2CF9AE}" pid="4" name="GrammarlyDocumentId">
    <vt:lpwstr>74108205390eb89f3f91c86ba227452b4ebb9c87813c972b5c39f229c9c0b990</vt:lpwstr>
  </property>
</Properties>
</file>