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6EA9" w14:textId="77777777" w:rsidR="007165A7" w:rsidRPr="002B36BD" w:rsidRDefault="007165A7" w:rsidP="005E325C">
      <w:pPr>
        <w:rPr>
          <w:rFonts w:cstheme="minorHAnsi"/>
          <w:szCs w:val="20"/>
        </w:rPr>
      </w:pPr>
    </w:p>
    <w:p w14:paraId="1C44F335" w14:textId="77777777" w:rsidR="00BB03E8" w:rsidRPr="002B36BD" w:rsidRDefault="00BB03E8" w:rsidP="005E325C">
      <w:pPr>
        <w:rPr>
          <w:rFonts w:cstheme="minorHAnsi"/>
          <w:szCs w:val="20"/>
        </w:rPr>
      </w:pPr>
    </w:p>
    <w:p w14:paraId="1C32F95F" w14:textId="77777777" w:rsidR="00BB03E8" w:rsidRPr="002B36BD" w:rsidRDefault="00BB03E8" w:rsidP="005E325C">
      <w:pPr>
        <w:rPr>
          <w:rFonts w:cstheme="minorHAnsi"/>
          <w:b/>
          <w:szCs w:val="20"/>
        </w:rPr>
      </w:pPr>
    </w:p>
    <w:p w14:paraId="6A957612" w14:textId="77777777" w:rsidR="00BB03E8" w:rsidRPr="00FC2211" w:rsidRDefault="00EC49E6" w:rsidP="00743579">
      <w:pPr>
        <w:tabs>
          <w:tab w:val="left" w:pos="0"/>
        </w:tabs>
        <w:jc w:val="center"/>
        <w:rPr>
          <w:rFonts w:cstheme="minorHAnsi"/>
          <w:szCs w:val="20"/>
        </w:rPr>
      </w:pPr>
      <w:r w:rsidRPr="00FC2211">
        <w:rPr>
          <w:rFonts w:cstheme="minorHAnsi"/>
          <w:noProof/>
          <w:szCs w:val="20"/>
        </w:rPr>
        <w:drawing>
          <wp:inline distT="0" distB="0" distL="0" distR="0" wp14:anchorId="1C75FB12" wp14:editId="752D929D">
            <wp:extent cx="3983182" cy="1752600"/>
            <wp:effectExtent l="0" t="0" r="0" b="0"/>
            <wp:docPr id="448428477" name="Picture 2" descr="P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983182" cy="1752600"/>
                    </a:xfrm>
                    <a:prstGeom prst="rect">
                      <a:avLst/>
                    </a:prstGeom>
                  </pic:spPr>
                </pic:pic>
              </a:graphicData>
            </a:graphic>
          </wp:inline>
        </w:drawing>
      </w:r>
    </w:p>
    <w:p w14:paraId="02DF721A" w14:textId="77777777" w:rsidR="0018348F" w:rsidRPr="00FC2211" w:rsidRDefault="0018348F" w:rsidP="005E325C">
      <w:pPr>
        <w:pBdr>
          <w:bottom w:val="single" w:sz="12" w:space="1" w:color="auto"/>
        </w:pBdr>
        <w:tabs>
          <w:tab w:val="left" w:pos="180"/>
          <w:tab w:val="left" w:pos="270"/>
        </w:tabs>
        <w:jc w:val="center"/>
        <w:rPr>
          <w:rFonts w:cstheme="minorHAnsi"/>
          <w:b/>
          <w:szCs w:val="20"/>
        </w:rPr>
      </w:pPr>
    </w:p>
    <w:p w14:paraId="5128EF97" w14:textId="77777777" w:rsidR="00EC49E6" w:rsidRPr="00FC2211" w:rsidRDefault="00EC49E6" w:rsidP="005E325C">
      <w:pPr>
        <w:tabs>
          <w:tab w:val="left" w:pos="180"/>
          <w:tab w:val="left" w:pos="270"/>
        </w:tabs>
        <w:jc w:val="center"/>
        <w:rPr>
          <w:rFonts w:cstheme="minorHAnsi"/>
          <w:b/>
          <w:szCs w:val="20"/>
        </w:rPr>
      </w:pPr>
    </w:p>
    <w:p w14:paraId="2A7C4AC7" w14:textId="77777777" w:rsidR="00580679" w:rsidRPr="00FC2211" w:rsidRDefault="0014729B" w:rsidP="005E325C">
      <w:pPr>
        <w:tabs>
          <w:tab w:val="left" w:pos="180"/>
          <w:tab w:val="left" w:pos="270"/>
        </w:tabs>
        <w:jc w:val="center"/>
        <w:rPr>
          <w:rFonts w:cstheme="minorHAnsi"/>
          <w:b/>
          <w:sz w:val="36"/>
          <w:szCs w:val="36"/>
        </w:rPr>
      </w:pPr>
      <w:r w:rsidRPr="00FC2211">
        <w:rPr>
          <w:rFonts w:cstheme="minorHAnsi"/>
          <w:b/>
          <w:sz w:val="36"/>
          <w:szCs w:val="36"/>
        </w:rPr>
        <w:t xml:space="preserve">INEO </w:t>
      </w:r>
      <w:r w:rsidR="00580679" w:rsidRPr="00FC2211">
        <w:rPr>
          <w:rFonts w:cstheme="minorHAnsi"/>
          <w:b/>
          <w:sz w:val="36"/>
          <w:szCs w:val="36"/>
        </w:rPr>
        <w:t>Tech Corp</w:t>
      </w:r>
      <w:r w:rsidRPr="00FC2211">
        <w:rPr>
          <w:rFonts w:cstheme="minorHAnsi"/>
          <w:b/>
          <w:sz w:val="36"/>
          <w:szCs w:val="36"/>
        </w:rPr>
        <w:t>.</w:t>
      </w:r>
      <w:r w:rsidR="003B06D8" w:rsidRPr="00FC2211">
        <w:rPr>
          <w:rFonts w:cstheme="minorHAnsi"/>
          <w:b/>
          <w:sz w:val="36"/>
          <w:szCs w:val="36"/>
        </w:rPr>
        <w:t xml:space="preserve"> </w:t>
      </w:r>
    </w:p>
    <w:p w14:paraId="7D4D7361" w14:textId="77777777" w:rsidR="00EB2284" w:rsidRPr="00FC2211" w:rsidRDefault="00EB2284" w:rsidP="005E325C">
      <w:pPr>
        <w:tabs>
          <w:tab w:val="left" w:pos="180"/>
          <w:tab w:val="left" w:pos="270"/>
        </w:tabs>
        <w:jc w:val="center"/>
        <w:rPr>
          <w:rFonts w:cstheme="minorHAnsi"/>
          <w:b/>
          <w:szCs w:val="20"/>
        </w:rPr>
      </w:pPr>
    </w:p>
    <w:p w14:paraId="1F504E32" w14:textId="610CD938" w:rsidR="0042259E" w:rsidRPr="00FC2211" w:rsidRDefault="00366BC7" w:rsidP="005E325C">
      <w:pPr>
        <w:tabs>
          <w:tab w:val="left" w:pos="180"/>
          <w:tab w:val="left" w:pos="270"/>
        </w:tabs>
        <w:jc w:val="center"/>
        <w:rPr>
          <w:rFonts w:cstheme="minorHAnsi"/>
          <w:b/>
          <w:sz w:val="28"/>
          <w:szCs w:val="28"/>
        </w:rPr>
      </w:pPr>
      <w:r w:rsidRPr="00FC2211">
        <w:rPr>
          <w:rFonts w:cstheme="minorHAnsi"/>
          <w:b/>
          <w:sz w:val="28"/>
          <w:szCs w:val="28"/>
        </w:rPr>
        <w:t xml:space="preserve">Interim Condensed </w:t>
      </w:r>
      <w:r w:rsidR="00675D0F" w:rsidRPr="00FC2211">
        <w:rPr>
          <w:rFonts w:cstheme="minorHAnsi"/>
          <w:b/>
          <w:sz w:val="28"/>
          <w:szCs w:val="28"/>
        </w:rPr>
        <w:t xml:space="preserve">Consolidated </w:t>
      </w:r>
      <w:r w:rsidR="001937C9" w:rsidRPr="00FC2211">
        <w:rPr>
          <w:rFonts w:cstheme="minorHAnsi"/>
          <w:b/>
          <w:sz w:val="28"/>
          <w:szCs w:val="28"/>
        </w:rPr>
        <w:t>Financial Statements</w:t>
      </w:r>
    </w:p>
    <w:p w14:paraId="66D494AD" w14:textId="77777777" w:rsidR="00D02370" w:rsidRPr="00FC2211" w:rsidRDefault="00D02370" w:rsidP="005E325C">
      <w:pPr>
        <w:tabs>
          <w:tab w:val="left" w:pos="180"/>
          <w:tab w:val="left" w:pos="270"/>
        </w:tabs>
        <w:jc w:val="center"/>
        <w:rPr>
          <w:rFonts w:cstheme="minorHAnsi"/>
          <w:szCs w:val="20"/>
        </w:rPr>
      </w:pPr>
    </w:p>
    <w:p w14:paraId="045899C0" w14:textId="19C8F255" w:rsidR="0042259E" w:rsidRPr="00FC2211" w:rsidRDefault="00680902" w:rsidP="005E325C">
      <w:pPr>
        <w:jc w:val="center"/>
        <w:rPr>
          <w:rFonts w:cstheme="minorHAnsi"/>
          <w:sz w:val="28"/>
          <w:szCs w:val="28"/>
        </w:rPr>
      </w:pPr>
      <w:r w:rsidRPr="00FC2211">
        <w:rPr>
          <w:rFonts w:cstheme="minorHAnsi"/>
          <w:sz w:val="28"/>
          <w:szCs w:val="28"/>
        </w:rPr>
        <w:t xml:space="preserve">As at </w:t>
      </w:r>
      <w:r w:rsidR="009B3E3A" w:rsidRPr="00FC2211">
        <w:rPr>
          <w:rFonts w:cstheme="minorHAnsi"/>
          <w:sz w:val="28"/>
          <w:szCs w:val="28"/>
        </w:rPr>
        <w:t xml:space="preserve">and </w:t>
      </w:r>
      <w:r w:rsidRPr="00FC2211">
        <w:rPr>
          <w:rFonts w:cstheme="minorHAnsi"/>
          <w:sz w:val="28"/>
          <w:szCs w:val="28"/>
        </w:rPr>
        <w:t>f</w:t>
      </w:r>
      <w:r w:rsidR="002502C8" w:rsidRPr="00FC2211">
        <w:rPr>
          <w:rFonts w:cstheme="minorHAnsi"/>
          <w:sz w:val="28"/>
          <w:szCs w:val="28"/>
        </w:rPr>
        <w:t xml:space="preserve">or the </w:t>
      </w:r>
      <w:r w:rsidR="00377CF0" w:rsidRPr="00FC2211">
        <w:rPr>
          <w:rFonts w:cstheme="minorHAnsi"/>
          <w:sz w:val="28"/>
          <w:szCs w:val="28"/>
        </w:rPr>
        <w:t xml:space="preserve">six </w:t>
      </w:r>
      <w:r w:rsidR="00A047F2" w:rsidRPr="00FC2211">
        <w:rPr>
          <w:rFonts w:cstheme="minorHAnsi"/>
          <w:sz w:val="28"/>
          <w:szCs w:val="28"/>
        </w:rPr>
        <w:t>months</w:t>
      </w:r>
      <w:r w:rsidR="00D245CD" w:rsidRPr="00FC2211">
        <w:rPr>
          <w:rFonts w:cstheme="minorHAnsi"/>
          <w:sz w:val="28"/>
          <w:szCs w:val="28"/>
        </w:rPr>
        <w:t xml:space="preserve"> </w:t>
      </w:r>
      <w:r w:rsidR="009B3E3A" w:rsidRPr="00FC2211">
        <w:rPr>
          <w:rFonts w:cstheme="minorHAnsi"/>
          <w:sz w:val="28"/>
          <w:szCs w:val="28"/>
        </w:rPr>
        <w:t xml:space="preserve">ended </w:t>
      </w:r>
      <w:r w:rsidR="007B56DE" w:rsidRPr="00FC2211">
        <w:rPr>
          <w:rFonts w:cstheme="minorHAnsi"/>
          <w:sz w:val="28"/>
          <w:szCs w:val="28"/>
        </w:rPr>
        <w:t>December</w:t>
      </w:r>
      <w:r w:rsidR="00D245CD" w:rsidRPr="00FC2211">
        <w:rPr>
          <w:rFonts w:cstheme="minorHAnsi"/>
          <w:sz w:val="28"/>
          <w:szCs w:val="28"/>
        </w:rPr>
        <w:t xml:space="preserve"> </w:t>
      </w:r>
      <w:r w:rsidR="00260EC3" w:rsidRPr="00FC2211">
        <w:rPr>
          <w:rFonts w:cstheme="minorHAnsi"/>
          <w:sz w:val="28"/>
          <w:szCs w:val="28"/>
        </w:rPr>
        <w:t>3</w:t>
      </w:r>
      <w:r w:rsidR="007B56DE" w:rsidRPr="00FC2211">
        <w:rPr>
          <w:rFonts w:cstheme="minorHAnsi"/>
          <w:sz w:val="28"/>
          <w:szCs w:val="28"/>
        </w:rPr>
        <w:t>1</w:t>
      </w:r>
      <w:r w:rsidR="00FB780D" w:rsidRPr="00FC2211">
        <w:rPr>
          <w:rFonts w:cstheme="minorHAnsi"/>
          <w:sz w:val="28"/>
          <w:szCs w:val="28"/>
        </w:rPr>
        <w:t>, 202</w:t>
      </w:r>
      <w:r w:rsidR="00114A3A" w:rsidRPr="00FC2211">
        <w:rPr>
          <w:rFonts w:cstheme="minorHAnsi"/>
          <w:sz w:val="28"/>
          <w:szCs w:val="28"/>
        </w:rPr>
        <w:t>3</w:t>
      </w:r>
      <w:r w:rsidR="00B850C4" w:rsidRPr="00FC2211">
        <w:rPr>
          <w:rFonts w:cstheme="minorHAnsi"/>
          <w:sz w:val="28"/>
          <w:szCs w:val="28"/>
        </w:rPr>
        <w:t>,</w:t>
      </w:r>
      <w:r w:rsidR="00260EC3" w:rsidRPr="00FC2211">
        <w:rPr>
          <w:rFonts w:cstheme="minorHAnsi"/>
          <w:sz w:val="28"/>
          <w:szCs w:val="28"/>
        </w:rPr>
        <w:t xml:space="preserve"> and 202</w:t>
      </w:r>
      <w:r w:rsidR="00114A3A" w:rsidRPr="00FC2211">
        <w:rPr>
          <w:rFonts w:cstheme="minorHAnsi"/>
          <w:sz w:val="28"/>
          <w:szCs w:val="28"/>
        </w:rPr>
        <w:t>2</w:t>
      </w:r>
    </w:p>
    <w:p w14:paraId="560F199D" w14:textId="77777777" w:rsidR="00627BEF" w:rsidRPr="00FC2211" w:rsidRDefault="00627BEF" w:rsidP="005E325C">
      <w:pPr>
        <w:jc w:val="center"/>
        <w:rPr>
          <w:rFonts w:cstheme="minorHAnsi"/>
          <w:szCs w:val="20"/>
        </w:rPr>
      </w:pPr>
    </w:p>
    <w:p w14:paraId="1C568516" w14:textId="09DBD08A" w:rsidR="00627BEF" w:rsidRPr="00FC2211" w:rsidRDefault="00627BEF" w:rsidP="005E325C">
      <w:pPr>
        <w:pBdr>
          <w:bottom w:val="single" w:sz="12" w:space="1" w:color="auto"/>
        </w:pBdr>
        <w:jc w:val="center"/>
        <w:rPr>
          <w:rFonts w:cstheme="minorHAnsi"/>
          <w:sz w:val="28"/>
          <w:szCs w:val="28"/>
        </w:rPr>
      </w:pPr>
      <w:r w:rsidRPr="00FC2211">
        <w:rPr>
          <w:rFonts w:cstheme="minorHAnsi"/>
          <w:sz w:val="28"/>
          <w:szCs w:val="28"/>
        </w:rPr>
        <w:t>(</w:t>
      </w:r>
      <w:r w:rsidR="00C45B34" w:rsidRPr="00FC2211">
        <w:rPr>
          <w:rFonts w:cstheme="minorHAnsi"/>
          <w:sz w:val="28"/>
          <w:szCs w:val="28"/>
        </w:rPr>
        <w:t xml:space="preserve">Unaudited - </w:t>
      </w:r>
      <w:r w:rsidRPr="00FC2211">
        <w:rPr>
          <w:rFonts w:cstheme="minorHAnsi"/>
          <w:sz w:val="28"/>
          <w:szCs w:val="28"/>
        </w:rPr>
        <w:t>Expressed in Canadian Dollars)</w:t>
      </w:r>
    </w:p>
    <w:p w14:paraId="3E3C69CB" w14:textId="77777777" w:rsidR="00EC49E6" w:rsidRPr="00FC2211" w:rsidRDefault="00EC49E6" w:rsidP="005E325C">
      <w:pPr>
        <w:pBdr>
          <w:bottom w:val="single" w:sz="12" w:space="1" w:color="auto"/>
        </w:pBdr>
        <w:jc w:val="center"/>
        <w:rPr>
          <w:rFonts w:cstheme="minorHAnsi"/>
          <w:szCs w:val="20"/>
        </w:rPr>
      </w:pPr>
    </w:p>
    <w:p w14:paraId="2EB3718E" w14:textId="77777777" w:rsidR="00EC49E6" w:rsidRPr="00FC2211" w:rsidRDefault="00EC49E6" w:rsidP="005E325C">
      <w:pPr>
        <w:jc w:val="center"/>
        <w:rPr>
          <w:rFonts w:cstheme="minorHAnsi"/>
          <w:szCs w:val="20"/>
        </w:rPr>
      </w:pPr>
    </w:p>
    <w:p w14:paraId="35182223" w14:textId="77777777" w:rsidR="008D73BE" w:rsidRPr="00FC2211" w:rsidRDefault="008D73BE">
      <w:pPr>
        <w:rPr>
          <w:rFonts w:cstheme="minorHAnsi"/>
          <w:szCs w:val="20"/>
        </w:rPr>
        <w:sectPr w:rsidR="008D73BE" w:rsidRPr="00FC2211" w:rsidSect="0081636B">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pPr>
    </w:p>
    <w:p w14:paraId="79E2727A" w14:textId="77777777" w:rsidR="0002386E" w:rsidRPr="00FC2211" w:rsidRDefault="0002386E" w:rsidP="001B1F1C">
      <w:pPr>
        <w:jc w:val="center"/>
        <w:rPr>
          <w:rFonts w:cstheme="minorHAnsi"/>
          <w:szCs w:val="20"/>
        </w:rPr>
      </w:pPr>
    </w:p>
    <w:p w14:paraId="7F4EA362" w14:textId="77777777" w:rsidR="00F90EEA" w:rsidRPr="00FC2211" w:rsidRDefault="00F90EEA" w:rsidP="001B1F1C">
      <w:pPr>
        <w:jc w:val="center"/>
        <w:rPr>
          <w:rFonts w:cstheme="minorHAnsi"/>
          <w:szCs w:val="20"/>
        </w:rPr>
      </w:pPr>
    </w:p>
    <w:p w14:paraId="06DEEA8E" w14:textId="44EF3FFA" w:rsidR="00F90EEA" w:rsidRPr="00FC2211" w:rsidRDefault="00EB2C08" w:rsidP="00F90EEA">
      <w:pPr>
        <w:autoSpaceDE w:val="0"/>
        <w:autoSpaceDN w:val="0"/>
        <w:adjustRightInd w:val="0"/>
        <w:jc w:val="center"/>
        <w:rPr>
          <w:rFonts w:cstheme="minorHAnsi"/>
          <w:color w:val="000000"/>
          <w:sz w:val="22"/>
          <w:szCs w:val="22"/>
        </w:rPr>
      </w:pPr>
      <w:r w:rsidRPr="00FC2211">
        <w:rPr>
          <w:rFonts w:cstheme="minorHAnsi"/>
          <w:b/>
          <w:bCs/>
          <w:color w:val="000000"/>
          <w:sz w:val="28"/>
          <w:szCs w:val="28"/>
        </w:rPr>
        <w:t>MANAGEMENT’S RESPONSIBILITY FOR FINANCIAL REPORTING</w:t>
      </w:r>
    </w:p>
    <w:p w14:paraId="36E7E939" w14:textId="77777777" w:rsidR="003209CD" w:rsidRPr="00FC2211" w:rsidRDefault="003209CD" w:rsidP="00F90EEA">
      <w:pPr>
        <w:rPr>
          <w:rFonts w:ascii="Calibri" w:hAnsi="Calibri"/>
          <w:szCs w:val="20"/>
        </w:rPr>
      </w:pPr>
    </w:p>
    <w:p w14:paraId="46B22A5D" w14:textId="77777777" w:rsidR="00EB2C08" w:rsidRPr="00FC2211" w:rsidRDefault="00EB2C08" w:rsidP="00F90EEA">
      <w:pPr>
        <w:rPr>
          <w:rFonts w:ascii="Calibri" w:hAnsi="Calibri"/>
          <w:szCs w:val="20"/>
        </w:rPr>
      </w:pPr>
    </w:p>
    <w:p w14:paraId="12D6B0DB" w14:textId="77777777" w:rsidR="00F05EDA" w:rsidRPr="00FC2211" w:rsidRDefault="00F05EDA" w:rsidP="00F05EDA">
      <w:pPr>
        <w:rPr>
          <w:rFonts w:ascii="Calibri" w:hAnsi="Calibri"/>
          <w:szCs w:val="20"/>
        </w:rPr>
      </w:pPr>
      <w:r w:rsidRPr="00FC2211">
        <w:rPr>
          <w:rFonts w:ascii="Calibri" w:hAnsi="Calibri"/>
          <w:szCs w:val="20"/>
        </w:rPr>
        <w:t xml:space="preserve">Management of the Company is responsible for the preparation of the accompanying unaudited interim condensed consolidated financial statements. The unaudited interim condensed consolidated financial statements have been prepared using accounting policies in compliance with International Financial Reporting Standards (“IFRS”) for the preparation of interim condensed financial statements and are in accordance with </w:t>
      </w:r>
      <w:r w:rsidRPr="00FC2211">
        <w:rPr>
          <w:rFonts w:ascii="Calibri" w:hAnsi="Calibri"/>
          <w:i/>
          <w:iCs/>
          <w:szCs w:val="20"/>
        </w:rPr>
        <w:t xml:space="preserve">International Accounting Standard (“IAS”) 34 – Interim Financial Reporting. </w:t>
      </w:r>
    </w:p>
    <w:p w14:paraId="514B8E49" w14:textId="77777777" w:rsidR="00F05EDA" w:rsidRPr="00FC2211" w:rsidRDefault="00F05EDA" w:rsidP="00F05EDA">
      <w:pPr>
        <w:rPr>
          <w:rFonts w:ascii="Calibri" w:hAnsi="Calibri"/>
          <w:szCs w:val="20"/>
        </w:rPr>
      </w:pPr>
    </w:p>
    <w:p w14:paraId="30D8F81E" w14:textId="5A9E605B" w:rsidR="00EB2C08" w:rsidRPr="00FC2211" w:rsidRDefault="00F05EDA" w:rsidP="00F05EDA">
      <w:pPr>
        <w:rPr>
          <w:rFonts w:ascii="Calibri" w:hAnsi="Calibri"/>
          <w:szCs w:val="20"/>
        </w:rPr>
        <w:sectPr w:rsidR="00EB2C08" w:rsidRPr="00FC2211" w:rsidSect="0081636B">
          <w:footerReference w:type="even" r:id="rId17"/>
          <w:headerReference w:type="first" r:id="rId18"/>
          <w:footerReference w:type="first" r:id="rId19"/>
          <w:pgSz w:w="12240" w:h="15840"/>
          <w:pgMar w:top="2160" w:right="1440" w:bottom="1440" w:left="1440" w:header="720" w:footer="720" w:gutter="0"/>
          <w:cols w:space="720"/>
          <w:docGrid w:linePitch="360"/>
        </w:sectPr>
      </w:pPr>
      <w:r w:rsidRPr="00FC2211">
        <w:rPr>
          <w:rFonts w:ascii="Calibri" w:hAnsi="Calibri"/>
          <w:szCs w:val="20"/>
        </w:rPr>
        <w:t>The Company’s auditor has not performed a review of these interim condensed consolidated financial statements in accordance with the standards established by the Canadian Institute of Chartered Professional Accountants for a review of interim financial statements by an entity’s auditor.</w:t>
      </w:r>
    </w:p>
    <w:tbl>
      <w:tblPr>
        <w:tblW w:w="9303" w:type="dxa"/>
        <w:tblLook w:val="04A0" w:firstRow="1" w:lastRow="0" w:firstColumn="1" w:lastColumn="0" w:noHBand="0" w:noVBand="1"/>
      </w:tblPr>
      <w:tblGrid>
        <w:gridCol w:w="4796"/>
        <w:gridCol w:w="733"/>
        <w:gridCol w:w="2268"/>
        <w:gridCol w:w="1506"/>
      </w:tblGrid>
      <w:tr w:rsidR="00065A9C" w:rsidRPr="00FC2211" w14:paraId="6F8D1099" w14:textId="77777777" w:rsidTr="006635A4">
        <w:trPr>
          <w:trHeight w:val="194"/>
        </w:trPr>
        <w:tc>
          <w:tcPr>
            <w:tcW w:w="4796" w:type="dxa"/>
            <w:tcBorders>
              <w:top w:val="nil"/>
              <w:left w:val="nil"/>
              <w:bottom w:val="single" w:sz="8" w:space="0" w:color="auto"/>
              <w:right w:val="nil"/>
            </w:tcBorders>
            <w:shd w:val="clear" w:color="auto" w:fill="auto"/>
            <w:noWrap/>
            <w:vAlign w:val="center"/>
            <w:hideMark/>
          </w:tcPr>
          <w:p w14:paraId="1AD2E14A" w14:textId="77777777"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lastRenderedPageBreak/>
              <w:t> </w:t>
            </w:r>
          </w:p>
        </w:tc>
        <w:tc>
          <w:tcPr>
            <w:tcW w:w="733" w:type="dxa"/>
            <w:tcBorders>
              <w:top w:val="nil"/>
              <w:left w:val="nil"/>
              <w:bottom w:val="single" w:sz="8" w:space="0" w:color="auto"/>
              <w:right w:val="nil"/>
            </w:tcBorders>
            <w:shd w:val="clear" w:color="auto" w:fill="auto"/>
            <w:noWrap/>
            <w:vAlign w:val="center"/>
            <w:hideMark/>
          </w:tcPr>
          <w:p w14:paraId="2719876F" w14:textId="77777777" w:rsidR="00065A9C" w:rsidRPr="00FC2211" w:rsidRDefault="00065A9C" w:rsidP="00065A9C">
            <w:pPr>
              <w:jc w:val="center"/>
              <w:rPr>
                <w:rFonts w:ascii="Calibri" w:hAnsi="Calibri" w:cs="Calibri"/>
                <w:b/>
                <w:bCs/>
                <w:i/>
                <w:iCs/>
                <w:color w:val="000000"/>
                <w:szCs w:val="20"/>
                <w:lang w:val="en-CA" w:eastAsia="en-CA"/>
              </w:rPr>
            </w:pPr>
            <w:r w:rsidRPr="00FC2211">
              <w:rPr>
                <w:rFonts w:ascii="Calibri" w:hAnsi="Calibri" w:cs="Calibri"/>
                <w:b/>
                <w:bCs/>
                <w:i/>
                <w:iCs/>
                <w:color w:val="000000"/>
                <w:szCs w:val="20"/>
                <w:lang w:val="en-CA" w:eastAsia="en-CA"/>
              </w:rPr>
              <w:t>Notes</w:t>
            </w:r>
          </w:p>
        </w:tc>
        <w:tc>
          <w:tcPr>
            <w:tcW w:w="2268" w:type="dxa"/>
            <w:tcBorders>
              <w:top w:val="nil"/>
              <w:left w:val="nil"/>
              <w:bottom w:val="single" w:sz="8" w:space="0" w:color="auto"/>
              <w:right w:val="nil"/>
            </w:tcBorders>
            <w:shd w:val="clear" w:color="auto" w:fill="auto"/>
            <w:vAlign w:val="center"/>
            <w:hideMark/>
          </w:tcPr>
          <w:p w14:paraId="196D85F8" w14:textId="4C871CCA" w:rsidR="00065A9C" w:rsidRPr="00FC2211" w:rsidRDefault="007B56DE"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December 31</w:t>
            </w:r>
            <w:r w:rsidR="00065A9C" w:rsidRPr="00FC2211">
              <w:rPr>
                <w:rFonts w:ascii="Calibri" w:hAnsi="Calibri" w:cs="Calibri"/>
                <w:b/>
                <w:bCs/>
                <w:color w:val="000000"/>
                <w:szCs w:val="20"/>
                <w:lang w:val="en-CA" w:eastAsia="en-CA"/>
              </w:rPr>
              <w:t>, 2023</w:t>
            </w:r>
          </w:p>
        </w:tc>
        <w:tc>
          <w:tcPr>
            <w:tcW w:w="1506" w:type="dxa"/>
            <w:tcBorders>
              <w:top w:val="nil"/>
              <w:left w:val="nil"/>
              <w:bottom w:val="single" w:sz="8" w:space="0" w:color="auto"/>
              <w:right w:val="nil"/>
            </w:tcBorders>
            <w:shd w:val="clear" w:color="auto" w:fill="auto"/>
            <w:vAlign w:val="center"/>
            <w:hideMark/>
          </w:tcPr>
          <w:p w14:paraId="19B92A00" w14:textId="77777777"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June 30, 2023</w:t>
            </w:r>
          </w:p>
        </w:tc>
      </w:tr>
      <w:tr w:rsidR="00065A9C" w:rsidRPr="00FC2211" w14:paraId="5AAD2AD2" w14:textId="77777777" w:rsidTr="00065A9C">
        <w:trPr>
          <w:trHeight w:val="276"/>
        </w:trPr>
        <w:tc>
          <w:tcPr>
            <w:tcW w:w="4796" w:type="dxa"/>
            <w:tcBorders>
              <w:top w:val="nil"/>
              <w:left w:val="nil"/>
              <w:bottom w:val="nil"/>
              <w:right w:val="nil"/>
            </w:tcBorders>
            <w:shd w:val="clear" w:color="auto" w:fill="auto"/>
            <w:noWrap/>
            <w:vAlign w:val="center"/>
            <w:hideMark/>
          </w:tcPr>
          <w:p w14:paraId="11C2AC2E" w14:textId="77777777" w:rsidR="00065A9C" w:rsidRPr="00FC2211" w:rsidRDefault="00065A9C" w:rsidP="00065A9C">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Assets </w:t>
            </w:r>
          </w:p>
        </w:tc>
        <w:tc>
          <w:tcPr>
            <w:tcW w:w="733" w:type="dxa"/>
            <w:tcBorders>
              <w:top w:val="nil"/>
              <w:left w:val="nil"/>
              <w:bottom w:val="nil"/>
              <w:right w:val="nil"/>
            </w:tcBorders>
            <w:shd w:val="clear" w:color="auto" w:fill="auto"/>
            <w:noWrap/>
            <w:vAlign w:val="center"/>
            <w:hideMark/>
          </w:tcPr>
          <w:p w14:paraId="74541815" w14:textId="77777777" w:rsidR="00065A9C" w:rsidRPr="00FC2211" w:rsidRDefault="00065A9C" w:rsidP="00065A9C">
            <w:pPr>
              <w:rPr>
                <w:rFonts w:ascii="Calibri" w:hAnsi="Calibri" w:cs="Calibri"/>
                <w:b/>
                <w:bCs/>
                <w:color w:val="000000"/>
                <w:szCs w:val="20"/>
                <w:lang w:val="en-CA" w:eastAsia="en-CA"/>
              </w:rPr>
            </w:pPr>
          </w:p>
        </w:tc>
        <w:tc>
          <w:tcPr>
            <w:tcW w:w="2268" w:type="dxa"/>
            <w:tcBorders>
              <w:top w:val="nil"/>
              <w:left w:val="nil"/>
              <w:bottom w:val="nil"/>
              <w:right w:val="nil"/>
            </w:tcBorders>
            <w:shd w:val="clear" w:color="auto" w:fill="auto"/>
            <w:vAlign w:val="center"/>
            <w:hideMark/>
          </w:tcPr>
          <w:p w14:paraId="592CC062" w14:textId="77777777" w:rsidR="00065A9C" w:rsidRPr="00FC2211" w:rsidRDefault="00065A9C" w:rsidP="00065A9C">
            <w:pPr>
              <w:jc w:val="center"/>
              <w:rPr>
                <w:rFonts w:ascii="Times New Roman" w:hAnsi="Times New Roman"/>
                <w:szCs w:val="20"/>
                <w:lang w:val="en-CA" w:eastAsia="en-CA"/>
              </w:rPr>
            </w:pPr>
          </w:p>
        </w:tc>
        <w:tc>
          <w:tcPr>
            <w:tcW w:w="1506" w:type="dxa"/>
            <w:tcBorders>
              <w:top w:val="nil"/>
              <w:left w:val="nil"/>
              <w:bottom w:val="nil"/>
              <w:right w:val="nil"/>
            </w:tcBorders>
            <w:shd w:val="clear" w:color="auto" w:fill="auto"/>
            <w:noWrap/>
            <w:vAlign w:val="center"/>
            <w:hideMark/>
          </w:tcPr>
          <w:p w14:paraId="24DD5907" w14:textId="77777777" w:rsidR="00065A9C" w:rsidRPr="00FC2211" w:rsidRDefault="00065A9C" w:rsidP="00065A9C">
            <w:pPr>
              <w:rPr>
                <w:rFonts w:ascii="Times New Roman" w:hAnsi="Times New Roman"/>
                <w:szCs w:val="20"/>
                <w:lang w:val="en-CA" w:eastAsia="en-CA"/>
              </w:rPr>
            </w:pPr>
          </w:p>
        </w:tc>
      </w:tr>
      <w:tr w:rsidR="00065A9C" w:rsidRPr="00FC2211" w14:paraId="45AF0447" w14:textId="77777777" w:rsidTr="00065A9C">
        <w:trPr>
          <w:trHeight w:val="276"/>
        </w:trPr>
        <w:tc>
          <w:tcPr>
            <w:tcW w:w="4796" w:type="dxa"/>
            <w:tcBorders>
              <w:top w:val="nil"/>
              <w:left w:val="nil"/>
              <w:bottom w:val="nil"/>
              <w:right w:val="nil"/>
            </w:tcBorders>
            <w:shd w:val="clear" w:color="auto" w:fill="auto"/>
            <w:noWrap/>
            <w:vAlign w:val="center"/>
            <w:hideMark/>
          </w:tcPr>
          <w:p w14:paraId="4050ACDB" w14:textId="77777777" w:rsidR="00065A9C" w:rsidRPr="00FC2211" w:rsidRDefault="00065A9C" w:rsidP="00065A9C">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Current assets </w:t>
            </w:r>
          </w:p>
        </w:tc>
        <w:tc>
          <w:tcPr>
            <w:tcW w:w="733" w:type="dxa"/>
            <w:tcBorders>
              <w:top w:val="nil"/>
              <w:left w:val="nil"/>
              <w:bottom w:val="nil"/>
              <w:right w:val="nil"/>
            </w:tcBorders>
            <w:shd w:val="clear" w:color="auto" w:fill="auto"/>
            <w:noWrap/>
            <w:vAlign w:val="center"/>
            <w:hideMark/>
          </w:tcPr>
          <w:p w14:paraId="72041CFB" w14:textId="77777777" w:rsidR="00065A9C" w:rsidRPr="00FC2211" w:rsidRDefault="00065A9C" w:rsidP="00065A9C">
            <w:pPr>
              <w:rPr>
                <w:rFonts w:ascii="Calibri" w:hAnsi="Calibri" w:cs="Calibri"/>
                <w:b/>
                <w:bCs/>
                <w:color w:val="000000"/>
                <w:szCs w:val="20"/>
                <w:lang w:val="en-CA" w:eastAsia="en-CA"/>
              </w:rPr>
            </w:pPr>
          </w:p>
        </w:tc>
        <w:tc>
          <w:tcPr>
            <w:tcW w:w="2268" w:type="dxa"/>
            <w:tcBorders>
              <w:top w:val="nil"/>
              <w:left w:val="nil"/>
              <w:bottom w:val="nil"/>
              <w:right w:val="nil"/>
            </w:tcBorders>
            <w:shd w:val="clear" w:color="auto" w:fill="auto"/>
            <w:vAlign w:val="center"/>
            <w:hideMark/>
          </w:tcPr>
          <w:p w14:paraId="22D8B7B4" w14:textId="77777777" w:rsidR="00065A9C" w:rsidRPr="00FC2211" w:rsidRDefault="00065A9C" w:rsidP="00065A9C">
            <w:pPr>
              <w:jc w:val="center"/>
              <w:rPr>
                <w:rFonts w:ascii="Times New Roman" w:hAnsi="Times New Roman"/>
                <w:szCs w:val="20"/>
                <w:lang w:val="en-CA" w:eastAsia="en-CA"/>
              </w:rPr>
            </w:pPr>
          </w:p>
        </w:tc>
        <w:tc>
          <w:tcPr>
            <w:tcW w:w="1506" w:type="dxa"/>
            <w:tcBorders>
              <w:top w:val="nil"/>
              <w:left w:val="nil"/>
              <w:bottom w:val="nil"/>
              <w:right w:val="nil"/>
            </w:tcBorders>
            <w:shd w:val="clear" w:color="auto" w:fill="auto"/>
            <w:noWrap/>
            <w:vAlign w:val="center"/>
            <w:hideMark/>
          </w:tcPr>
          <w:p w14:paraId="6F0C4B3B" w14:textId="77777777" w:rsidR="00065A9C" w:rsidRPr="00FC2211" w:rsidRDefault="00065A9C" w:rsidP="00065A9C">
            <w:pPr>
              <w:rPr>
                <w:rFonts w:ascii="Times New Roman" w:hAnsi="Times New Roman"/>
                <w:szCs w:val="20"/>
                <w:lang w:val="en-CA" w:eastAsia="en-CA"/>
              </w:rPr>
            </w:pPr>
          </w:p>
        </w:tc>
      </w:tr>
      <w:tr w:rsidR="00065A9C" w:rsidRPr="00FC2211" w14:paraId="7E414490" w14:textId="77777777" w:rsidTr="00065A9C">
        <w:trPr>
          <w:trHeight w:val="276"/>
        </w:trPr>
        <w:tc>
          <w:tcPr>
            <w:tcW w:w="4796" w:type="dxa"/>
            <w:tcBorders>
              <w:top w:val="nil"/>
              <w:left w:val="nil"/>
              <w:bottom w:val="nil"/>
              <w:right w:val="nil"/>
            </w:tcBorders>
            <w:shd w:val="clear" w:color="auto" w:fill="auto"/>
            <w:noWrap/>
            <w:vAlign w:val="center"/>
            <w:hideMark/>
          </w:tcPr>
          <w:p w14:paraId="6643FCB8" w14:textId="77777777"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Cash  </w:t>
            </w:r>
          </w:p>
        </w:tc>
        <w:tc>
          <w:tcPr>
            <w:tcW w:w="733" w:type="dxa"/>
            <w:tcBorders>
              <w:top w:val="nil"/>
              <w:left w:val="nil"/>
              <w:bottom w:val="nil"/>
              <w:right w:val="nil"/>
            </w:tcBorders>
            <w:shd w:val="clear" w:color="auto" w:fill="auto"/>
            <w:noWrap/>
            <w:vAlign w:val="center"/>
            <w:hideMark/>
          </w:tcPr>
          <w:p w14:paraId="59431262" w14:textId="77777777" w:rsidR="00065A9C" w:rsidRPr="00FC2211" w:rsidRDefault="00065A9C" w:rsidP="00065A9C">
            <w:pPr>
              <w:ind w:firstLineChars="100" w:firstLine="200"/>
              <w:rPr>
                <w:rFonts w:ascii="Calibri" w:hAnsi="Calibri" w:cs="Calibri"/>
                <w:color w:val="000000"/>
                <w:szCs w:val="20"/>
                <w:lang w:val="en-CA" w:eastAsia="en-CA"/>
              </w:rPr>
            </w:pPr>
          </w:p>
        </w:tc>
        <w:tc>
          <w:tcPr>
            <w:tcW w:w="2268" w:type="dxa"/>
            <w:tcBorders>
              <w:top w:val="nil"/>
              <w:left w:val="nil"/>
              <w:bottom w:val="nil"/>
              <w:right w:val="nil"/>
            </w:tcBorders>
            <w:shd w:val="clear" w:color="auto" w:fill="auto"/>
            <w:vAlign w:val="center"/>
            <w:hideMark/>
          </w:tcPr>
          <w:p w14:paraId="7D2516E2" w14:textId="447C18DC"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BD17BA" w:rsidRPr="00FC2211">
              <w:rPr>
                <w:rFonts w:ascii="Calibri" w:hAnsi="Calibri" w:cs="Calibri"/>
                <w:b/>
                <w:bCs/>
                <w:color w:val="000000"/>
                <w:szCs w:val="20"/>
                <w:lang w:val="en-CA" w:eastAsia="en-CA"/>
              </w:rPr>
              <w:t>14,815</w:t>
            </w:r>
            <w:r w:rsidRPr="00FC2211">
              <w:rPr>
                <w:rFonts w:ascii="Calibri" w:hAnsi="Calibri" w:cs="Calibri"/>
                <w:b/>
                <w:bCs/>
                <w:color w:val="000000"/>
                <w:szCs w:val="20"/>
                <w:lang w:val="en-CA" w:eastAsia="en-CA"/>
              </w:rPr>
              <w:t xml:space="preserve"> </w:t>
            </w:r>
          </w:p>
        </w:tc>
        <w:tc>
          <w:tcPr>
            <w:tcW w:w="1506" w:type="dxa"/>
            <w:tcBorders>
              <w:top w:val="nil"/>
              <w:left w:val="nil"/>
              <w:bottom w:val="nil"/>
              <w:right w:val="nil"/>
            </w:tcBorders>
            <w:shd w:val="clear" w:color="auto" w:fill="auto"/>
            <w:noWrap/>
            <w:vAlign w:val="center"/>
            <w:hideMark/>
          </w:tcPr>
          <w:p w14:paraId="12EBE1C7" w14:textId="4B862BFF"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362,510 </w:t>
            </w:r>
          </w:p>
        </w:tc>
      </w:tr>
      <w:tr w:rsidR="00065A9C" w:rsidRPr="00FC2211" w14:paraId="63E4578B" w14:textId="77777777" w:rsidTr="00065A9C">
        <w:trPr>
          <w:trHeight w:val="276"/>
        </w:trPr>
        <w:tc>
          <w:tcPr>
            <w:tcW w:w="4796" w:type="dxa"/>
            <w:tcBorders>
              <w:top w:val="nil"/>
              <w:left w:val="nil"/>
              <w:bottom w:val="nil"/>
              <w:right w:val="nil"/>
            </w:tcBorders>
            <w:shd w:val="clear" w:color="auto" w:fill="auto"/>
            <w:noWrap/>
            <w:vAlign w:val="center"/>
            <w:hideMark/>
          </w:tcPr>
          <w:p w14:paraId="28F04E23" w14:textId="77777777"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Accounts receivable </w:t>
            </w:r>
          </w:p>
        </w:tc>
        <w:tc>
          <w:tcPr>
            <w:tcW w:w="733" w:type="dxa"/>
            <w:tcBorders>
              <w:top w:val="nil"/>
              <w:left w:val="nil"/>
              <w:bottom w:val="nil"/>
              <w:right w:val="nil"/>
            </w:tcBorders>
            <w:shd w:val="clear" w:color="auto" w:fill="auto"/>
            <w:noWrap/>
            <w:vAlign w:val="center"/>
            <w:hideMark/>
          </w:tcPr>
          <w:p w14:paraId="25F25814"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5</w:t>
            </w:r>
          </w:p>
        </w:tc>
        <w:tc>
          <w:tcPr>
            <w:tcW w:w="2268" w:type="dxa"/>
            <w:tcBorders>
              <w:top w:val="nil"/>
              <w:left w:val="nil"/>
              <w:bottom w:val="nil"/>
              <w:right w:val="nil"/>
            </w:tcBorders>
            <w:shd w:val="clear" w:color="auto" w:fill="auto"/>
            <w:vAlign w:val="center"/>
            <w:hideMark/>
          </w:tcPr>
          <w:p w14:paraId="5D29B60E" w14:textId="377A47D9"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2</w:t>
            </w:r>
            <w:r w:rsidR="00BD17BA" w:rsidRPr="00FC2211">
              <w:rPr>
                <w:rFonts w:ascii="Calibri" w:hAnsi="Calibri" w:cs="Calibri"/>
                <w:b/>
                <w:bCs/>
                <w:color w:val="000000"/>
                <w:szCs w:val="20"/>
                <w:lang w:val="en-CA" w:eastAsia="en-CA"/>
              </w:rPr>
              <w:t>55,322</w:t>
            </w:r>
            <w:r w:rsidRPr="00FC2211">
              <w:rPr>
                <w:rFonts w:ascii="Calibri" w:hAnsi="Calibri" w:cs="Calibri"/>
                <w:b/>
                <w:bCs/>
                <w:color w:val="000000"/>
                <w:szCs w:val="20"/>
                <w:lang w:val="en-CA" w:eastAsia="en-CA"/>
              </w:rPr>
              <w:t xml:space="preserve"> </w:t>
            </w:r>
          </w:p>
        </w:tc>
        <w:tc>
          <w:tcPr>
            <w:tcW w:w="1506" w:type="dxa"/>
            <w:tcBorders>
              <w:top w:val="nil"/>
              <w:left w:val="nil"/>
              <w:bottom w:val="nil"/>
              <w:right w:val="nil"/>
            </w:tcBorders>
            <w:shd w:val="clear" w:color="auto" w:fill="auto"/>
            <w:noWrap/>
            <w:vAlign w:val="center"/>
            <w:hideMark/>
          </w:tcPr>
          <w:p w14:paraId="243A192B" w14:textId="18282D33"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252,599 </w:t>
            </w:r>
          </w:p>
        </w:tc>
      </w:tr>
      <w:tr w:rsidR="00065A9C" w:rsidRPr="00FC2211" w14:paraId="6D4AD061" w14:textId="77777777" w:rsidTr="00065A9C">
        <w:trPr>
          <w:trHeight w:val="276"/>
        </w:trPr>
        <w:tc>
          <w:tcPr>
            <w:tcW w:w="4796" w:type="dxa"/>
            <w:tcBorders>
              <w:top w:val="nil"/>
              <w:left w:val="nil"/>
              <w:bottom w:val="nil"/>
              <w:right w:val="nil"/>
            </w:tcBorders>
            <w:shd w:val="clear" w:color="auto" w:fill="auto"/>
            <w:noWrap/>
            <w:vAlign w:val="center"/>
            <w:hideMark/>
          </w:tcPr>
          <w:p w14:paraId="49FF4FEE" w14:textId="77777777"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Inventory </w:t>
            </w:r>
          </w:p>
        </w:tc>
        <w:tc>
          <w:tcPr>
            <w:tcW w:w="733" w:type="dxa"/>
            <w:tcBorders>
              <w:top w:val="nil"/>
              <w:left w:val="nil"/>
              <w:bottom w:val="nil"/>
              <w:right w:val="nil"/>
            </w:tcBorders>
            <w:shd w:val="clear" w:color="auto" w:fill="auto"/>
            <w:noWrap/>
            <w:vAlign w:val="center"/>
            <w:hideMark/>
          </w:tcPr>
          <w:p w14:paraId="62AA2E88"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4, 6</w:t>
            </w:r>
          </w:p>
        </w:tc>
        <w:tc>
          <w:tcPr>
            <w:tcW w:w="2268" w:type="dxa"/>
            <w:tcBorders>
              <w:top w:val="nil"/>
              <w:left w:val="nil"/>
              <w:bottom w:val="nil"/>
              <w:right w:val="nil"/>
            </w:tcBorders>
            <w:shd w:val="clear" w:color="auto" w:fill="auto"/>
            <w:vAlign w:val="center"/>
            <w:hideMark/>
          </w:tcPr>
          <w:p w14:paraId="35C805C7" w14:textId="292E97F1"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2</w:t>
            </w:r>
            <w:r w:rsidR="00BD17BA" w:rsidRPr="00FC2211">
              <w:rPr>
                <w:rFonts w:ascii="Calibri" w:hAnsi="Calibri" w:cs="Calibri"/>
                <w:b/>
                <w:bCs/>
                <w:color w:val="000000"/>
                <w:szCs w:val="20"/>
                <w:lang w:val="en-CA" w:eastAsia="en-CA"/>
              </w:rPr>
              <w:t>32,232</w:t>
            </w:r>
            <w:r w:rsidRPr="00FC2211">
              <w:rPr>
                <w:rFonts w:ascii="Calibri" w:hAnsi="Calibri" w:cs="Calibri"/>
                <w:b/>
                <w:bCs/>
                <w:color w:val="000000"/>
                <w:szCs w:val="20"/>
                <w:lang w:val="en-CA" w:eastAsia="en-CA"/>
              </w:rPr>
              <w:t xml:space="preserve"> </w:t>
            </w:r>
          </w:p>
        </w:tc>
        <w:tc>
          <w:tcPr>
            <w:tcW w:w="1506" w:type="dxa"/>
            <w:tcBorders>
              <w:top w:val="nil"/>
              <w:left w:val="nil"/>
              <w:bottom w:val="nil"/>
              <w:right w:val="nil"/>
            </w:tcBorders>
            <w:shd w:val="clear" w:color="auto" w:fill="auto"/>
            <w:noWrap/>
            <w:vAlign w:val="center"/>
            <w:hideMark/>
          </w:tcPr>
          <w:p w14:paraId="55926C1F" w14:textId="1CDE5323"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263,962 </w:t>
            </w:r>
          </w:p>
        </w:tc>
      </w:tr>
      <w:tr w:rsidR="00065A9C" w:rsidRPr="00FC2211" w14:paraId="0AA91DFD" w14:textId="77777777" w:rsidTr="00065A9C">
        <w:trPr>
          <w:trHeight w:val="276"/>
        </w:trPr>
        <w:tc>
          <w:tcPr>
            <w:tcW w:w="4796" w:type="dxa"/>
            <w:tcBorders>
              <w:top w:val="nil"/>
              <w:left w:val="nil"/>
              <w:bottom w:val="nil"/>
              <w:right w:val="nil"/>
            </w:tcBorders>
            <w:shd w:val="clear" w:color="auto" w:fill="auto"/>
            <w:noWrap/>
            <w:vAlign w:val="center"/>
            <w:hideMark/>
          </w:tcPr>
          <w:p w14:paraId="6A290163" w14:textId="77777777"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Prepaid expenses </w:t>
            </w:r>
          </w:p>
        </w:tc>
        <w:tc>
          <w:tcPr>
            <w:tcW w:w="733" w:type="dxa"/>
            <w:tcBorders>
              <w:top w:val="nil"/>
              <w:left w:val="nil"/>
              <w:bottom w:val="nil"/>
              <w:right w:val="nil"/>
            </w:tcBorders>
            <w:shd w:val="clear" w:color="auto" w:fill="auto"/>
            <w:noWrap/>
            <w:vAlign w:val="center"/>
            <w:hideMark/>
          </w:tcPr>
          <w:p w14:paraId="42271F63"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7</w:t>
            </w:r>
          </w:p>
        </w:tc>
        <w:tc>
          <w:tcPr>
            <w:tcW w:w="2268" w:type="dxa"/>
            <w:tcBorders>
              <w:top w:val="nil"/>
              <w:left w:val="nil"/>
              <w:bottom w:val="nil"/>
              <w:right w:val="nil"/>
            </w:tcBorders>
            <w:shd w:val="clear" w:color="auto" w:fill="auto"/>
            <w:vAlign w:val="center"/>
            <w:hideMark/>
          </w:tcPr>
          <w:p w14:paraId="71EBEC6F" w14:textId="0A5B3711"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BD17BA" w:rsidRPr="00FC2211">
              <w:rPr>
                <w:rFonts w:ascii="Calibri" w:hAnsi="Calibri" w:cs="Calibri"/>
                <w:b/>
                <w:bCs/>
                <w:color w:val="000000"/>
                <w:szCs w:val="20"/>
                <w:lang w:val="en-CA" w:eastAsia="en-CA"/>
              </w:rPr>
              <w:t>33,270</w:t>
            </w:r>
            <w:r w:rsidRPr="00FC2211">
              <w:rPr>
                <w:rFonts w:ascii="Calibri" w:hAnsi="Calibri" w:cs="Calibri"/>
                <w:b/>
                <w:bCs/>
                <w:color w:val="000000"/>
                <w:szCs w:val="20"/>
                <w:lang w:val="en-CA" w:eastAsia="en-CA"/>
              </w:rPr>
              <w:t xml:space="preserve"> </w:t>
            </w:r>
          </w:p>
        </w:tc>
        <w:tc>
          <w:tcPr>
            <w:tcW w:w="1506" w:type="dxa"/>
            <w:tcBorders>
              <w:top w:val="nil"/>
              <w:left w:val="nil"/>
              <w:bottom w:val="nil"/>
              <w:right w:val="nil"/>
            </w:tcBorders>
            <w:shd w:val="clear" w:color="auto" w:fill="auto"/>
            <w:noWrap/>
            <w:vAlign w:val="center"/>
            <w:hideMark/>
          </w:tcPr>
          <w:p w14:paraId="02DA4581" w14:textId="24B3B2C7"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96,380 </w:t>
            </w:r>
          </w:p>
        </w:tc>
      </w:tr>
      <w:tr w:rsidR="00065A9C" w:rsidRPr="00FC2211" w14:paraId="754C846B" w14:textId="77777777" w:rsidTr="00065A9C">
        <w:trPr>
          <w:trHeight w:val="276"/>
        </w:trPr>
        <w:tc>
          <w:tcPr>
            <w:tcW w:w="4796" w:type="dxa"/>
            <w:tcBorders>
              <w:top w:val="nil"/>
              <w:left w:val="nil"/>
              <w:bottom w:val="nil"/>
              <w:right w:val="nil"/>
            </w:tcBorders>
            <w:shd w:val="clear" w:color="auto" w:fill="auto"/>
            <w:noWrap/>
            <w:vAlign w:val="center"/>
            <w:hideMark/>
          </w:tcPr>
          <w:p w14:paraId="14F02844" w14:textId="4B083693"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Note Receivable</w:t>
            </w:r>
          </w:p>
        </w:tc>
        <w:tc>
          <w:tcPr>
            <w:tcW w:w="733" w:type="dxa"/>
            <w:tcBorders>
              <w:top w:val="nil"/>
              <w:left w:val="nil"/>
              <w:bottom w:val="nil"/>
              <w:right w:val="nil"/>
            </w:tcBorders>
            <w:shd w:val="clear" w:color="auto" w:fill="auto"/>
            <w:noWrap/>
            <w:vAlign w:val="center"/>
            <w:hideMark/>
          </w:tcPr>
          <w:p w14:paraId="5C456965"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8</w:t>
            </w:r>
          </w:p>
        </w:tc>
        <w:tc>
          <w:tcPr>
            <w:tcW w:w="2268" w:type="dxa"/>
            <w:tcBorders>
              <w:top w:val="nil"/>
              <w:left w:val="nil"/>
              <w:bottom w:val="nil"/>
              <w:right w:val="nil"/>
            </w:tcBorders>
            <w:shd w:val="clear" w:color="auto" w:fill="auto"/>
            <w:vAlign w:val="center"/>
            <w:hideMark/>
          </w:tcPr>
          <w:p w14:paraId="6DE93B31" w14:textId="5C36376A"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2</w:t>
            </w:r>
            <w:r w:rsidR="00152ED8" w:rsidRPr="00FC2211">
              <w:rPr>
                <w:rFonts w:ascii="Calibri" w:hAnsi="Calibri" w:cs="Calibri"/>
                <w:b/>
                <w:bCs/>
                <w:color w:val="000000"/>
                <w:szCs w:val="20"/>
                <w:lang w:val="en-CA" w:eastAsia="en-CA"/>
              </w:rPr>
              <w:t>6,897</w:t>
            </w:r>
            <w:r w:rsidRPr="00FC2211">
              <w:rPr>
                <w:rFonts w:ascii="Calibri" w:hAnsi="Calibri" w:cs="Calibri"/>
                <w:b/>
                <w:bCs/>
                <w:color w:val="000000"/>
                <w:szCs w:val="20"/>
                <w:lang w:val="en-CA" w:eastAsia="en-CA"/>
              </w:rPr>
              <w:t xml:space="preserve"> </w:t>
            </w:r>
          </w:p>
        </w:tc>
        <w:tc>
          <w:tcPr>
            <w:tcW w:w="1506" w:type="dxa"/>
            <w:tcBorders>
              <w:top w:val="nil"/>
              <w:left w:val="nil"/>
              <w:bottom w:val="nil"/>
              <w:right w:val="nil"/>
            </w:tcBorders>
            <w:shd w:val="clear" w:color="auto" w:fill="auto"/>
            <w:noWrap/>
            <w:vAlign w:val="center"/>
            <w:hideMark/>
          </w:tcPr>
          <w:p w14:paraId="2790B3C0" w14:textId="74DEDC3B"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25,393 </w:t>
            </w:r>
          </w:p>
        </w:tc>
      </w:tr>
      <w:tr w:rsidR="00065A9C" w:rsidRPr="00FC2211" w14:paraId="61BC85DD"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1380FB81" w14:textId="77777777"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GST recoverable </w:t>
            </w:r>
          </w:p>
        </w:tc>
        <w:tc>
          <w:tcPr>
            <w:tcW w:w="733" w:type="dxa"/>
            <w:tcBorders>
              <w:top w:val="nil"/>
              <w:left w:val="nil"/>
              <w:bottom w:val="single" w:sz="8" w:space="0" w:color="auto"/>
              <w:right w:val="nil"/>
            </w:tcBorders>
            <w:shd w:val="clear" w:color="auto" w:fill="auto"/>
            <w:noWrap/>
            <w:vAlign w:val="center"/>
            <w:hideMark/>
          </w:tcPr>
          <w:p w14:paraId="563D3670"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 </w:t>
            </w:r>
          </w:p>
        </w:tc>
        <w:tc>
          <w:tcPr>
            <w:tcW w:w="2268" w:type="dxa"/>
            <w:tcBorders>
              <w:top w:val="nil"/>
              <w:left w:val="nil"/>
              <w:bottom w:val="single" w:sz="8" w:space="0" w:color="auto"/>
              <w:right w:val="nil"/>
            </w:tcBorders>
            <w:shd w:val="clear" w:color="auto" w:fill="auto"/>
            <w:vAlign w:val="center"/>
            <w:hideMark/>
          </w:tcPr>
          <w:p w14:paraId="055E57D5" w14:textId="29F84EBE"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152ED8" w:rsidRPr="00FC2211">
              <w:rPr>
                <w:rFonts w:ascii="Calibri" w:hAnsi="Calibri" w:cs="Calibri"/>
                <w:b/>
                <w:bCs/>
                <w:color w:val="000000"/>
                <w:szCs w:val="20"/>
                <w:lang w:val="en-CA" w:eastAsia="en-CA"/>
              </w:rPr>
              <w:t>7,</w:t>
            </w:r>
            <w:r w:rsidR="00703C6F" w:rsidRPr="00FC2211">
              <w:rPr>
                <w:rFonts w:ascii="Calibri" w:hAnsi="Calibri" w:cs="Calibri"/>
                <w:b/>
                <w:bCs/>
                <w:color w:val="000000"/>
                <w:szCs w:val="20"/>
                <w:lang w:val="en-CA" w:eastAsia="en-CA"/>
              </w:rPr>
              <w:t>780</w:t>
            </w:r>
            <w:r w:rsidRPr="00FC2211">
              <w:rPr>
                <w:rFonts w:ascii="Calibri" w:hAnsi="Calibri" w:cs="Calibri"/>
                <w:b/>
                <w:bCs/>
                <w:color w:val="000000"/>
                <w:szCs w:val="20"/>
                <w:lang w:val="en-CA" w:eastAsia="en-CA"/>
              </w:rPr>
              <w:t xml:space="preserve"> </w:t>
            </w:r>
          </w:p>
        </w:tc>
        <w:tc>
          <w:tcPr>
            <w:tcW w:w="1506" w:type="dxa"/>
            <w:tcBorders>
              <w:top w:val="nil"/>
              <w:left w:val="nil"/>
              <w:bottom w:val="single" w:sz="8" w:space="0" w:color="auto"/>
              <w:right w:val="nil"/>
            </w:tcBorders>
            <w:shd w:val="clear" w:color="auto" w:fill="auto"/>
            <w:noWrap/>
            <w:vAlign w:val="center"/>
            <w:hideMark/>
          </w:tcPr>
          <w:p w14:paraId="0F5C447F" w14:textId="2CD14F60"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14,415 </w:t>
            </w:r>
          </w:p>
        </w:tc>
      </w:tr>
      <w:tr w:rsidR="00065A9C" w:rsidRPr="00FC2211" w14:paraId="7323146F" w14:textId="77777777" w:rsidTr="00065A9C">
        <w:trPr>
          <w:trHeight w:val="276"/>
        </w:trPr>
        <w:tc>
          <w:tcPr>
            <w:tcW w:w="4796" w:type="dxa"/>
            <w:tcBorders>
              <w:top w:val="nil"/>
              <w:left w:val="nil"/>
              <w:bottom w:val="nil"/>
              <w:right w:val="nil"/>
            </w:tcBorders>
            <w:shd w:val="clear" w:color="auto" w:fill="auto"/>
            <w:noWrap/>
            <w:vAlign w:val="center"/>
            <w:hideMark/>
          </w:tcPr>
          <w:p w14:paraId="1868654D" w14:textId="77777777" w:rsidR="00065A9C" w:rsidRPr="00FC2211" w:rsidRDefault="00065A9C" w:rsidP="00065A9C">
            <w:pPr>
              <w:rPr>
                <w:rFonts w:ascii="Calibri" w:hAnsi="Calibri" w:cs="Calibri"/>
                <w:color w:val="000000"/>
                <w:szCs w:val="20"/>
                <w:lang w:val="en-CA" w:eastAsia="en-CA"/>
              </w:rPr>
            </w:pPr>
          </w:p>
        </w:tc>
        <w:tc>
          <w:tcPr>
            <w:tcW w:w="733" w:type="dxa"/>
            <w:tcBorders>
              <w:top w:val="nil"/>
              <w:left w:val="nil"/>
              <w:bottom w:val="nil"/>
              <w:right w:val="nil"/>
            </w:tcBorders>
            <w:shd w:val="clear" w:color="auto" w:fill="auto"/>
            <w:noWrap/>
            <w:vAlign w:val="center"/>
            <w:hideMark/>
          </w:tcPr>
          <w:p w14:paraId="7802F1AB" w14:textId="77777777" w:rsidR="00065A9C" w:rsidRPr="00FC2211" w:rsidRDefault="00065A9C" w:rsidP="00065A9C">
            <w:pPr>
              <w:ind w:firstLineChars="100" w:firstLine="200"/>
              <w:rPr>
                <w:rFonts w:ascii="Times New Roman" w:hAnsi="Times New Roman"/>
                <w:szCs w:val="20"/>
                <w:lang w:val="en-CA" w:eastAsia="en-CA"/>
              </w:rPr>
            </w:pPr>
          </w:p>
        </w:tc>
        <w:tc>
          <w:tcPr>
            <w:tcW w:w="2268" w:type="dxa"/>
            <w:tcBorders>
              <w:top w:val="nil"/>
              <w:left w:val="nil"/>
              <w:bottom w:val="nil"/>
              <w:right w:val="nil"/>
            </w:tcBorders>
            <w:shd w:val="clear" w:color="auto" w:fill="auto"/>
            <w:vAlign w:val="center"/>
            <w:hideMark/>
          </w:tcPr>
          <w:p w14:paraId="23FE1DE4" w14:textId="2C78F950"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152ED8" w:rsidRPr="00FC2211">
              <w:rPr>
                <w:rFonts w:ascii="Calibri" w:hAnsi="Calibri" w:cs="Calibri"/>
                <w:b/>
                <w:bCs/>
                <w:color w:val="000000"/>
                <w:szCs w:val="20"/>
                <w:lang w:val="en-CA" w:eastAsia="en-CA"/>
              </w:rPr>
              <w:t>570,</w:t>
            </w:r>
            <w:r w:rsidR="00AA622F" w:rsidRPr="00FC2211">
              <w:rPr>
                <w:rFonts w:ascii="Calibri" w:hAnsi="Calibri" w:cs="Calibri"/>
                <w:b/>
                <w:bCs/>
                <w:color w:val="000000"/>
                <w:szCs w:val="20"/>
                <w:lang w:val="en-CA" w:eastAsia="en-CA"/>
              </w:rPr>
              <w:t>316</w:t>
            </w:r>
            <w:r w:rsidRPr="00FC2211">
              <w:rPr>
                <w:rFonts w:ascii="Calibri" w:hAnsi="Calibri" w:cs="Calibri"/>
                <w:b/>
                <w:bCs/>
                <w:color w:val="000000"/>
                <w:szCs w:val="20"/>
                <w:lang w:val="en-CA" w:eastAsia="en-CA"/>
              </w:rPr>
              <w:t xml:space="preserve"> </w:t>
            </w:r>
          </w:p>
        </w:tc>
        <w:tc>
          <w:tcPr>
            <w:tcW w:w="1506" w:type="dxa"/>
            <w:tcBorders>
              <w:top w:val="nil"/>
              <w:left w:val="nil"/>
              <w:bottom w:val="nil"/>
              <w:right w:val="nil"/>
            </w:tcBorders>
            <w:shd w:val="clear" w:color="auto" w:fill="auto"/>
            <w:noWrap/>
            <w:vAlign w:val="center"/>
            <w:hideMark/>
          </w:tcPr>
          <w:p w14:paraId="66CD758A" w14:textId="1527A428"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1,015,259 </w:t>
            </w:r>
          </w:p>
        </w:tc>
      </w:tr>
      <w:tr w:rsidR="00065A9C" w:rsidRPr="00FC2211" w14:paraId="4A0A6C7D" w14:textId="77777777" w:rsidTr="00065A9C">
        <w:trPr>
          <w:trHeight w:val="276"/>
        </w:trPr>
        <w:tc>
          <w:tcPr>
            <w:tcW w:w="4796" w:type="dxa"/>
            <w:tcBorders>
              <w:top w:val="nil"/>
              <w:left w:val="nil"/>
              <w:bottom w:val="nil"/>
              <w:right w:val="nil"/>
            </w:tcBorders>
            <w:shd w:val="clear" w:color="auto" w:fill="auto"/>
            <w:noWrap/>
            <w:vAlign w:val="center"/>
            <w:hideMark/>
          </w:tcPr>
          <w:p w14:paraId="23D3D658" w14:textId="77777777" w:rsidR="00065A9C" w:rsidRPr="00FC2211" w:rsidRDefault="00065A9C" w:rsidP="00065A9C">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Non-current assets </w:t>
            </w:r>
          </w:p>
        </w:tc>
        <w:tc>
          <w:tcPr>
            <w:tcW w:w="733" w:type="dxa"/>
            <w:tcBorders>
              <w:top w:val="nil"/>
              <w:left w:val="nil"/>
              <w:bottom w:val="nil"/>
              <w:right w:val="nil"/>
            </w:tcBorders>
            <w:shd w:val="clear" w:color="auto" w:fill="auto"/>
            <w:noWrap/>
            <w:vAlign w:val="center"/>
            <w:hideMark/>
          </w:tcPr>
          <w:p w14:paraId="10D2B6BA" w14:textId="77777777" w:rsidR="00065A9C" w:rsidRPr="00FC2211" w:rsidRDefault="00065A9C" w:rsidP="00065A9C">
            <w:pPr>
              <w:rPr>
                <w:rFonts w:ascii="Calibri" w:hAnsi="Calibri" w:cs="Calibri"/>
                <w:b/>
                <w:bCs/>
                <w:color w:val="000000"/>
                <w:szCs w:val="20"/>
                <w:lang w:val="en-CA" w:eastAsia="en-CA"/>
              </w:rPr>
            </w:pPr>
          </w:p>
        </w:tc>
        <w:tc>
          <w:tcPr>
            <w:tcW w:w="2268" w:type="dxa"/>
            <w:tcBorders>
              <w:top w:val="nil"/>
              <w:left w:val="nil"/>
              <w:bottom w:val="nil"/>
              <w:right w:val="nil"/>
            </w:tcBorders>
            <w:shd w:val="clear" w:color="auto" w:fill="auto"/>
            <w:vAlign w:val="center"/>
            <w:hideMark/>
          </w:tcPr>
          <w:p w14:paraId="7EB8BF5B" w14:textId="77777777" w:rsidR="00065A9C" w:rsidRPr="00FC2211" w:rsidRDefault="00065A9C" w:rsidP="00065A9C">
            <w:pPr>
              <w:jc w:val="right"/>
              <w:rPr>
                <w:rFonts w:ascii="Times New Roman" w:hAnsi="Times New Roman"/>
                <w:szCs w:val="20"/>
                <w:lang w:val="en-CA" w:eastAsia="en-CA"/>
              </w:rPr>
            </w:pPr>
          </w:p>
        </w:tc>
        <w:tc>
          <w:tcPr>
            <w:tcW w:w="1506" w:type="dxa"/>
            <w:tcBorders>
              <w:top w:val="nil"/>
              <w:left w:val="nil"/>
              <w:bottom w:val="nil"/>
              <w:right w:val="nil"/>
            </w:tcBorders>
            <w:shd w:val="clear" w:color="auto" w:fill="auto"/>
            <w:noWrap/>
            <w:vAlign w:val="center"/>
            <w:hideMark/>
          </w:tcPr>
          <w:p w14:paraId="1091F255" w14:textId="77777777" w:rsidR="00065A9C" w:rsidRPr="00FC2211" w:rsidRDefault="00065A9C" w:rsidP="00065A9C">
            <w:pPr>
              <w:jc w:val="right"/>
              <w:rPr>
                <w:rFonts w:ascii="Times New Roman" w:hAnsi="Times New Roman"/>
                <w:szCs w:val="20"/>
                <w:lang w:val="en-CA" w:eastAsia="en-CA"/>
              </w:rPr>
            </w:pPr>
          </w:p>
        </w:tc>
      </w:tr>
      <w:tr w:rsidR="00065A9C" w:rsidRPr="00FC2211" w14:paraId="78D1AE9B" w14:textId="77777777" w:rsidTr="00065A9C">
        <w:trPr>
          <w:trHeight w:val="276"/>
        </w:trPr>
        <w:tc>
          <w:tcPr>
            <w:tcW w:w="4796" w:type="dxa"/>
            <w:tcBorders>
              <w:top w:val="nil"/>
              <w:left w:val="nil"/>
              <w:bottom w:val="nil"/>
              <w:right w:val="nil"/>
            </w:tcBorders>
            <w:shd w:val="clear" w:color="auto" w:fill="auto"/>
            <w:noWrap/>
            <w:vAlign w:val="center"/>
            <w:hideMark/>
          </w:tcPr>
          <w:p w14:paraId="0CF0C770" w14:textId="77777777"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Property and equipment</w:t>
            </w:r>
          </w:p>
        </w:tc>
        <w:tc>
          <w:tcPr>
            <w:tcW w:w="733" w:type="dxa"/>
            <w:tcBorders>
              <w:top w:val="nil"/>
              <w:left w:val="nil"/>
              <w:bottom w:val="nil"/>
              <w:right w:val="nil"/>
            </w:tcBorders>
            <w:shd w:val="clear" w:color="auto" w:fill="auto"/>
            <w:noWrap/>
            <w:vAlign w:val="center"/>
            <w:hideMark/>
          </w:tcPr>
          <w:p w14:paraId="0C1FC6DE"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9</w:t>
            </w:r>
          </w:p>
        </w:tc>
        <w:tc>
          <w:tcPr>
            <w:tcW w:w="2268" w:type="dxa"/>
            <w:tcBorders>
              <w:top w:val="nil"/>
              <w:left w:val="nil"/>
              <w:bottom w:val="nil"/>
              <w:right w:val="nil"/>
            </w:tcBorders>
            <w:shd w:val="clear" w:color="auto" w:fill="auto"/>
            <w:vAlign w:val="center"/>
            <w:hideMark/>
          </w:tcPr>
          <w:p w14:paraId="3A1CE873" w14:textId="5CF78509"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w:t>
            </w:r>
            <w:r w:rsidR="00152ED8" w:rsidRPr="00FC2211">
              <w:rPr>
                <w:rFonts w:ascii="Calibri" w:hAnsi="Calibri" w:cs="Calibri"/>
                <w:b/>
                <w:bCs/>
                <w:color w:val="000000"/>
                <w:szCs w:val="20"/>
                <w:lang w:val="en-CA" w:eastAsia="en-CA"/>
              </w:rPr>
              <w:t>586,867</w:t>
            </w:r>
            <w:r w:rsidRPr="00FC2211">
              <w:rPr>
                <w:rFonts w:ascii="Calibri" w:hAnsi="Calibri" w:cs="Calibri"/>
                <w:b/>
                <w:bCs/>
                <w:color w:val="000000"/>
                <w:szCs w:val="20"/>
                <w:lang w:val="en-CA" w:eastAsia="en-CA"/>
              </w:rPr>
              <w:t xml:space="preserve"> </w:t>
            </w:r>
          </w:p>
        </w:tc>
        <w:tc>
          <w:tcPr>
            <w:tcW w:w="1506" w:type="dxa"/>
            <w:tcBorders>
              <w:top w:val="nil"/>
              <w:left w:val="nil"/>
              <w:bottom w:val="nil"/>
              <w:right w:val="nil"/>
            </w:tcBorders>
            <w:shd w:val="clear" w:color="auto" w:fill="auto"/>
            <w:noWrap/>
            <w:vAlign w:val="center"/>
            <w:hideMark/>
          </w:tcPr>
          <w:p w14:paraId="020E474B" w14:textId="42D42DE1"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1,509,388 </w:t>
            </w:r>
          </w:p>
        </w:tc>
      </w:tr>
      <w:tr w:rsidR="00065A9C" w:rsidRPr="00FC2211" w14:paraId="44BD0CE5" w14:textId="77777777" w:rsidTr="00065A9C">
        <w:trPr>
          <w:trHeight w:val="276"/>
        </w:trPr>
        <w:tc>
          <w:tcPr>
            <w:tcW w:w="4796" w:type="dxa"/>
            <w:tcBorders>
              <w:top w:val="nil"/>
              <w:left w:val="nil"/>
              <w:bottom w:val="nil"/>
              <w:right w:val="nil"/>
            </w:tcBorders>
            <w:shd w:val="clear" w:color="auto" w:fill="auto"/>
            <w:noWrap/>
            <w:vAlign w:val="center"/>
            <w:hideMark/>
          </w:tcPr>
          <w:p w14:paraId="1F247084" w14:textId="77777777"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Right-of-use asset </w:t>
            </w:r>
          </w:p>
        </w:tc>
        <w:tc>
          <w:tcPr>
            <w:tcW w:w="733" w:type="dxa"/>
            <w:tcBorders>
              <w:top w:val="nil"/>
              <w:left w:val="nil"/>
              <w:bottom w:val="nil"/>
              <w:right w:val="nil"/>
            </w:tcBorders>
            <w:shd w:val="clear" w:color="auto" w:fill="auto"/>
            <w:noWrap/>
            <w:vAlign w:val="center"/>
            <w:hideMark/>
          </w:tcPr>
          <w:p w14:paraId="53FD3A44" w14:textId="0E38EE74" w:rsidR="00065A9C" w:rsidRPr="00FC2211" w:rsidRDefault="007F09F0"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20</w:t>
            </w:r>
          </w:p>
        </w:tc>
        <w:tc>
          <w:tcPr>
            <w:tcW w:w="2268" w:type="dxa"/>
            <w:tcBorders>
              <w:top w:val="nil"/>
              <w:left w:val="nil"/>
              <w:bottom w:val="nil"/>
              <w:right w:val="nil"/>
            </w:tcBorders>
            <w:shd w:val="clear" w:color="auto" w:fill="auto"/>
            <w:vAlign w:val="center"/>
            <w:hideMark/>
          </w:tcPr>
          <w:p w14:paraId="34B11307" w14:textId="03629CB1"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152ED8" w:rsidRPr="00FC2211">
              <w:rPr>
                <w:rFonts w:ascii="Calibri" w:hAnsi="Calibri" w:cs="Calibri"/>
                <w:b/>
                <w:bCs/>
                <w:color w:val="000000"/>
                <w:szCs w:val="20"/>
                <w:lang w:val="en-CA" w:eastAsia="en-CA"/>
              </w:rPr>
              <w:t>36,227</w:t>
            </w:r>
            <w:r w:rsidRPr="00FC2211">
              <w:rPr>
                <w:rFonts w:ascii="Calibri" w:hAnsi="Calibri" w:cs="Calibri"/>
                <w:b/>
                <w:bCs/>
                <w:color w:val="000000"/>
                <w:szCs w:val="20"/>
                <w:lang w:val="en-CA" w:eastAsia="en-CA"/>
              </w:rPr>
              <w:t xml:space="preserve"> </w:t>
            </w:r>
          </w:p>
        </w:tc>
        <w:tc>
          <w:tcPr>
            <w:tcW w:w="1506" w:type="dxa"/>
            <w:tcBorders>
              <w:top w:val="nil"/>
              <w:left w:val="nil"/>
              <w:bottom w:val="nil"/>
              <w:right w:val="nil"/>
            </w:tcBorders>
            <w:shd w:val="clear" w:color="auto" w:fill="auto"/>
            <w:noWrap/>
            <w:vAlign w:val="center"/>
            <w:hideMark/>
          </w:tcPr>
          <w:p w14:paraId="0833C299" w14:textId="6F4C206D"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51,753 </w:t>
            </w:r>
          </w:p>
        </w:tc>
      </w:tr>
      <w:tr w:rsidR="00065A9C" w:rsidRPr="00FC2211" w14:paraId="20028086"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23A49891" w14:textId="77777777"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Intangibles </w:t>
            </w:r>
          </w:p>
        </w:tc>
        <w:tc>
          <w:tcPr>
            <w:tcW w:w="733" w:type="dxa"/>
            <w:tcBorders>
              <w:top w:val="nil"/>
              <w:left w:val="nil"/>
              <w:bottom w:val="single" w:sz="8" w:space="0" w:color="auto"/>
              <w:right w:val="nil"/>
            </w:tcBorders>
            <w:shd w:val="clear" w:color="auto" w:fill="auto"/>
            <w:noWrap/>
            <w:vAlign w:val="center"/>
            <w:hideMark/>
          </w:tcPr>
          <w:p w14:paraId="7C7DB150"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4</w:t>
            </w:r>
          </w:p>
        </w:tc>
        <w:tc>
          <w:tcPr>
            <w:tcW w:w="2268" w:type="dxa"/>
            <w:tcBorders>
              <w:top w:val="nil"/>
              <w:left w:val="nil"/>
              <w:bottom w:val="single" w:sz="8" w:space="0" w:color="auto"/>
              <w:right w:val="nil"/>
            </w:tcBorders>
            <w:shd w:val="clear" w:color="auto" w:fill="auto"/>
            <w:vAlign w:val="center"/>
            <w:hideMark/>
          </w:tcPr>
          <w:p w14:paraId="7D084491" w14:textId="3726C7CD"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2,</w:t>
            </w:r>
            <w:r w:rsidR="00152ED8" w:rsidRPr="00FC2211">
              <w:rPr>
                <w:rFonts w:ascii="Calibri" w:hAnsi="Calibri" w:cs="Calibri"/>
                <w:b/>
                <w:bCs/>
                <w:color w:val="000000"/>
                <w:szCs w:val="20"/>
                <w:lang w:val="en-CA" w:eastAsia="en-CA"/>
              </w:rPr>
              <w:t>169</w:t>
            </w:r>
            <w:r w:rsidRPr="00FC2211">
              <w:rPr>
                <w:rFonts w:ascii="Calibri" w:hAnsi="Calibri" w:cs="Calibri"/>
                <w:b/>
                <w:bCs/>
                <w:color w:val="000000"/>
                <w:szCs w:val="20"/>
                <w:lang w:val="en-CA" w:eastAsia="en-CA"/>
              </w:rPr>
              <w:t xml:space="preserve"> </w:t>
            </w:r>
          </w:p>
        </w:tc>
        <w:tc>
          <w:tcPr>
            <w:tcW w:w="1506" w:type="dxa"/>
            <w:tcBorders>
              <w:top w:val="nil"/>
              <w:left w:val="nil"/>
              <w:bottom w:val="single" w:sz="8" w:space="0" w:color="auto"/>
              <w:right w:val="nil"/>
            </w:tcBorders>
            <w:shd w:val="clear" w:color="auto" w:fill="auto"/>
            <w:noWrap/>
            <w:vAlign w:val="center"/>
            <w:hideMark/>
          </w:tcPr>
          <w:p w14:paraId="413B6E47" w14:textId="5684E1B8"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3,254 </w:t>
            </w:r>
          </w:p>
        </w:tc>
      </w:tr>
      <w:tr w:rsidR="00065A9C" w:rsidRPr="00FC2211" w14:paraId="2B5CEDF7"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1B094948" w14:textId="77777777" w:rsidR="00065A9C" w:rsidRPr="00FC2211" w:rsidRDefault="00065A9C" w:rsidP="00065A9C">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733" w:type="dxa"/>
            <w:tcBorders>
              <w:top w:val="nil"/>
              <w:left w:val="nil"/>
              <w:bottom w:val="single" w:sz="8" w:space="0" w:color="auto"/>
              <w:right w:val="nil"/>
            </w:tcBorders>
            <w:shd w:val="clear" w:color="auto" w:fill="auto"/>
            <w:noWrap/>
            <w:vAlign w:val="center"/>
            <w:hideMark/>
          </w:tcPr>
          <w:p w14:paraId="4E4D1643"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 </w:t>
            </w:r>
          </w:p>
        </w:tc>
        <w:tc>
          <w:tcPr>
            <w:tcW w:w="2268" w:type="dxa"/>
            <w:tcBorders>
              <w:top w:val="nil"/>
              <w:left w:val="nil"/>
              <w:bottom w:val="single" w:sz="8" w:space="0" w:color="auto"/>
              <w:right w:val="nil"/>
            </w:tcBorders>
            <w:shd w:val="clear" w:color="auto" w:fill="auto"/>
            <w:vAlign w:val="center"/>
            <w:hideMark/>
          </w:tcPr>
          <w:p w14:paraId="7E5BF0A3" w14:textId="7CAA8D92"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w:t>
            </w:r>
            <w:r w:rsidR="00040290" w:rsidRPr="00FC2211">
              <w:rPr>
                <w:rFonts w:ascii="Calibri" w:hAnsi="Calibri" w:cs="Calibri"/>
                <w:b/>
                <w:bCs/>
                <w:color w:val="000000"/>
                <w:szCs w:val="20"/>
                <w:lang w:val="en-CA" w:eastAsia="en-CA"/>
              </w:rPr>
              <w:t>625,263</w:t>
            </w:r>
            <w:r w:rsidRPr="00FC2211">
              <w:rPr>
                <w:rFonts w:ascii="Calibri" w:hAnsi="Calibri" w:cs="Calibri"/>
                <w:b/>
                <w:bCs/>
                <w:color w:val="000000"/>
                <w:szCs w:val="20"/>
                <w:lang w:val="en-CA" w:eastAsia="en-CA"/>
              </w:rPr>
              <w:t xml:space="preserve"> </w:t>
            </w:r>
          </w:p>
        </w:tc>
        <w:tc>
          <w:tcPr>
            <w:tcW w:w="1506" w:type="dxa"/>
            <w:tcBorders>
              <w:top w:val="nil"/>
              <w:left w:val="nil"/>
              <w:bottom w:val="single" w:sz="8" w:space="0" w:color="auto"/>
              <w:right w:val="nil"/>
            </w:tcBorders>
            <w:shd w:val="clear" w:color="auto" w:fill="auto"/>
            <w:noWrap/>
            <w:vAlign w:val="center"/>
            <w:hideMark/>
          </w:tcPr>
          <w:p w14:paraId="282B976D" w14:textId="5DA75EC4" w:rsidR="00065A9C" w:rsidRPr="00FC2211" w:rsidRDefault="00065A9C" w:rsidP="00065A9C">
            <w:pPr>
              <w:ind w:firstLineChars="100" w:firstLine="200"/>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1,564,395 </w:t>
            </w:r>
          </w:p>
        </w:tc>
      </w:tr>
      <w:tr w:rsidR="00065A9C" w:rsidRPr="00FC2211" w14:paraId="667D8E3E"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2721ED81" w14:textId="77777777" w:rsidR="00065A9C" w:rsidRPr="00FC2211" w:rsidRDefault="00065A9C" w:rsidP="00065A9C">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Total assets </w:t>
            </w:r>
          </w:p>
        </w:tc>
        <w:tc>
          <w:tcPr>
            <w:tcW w:w="733" w:type="dxa"/>
            <w:tcBorders>
              <w:top w:val="nil"/>
              <w:left w:val="nil"/>
              <w:bottom w:val="single" w:sz="8" w:space="0" w:color="auto"/>
              <w:right w:val="nil"/>
            </w:tcBorders>
            <w:shd w:val="clear" w:color="auto" w:fill="auto"/>
            <w:noWrap/>
            <w:vAlign w:val="center"/>
            <w:hideMark/>
          </w:tcPr>
          <w:p w14:paraId="5BA1405C" w14:textId="77777777" w:rsidR="00065A9C" w:rsidRPr="00FC2211" w:rsidRDefault="00065A9C" w:rsidP="00065A9C">
            <w:pPr>
              <w:jc w:val="center"/>
              <w:rPr>
                <w:rFonts w:ascii="Calibri" w:hAnsi="Calibri" w:cs="Calibri"/>
                <w:b/>
                <w:bCs/>
                <w:i/>
                <w:iCs/>
                <w:color w:val="000000"/>
                <w:szCs w:val="20"/>
                <w:lang w:val="en-CA" w:eastAsia="en-CA"/>
              </w:rPr>
            </w:pPr>
            <w:r w:rsidRPr="00FC2211">
              <w:rPr>
                <w:rFonts w:ascii="Calibri" w:hAnsi="Calibri" w:cs="Calibri"/>
                <w:b/>
                <w:bCs/>
                <w:i/>
                <w:iCs/>
                <w:color w:val="000000"/>
                <w:szCs w:val="20"/>
                <w:lang w:val="en-CA" w:eastAsia="en-CA"/>
              </w:rPr>
              <w:t> </w:t>
            </w:r>
          </w:p>
        </w:tc>
        <w:tc>
          <w:tcPr>
            <w:tcW w:w="2268" w:type="dxa"/>
            <w:tcBorders>
              <w:top w:val="nil"/>
              <w:left w:val="nil"/>
              <w:bottom w:val="single" w:sz="8" w:space="0" w:color="auto"/>
              <w:right w:val="nil"/>
            </w:tcBorders>
            <w:shd w:val="clear" w:color="auto" w:fill="auto"/>
            <w:vAlign w:val="center"/>
            <w:hideMark/>
          </w:tcPr>
          <w:p w14:paraId="542EE2BC" w14:textId="407B15FD"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2,</w:t>
            </w:r>
            <w:r w:rsidR="00040290" w:rsidRPr="00FC2211">
              <w:rPr>
                <w:rFonts w:ascii="Calibri" w:hAnsi="Calibri" w:cs="Calibri"/>
                <w:b/>
                <w:bCs/>
                <w:color w:val="000000"/>
                <w:szCs w:val="20"/>
                <w:lang w:val="en-CA" w:eastAsia="en-CA"/>
              </w:rPr>
              <w:t>195,</w:t>
            </w:r>
            <w:r w:rsidR="00AA622F" w:rsidRPr="00FC2211">
              <w:rPr>
                <w:rFonts w:ascii="Calibri" w:hAnsi="Calibri" w:cs="Calibri"/>
                <w:b/>
                <w:bCs/>
                <w:color w:val="000000"/>
                <w:szCs w:val="20"/>
                <w:lang w:val="en-CA" w:eastAsia="en-CA"/>
              </w:rPr>
              <w:t>579</w:t>
            </w:r>
            <w:r w:rsidRPr="00FC2211">
              <w:rPr>
                <w:rFonts w:ascii="Calibri" w:hAnsi="Calibri" w:cs="Calibri"/>
                <w:b/>
                <w:bCs/>
                <w:color w:val="000000"/>
                <w:szCs w:val="20"/>
                <w:lang w:val="en-CA" w:eastAsia="en-CA"/>
              </w:rPr>
              <w:t xml:space="preserve"> </w:t>
            </w:r>
          </w:p>
        </w:tc>
        <w:tc>
          <w:tcPr>
            <w:tcW w:w="1506" w:type="dxa"/>
            <w:tcBorders>
              <w:top w:val="nil"/>
              <w:left w:val="nil"/>
              <w:bottom w:val="single" w:sz="8" w:space="0" w:color="auto"/>
              <w:right w:val="nil"/>
            </w:tcBorders>
            <w:shd w:val="clear" w:color="auto" w:fill="auto"/>
            <w:noWrap/>
            <w:vAlign w:val="center"/>
            <w:hideMark/>
          </w:tcPr>
          <w:p w14:paraId="25BD33EB" w14:textId="0F7578E2"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2,579,654 </w:t>
            </w:r>
          </w:p>
        </w:tc>
      </w:tr>
      <w:tr w:rsidR="00065A9C" w:rsidRPr="00FC2211" w14:paraId="08FCC472" w14:textId="77777777" w:rsidTr="00065A9C">
        <w:trPr>
          <w:trHeight w:val="276"/>
        </w:trPr>
        <w:tc>
          <w:tcPr>
            <w:tcW w:w="4796" w:type="dxa"/>
            <w:tcBorders>
              <w:top w:val="nil"/>
              <w:left w:val="nil"/>
              <w:bottom w:val="nil"/>
              <w:right w:val="nil"/>
            </w:tcBorders>
            <w:shd w:val="clear" w:color="auto" w:fill="auto"/>
            <w:noWrap/>
            <w:vAlign w:val="center"/>
            <w:hideMark/>
          </w:tcPr>
          <w:p w14:paraId="79C6D27C" w14:textId="4283E049" w:rsidR="00065A9C" w:rsidRPr="00FC2211" w:rsidRDefault="00065A9C" w:rsidP="00065A9C">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Liabilities and Shareholders' Equity (Defic</w:t>
            </w:r>
            <w:r w:rsidR="00AA1FB0" w:rsidRPr="00FC2211">
              <w:rPr>
                <w:rFonts w:ascii="Calibri" w:hAnsi="Calibri" w:cs="Calibri"/>
                <w:b/>
                <w:bCs/>
                <w:color w:val="000000"/>
                <w:szCs w:val="20"/>
                <w:lang w:val="en-CA" w:eastAsia="en-CA"/>
              </w:rPr>
              <w:t>it</w:t>
            </w:r>
            <w:r w:rsidRPr="00FC2211">
              <w:rPr>
                <w:rFonts w:ascii="Calibri" w:hAnsi="Calibri" w:cs="Calibri"/>
                <w:b/>
                <w:bCs/>
                <w:color w:val="000000"/>
                <w:szCs w:val="20"/>
                <w:lang w:val="en-CA" w:eastAsia="en-CA"/>
              </w:rPr>
              <w:t xml:space="preserve">) </w:t>
            </w:r>
          </w:p>
        </w:tc>
        <w:tc>
          <w:tcPr>
            <w:tcW w:w="733" w:type="dxa"/>
            <w:tcBorders>
              <w:top w:val="nil"/>
              <w:left w:val="nil"/>
              <w:bottom w:val="nil"/>
              <w:right w:val="nil"/>
            </w:tcBorders>
            <w:shd w:val="clear" w:color="auto" w:fill="auto"/>
            <w:noWrap/>
            <w:vAlign w:val="center"/>
            <w:hideMark/>
          </w:tcPr>
          <w:p w14:paraId="5B85E9D0" w14:textId="77777777" w:rsidR="00065A9C" w:rsidRPr="00FC2211" w:rsidRDefault="00065A9C" w:rsidP="00065A9C">
            <w:pPr>
              <w:rPr>
                <w:rFonts w:ascii="Calibri" w:hAnsi="Calibri" w:cs="Calibri"/>
                <w:b/>
                <w:bCs/>
                <w:color w:val="000000"/>
                <w:szCs w:val="20"/>
                <w:lang w:val="en-CA" w:eastAsia="en-CA"/>
              </w:rPr>
            </w:pPr>
          </w:p>
        </w:tc>
        <w:tc>
          <w:tcPr>
            <w:tcW w:w="2268" w:type="dxa"/>
            <w:tcBorders>
              <w:top w:val="nil"/>
              <w:left w:val="nil"/>
              <w:bottom w:val="nil"/>
              <w:right w:val="nil"/>
            </w:tcBorders>
            <w:shd w:val="clear" w:color="auto" w:fill="auto"/>
            <w:vAlign w:val="center"/>
            <w:hideMark/>
          </w:tcPr>
          <w:p w14:paraId="3B67B9B0" w14:textId="77777777" w:rsidR="00065A9C" w:rsidRPr="00FC2211" w:rsidRDefault="00065A9C" w:rsidP="00065A9C">
            <w:pPr>
              <w:jc w:val="right"/>
              <w:rPr>
                <w:rFonts w:ascii="Times New Roman" w:hAnsi="Times New Roman"/>
                <w:szCs w:val="20"/>
                <w:lang w:val="en-CA" w:eastAsia="en-CA"/>
              </w:rPr>
            </w:pPr>
          </w:p>
        </w:tc>
        <w:tc>
          <w:tcPr>
            <w:tcW w:w="1506" w:type="dxa"/>
            <w:tcBorders>
              <w:top w:val="nil"/>
              <w:left w:val="nil"/>
              <w:bottom w:val="nil"/>
              <w:right w:val="nil"/>
            </w:tcBorders>
            <w:shd w:val="clear" w:color="auto" w:fill="auto"/>
            <w:noWrap/>
            <w:vAlign w:val="center"/>
            <w:hideMark/>
          </w:tcPr>
          <w:p w14:paraId="154B68B6" w14:textId="77777777" w:rsidR="00065A9C" w:rsidRPr="00FC2211" w:rsidRDefault="00065A9C" w:rsidP="00065A9C">
            <w:pPr>
              <w:jc w:val="right"/>
              <w:rPr>
                <w:rFonts w:ascii="Times New Roman" w:hAnsi="Times New Roman"/>
                <w:szCs w:val="20"/>
                <w:lang w:val="en-CA" w:eastAsia="en-CA"/>
              </w:rPr>
            </w:pPr>
          </w:p>
        </w:tc>
      </w:tr>
      <w:tr w:rsidR="00065A9C" w:rsidRPr="00FC2211" w14:paraId="3A04BD2B" w14:textId="77777777" w:rsidTr="00065A9C">
        <w:trPr>
          <w:trHeight w:val="276"/>
        </w:trPr>
        <w:tc>
          <w:tcPr>
            <w:tcW w:w="4796" w:type="dxa"/>
            <w:tcBorders>
              <w:top w:val="nil"/>
              <w:left w:val="nil"/>
              <w:bottom w:val="nil"/>
              <w:right w:val="nil"/>
            </w:tcBorders>
            <w:shd w:val="clear" w:color="auto" w:fill="auto"/>
            <w:noWrap/>
            <w:vAlign w:val="center"/>
            <w:hideMark/>
          </w:tcPr>
          <w:p w14:paraId="6408F0F9" w14:textId="77777777" w:rsidR="00065A9C" w:rsidRPr="00FC2211" w:rsidRDefault="00065A9C" w:rsidP="00065A9C">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Current liabilities </w:t>
            </w:r>
          </w:p>
        </w:tc>
        <w:tc>
          <w:tcPr>
            <w:tcW w:w="733" w:type="dxa"/>
            <w:tcBorders>
              <w:top w:val="nil"/>
              <w:left w:val="nil"/>
              <w:bottom w:val="nil"/>
              <w:right w:val="nil"/>
            </w:tcBorders>
            <w:shd w:val="clear" w:color="auto" w:fill="auto"/>
            <w:noWrap/>
            <w:vAlign w:val="center"/>
            <w:hideMark/>
          </w:tcPr>
          <w:p w14:paraId="46117D10" w14:textId="77777777" w:rsidR="00065A9C" w:rsidRPr="00FC2211" w:rsidRDefault="00065A9C" w:rsidP="00065A9C">
            <w:pPr>
              <w:rPr>
                <w:rFonts w:ascii="Calibri" w:hAnsi="Calibri" w:cs="Calibri"/>
                <w:b/>
                <w:bCs/>
                <w:color w:val="000000"/>
                <w:szCs w:val="20"/>
                <w:lang w:val="en-CA" w:eastAsia="en-CA"/>
              </w:rPr>
            </w:pPr>
          </w:p>
        </w:tc>
        <w:tc>
          <w:tcPr>
            <w:tcW w:w="2268" w:type="dxa"/>
            <w:tcBorders>
              <w:top w:val="nil"/>
              <w:left w:val="nil"/>
              <w:bottom w:val="nil"/>
              <w:right w:val="nil"/>
            </w:tcBorders>
            <w:shd w:val="clear" w:color="auto" w:fill="auto"/>
            <w:vAlign w:val="center"/>
            <w:hideMark/>
          </w:tcPr>
          <w:p w14:paraId="27F7AB47" w14:textId="77777777" w:rsidR="00065A9C" w:rsidRPr="00FC2211" w:rsidRDefault="00065A9C" w:rsidP="00065A9C">
            <w:pPr>
              <w:jc w:val="right"/>
              <w:rPr>
                <w:rFonts w:ascii="Times New Roman" w:hAnsi="Times New Roman"/>
                <w:szCs w:val="20"/>
                <w:lang w:val="en-CA" w:eastAsia="en-CA"/>
              </w:rPr>
            </w:pPr>
          </w:p>
        </w:tc>
        <w:tc>
          <w:tcPr>
            <w:tcW w:w="1506" w:type="dxa"/>
            <w:tcBorders>
              <w:top w:val="nil"/>
              <w:left w:val="nil"/>
              <w:bottom w:val="nil"/>
              <w:right w:val="nil"/>
            </w:tcBorders>
            <w:shd w:val="clear" w:color="auto" w:fill="auto"/>
            <w:noWrap/>
            <w:vAlign w:val="center"/>
            <w:hideMark/>
          </w:tcPr>
          <w:p w14:paraId="63727BD0" w14:textId="77777777" w:rsidR="00065A9C" w:rsidRPr="00FC2211" w:rsidRDefault="00065A9C" w:rsidP="00065A9C">
            <w:pPr>
              <w:jc w:val="right"/>
              <w:rPr>
                <w:rFonts w:ascii="Times New Roman" w:hAnsi="Times New Roman"/>
                <w:szCs w:val="20"/>
                <w:lang w:val="en-CA" w:eastAsia="en-CA"/>
              </w:rPr>
            </w:pPr>
          </w:p>
        </w:tc>
      </w:tr>
      <w:tr w:rsidR="00065A9C" w:rsidRPr="00FC2211" w14:paraId="63F13069" w14:textId="77777777" w:rsidTr="00065A9C">
        <w:trPr>
          <w:trHeight w:val="276"/>
        </w:trPr>
        <w:tc>
          <w:tcPr>
            <w:tcW w:w="4796" w:type="dxa"/>
            <w:tcBorders>
              <w:top w:val="nil"/>
              <w:left w:val="nil"/>
              <w:bottom w:val="nil"/>
              <w:right w:val="nil"/>
            </w:tcBorders>
            <w:shd w:val="clear" w:color="auto" w:fill="auto"/>
            <w:noWrap/>
            <w:vAlign w:val="center"/>
            <w:hideMark/>
          </w:tcPr>
          <w:p w14:paraId="62D9F5F5" w14:textId="77777777"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Accounts payable and accrued liabilities  </w:t>
            </w:r>
          </w:p>
        </w:tc>
        <w:tc>
          <w:tcPr>
            <w:tcW w:w="733" w:type="dxa"/>
            <w:tcBorders>
              <w:top w:val="nil"/>
              <w:left w:val="nil"/>
              <w:bottom w:val="nil"/>
              <w:right w:val="nil"/>
            </w:tcBorders>
            <w:shd w:val="clear" w:color="auto" w:fill="auto"/>
            <w:noWrap/>
            <w:vAlign w:val="center"/>
            <w:hideMark/>
          </w:tcPr>
          <w:p w14:paraId="5EBDA1F3"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10</w:t>
            </w:r>
          </w:p>
        </w:tc>
        <w:tc>
          <w:tcPr>
            <w:tcW w:w="2268" w:type="dxa"/>
            <w:tcBorders>
              <w:top w:val="nil"/>
              <w:left w:val="nil"/>
              <w:bottom w:val="nil"/>
              <w:right w:val="nil"/>
            </w:tcBorders>
            <w:shd w:val="clear" w:color="auto" w:fill="auto"/>
            <w:vAlign w:val="center"/>
            <w:hideMark/>
          </w:tcPr>
          <w:p w14:paraId="2BFAE156" w14:textId="7121D739"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B85062" w:rsidRPr="00FC2211">
              <w:rPr>
                <w:rFonts w:ascii="Calibri" w:hAnsi="Calibri" w:cs="Calibri"/>
                <w:b/>
                <w:bCs/>
                <w:color w:val="000000"/>
                <w:szCs w:val="20"/>
                <w:lang w:val="en-CA" w:eastAsia="en-CA"/>
              </w:rPr>
              <w:t xml:space="preserve">  </w:t>
            </w:r>
            <w:r w:rsidRPr="00FC2211">
              <w:rPr>
                <w:rFonts w:ascii="Calibri" w:hAnsi="Calibri" w:cs="Calibri"/>
                <w:b/>
                <w:bCs/>
                <w:color w:val="000000"/>
                <w:szCs w:val="20"/>
                <w:lang w:val="en-CA" w:eastAsia="en-CA"/>
              </w:rPr>
              <w:t xml:space="preserve">     </w:t>
            </w:r>
            <w:r w:rsidR="00040290" w:rsidRPr="00FC2211">
              <w:rPr>
                <w:rFonts w:ascii="Calibri" w:hAnsi="Calibri" w:cs="Calibri"/>
                <w:b/>
                <w:bCs/>
                <w:color w:val="000000"/>
                <w:szCs w:val="20"/>
                <w:lang w:val="en-CA" w:eastAsia="en-CA"/>
              </w:rPr>
              <w:t>1,133,</w:t>
            </w:r>
            <w:r w:rsidR="00AA622F" w:rsidRPr="00FC2211">
              <w:rPr>
                <w:rFonts w:ascii="Calibri" w:hAnsi="Calibri" w:cs="Calibri"/>
                <w:b/>
                <w:bCs/>
                <w:color w:val="000000"/>
                <w:szCs w:val="20"/>
                <w:lang w:val="en-CA" w:eastAsia="en-CA"/>
              </w:rPr>
              <w:t>75</w:t>
            </w:r>
            <w:r w:rsidR="00051353" w:rsidRPr="00FC2211">
              <w:rPr>
                <w:rFonts w:ascii="Calibri" w:hAnsi="Calibri" w:cs="Calibri"/>
                <w:b/>
                <w:bCs/>
                <w:color w:val="000000"/>
                <w:szCs w:val="20"/>
                <w:lang w:val="en-CA" w:eastAsia="en-CA"/>
              </w:rPr>
              <w:t>4</w:t>
            </w:r>
            <w:r w:rsidRPr="00FC2211">
              <w:rPr>
                <w:rFonts w:ascii="Calibri" w:hAnsi="Calibri" w:cs="Calibri"/>
                <w:b/>
                <w:bCs/>
                <w:color w:val="000000"/>
                <w:szCs w:val="20"/>
                <w:lang w:val="en-CA" w:eastAsia="en-CA"/>
              </w:rPr>
              <w:t xml:space="preserve"> </w:t>
            </w:r>
          </w:p>
        </w:tc>
        <w:tc>
          <w:tcPr>
            <w:tcW w:w="1506" w:type="dxa"/>
            <w:tcBorders>
              <w:top w:val="nil"/>
              <w:left w:val="nil"/>
              <w:bottom w:val="nil"/>
              <w:right w:val="nil"/>
            </w:tcBorders>
            <w:shd w:val="clear" w:color="auto" w:fill="auto"/>
            <w:noWrap/>
            <w:vAlign w:val="center"/>
            <w:hideMark/>
          </w:tcPr>
          <w:p w14:paraId="52A375F6" w14:textId="0074684A"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674,537 </w:t>
            </w:r>
          </w:p>
        </w:tc>
      </w:tr>
      <w:tr w:rsidR="00065A9C" w:rsidRPr="00FC2211" w14:paraId="486EBBCD" w14:textId="77777777" w:rsidTr="00065A9C">
        <w:trPr>
          <w:trHeight w:val="276"/>
        </w:trPr>
        <w:tc>
          <w:tcPr>
            <w:tcW w:w="4796" w:type="dxa"/>
            <w:tcBorders>
              <w:top w:val="nil"/>
              <w:left w:val="nil"/>
              <w:bottom w:val="nil"/>
              <w:right w:val="nil"/>
            </w:tcBorders>
            <w:shd w:val="clear" w:color="auto" w:fill="auto"/>
            <w:noWrap/>
            <w:vAlign w:val="center"/>
            <w:hideMark/>
          </w:tcPr>
          <w:p w14:paraId="36DB2860" w14:textId="77777777"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Loans payable </w:t>
            </w:r>
          </w:p>
        </w:tc>
        <w:tc>
          <w:tcPr>
            <w:tcW w:w="733" w:type="dxa"/>
            <w:tcBorders>
              <w:top w:val="nil"/>
              <w:left w:val="nil"/>
              <w:bottom w:val="nil"/>
              <w:right w:val="nil"/>
            </w:tcBorders>
            <w:shd w:val="clear" w:color="auto" w:fill="auto"/>
            <w:noWrap/>
            <w:vAlign w:val="center"/>
            <w:hideMark/>
          </w:tcPr>
          <w:p w14:paraId="10A8CADD"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11</w:t>
            </w:r>
          </w:p>
        </w:tc>
        <w:tc>
          <w:tcPr>
            <w:tcW w:w="2268" w:type="dxa"/>
            <w:tcBorders>
              <w:top w:val="nil"/>
              <w:left w:val="nil"/>
              <w:bottom w:val="nil"/>
              <w:right w:val="nil"/>
            </w:tcBorders>
            <w:shd w:val="clear" w:color="auto" w:fill="auto"/>
            <w:vAlign w:val="center"/>
            <w:hideMark/>
          </w:tcPr>
          <w:p w14:paraId="367B278C" w14:textId="1565144D"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18</w:t>
            </w:r>
            <w:r w:rsidR="00040290" w:rsidRPr="00FC2211">
              <w:rPr>
                <w:rFonts w:ascii="Calibri" w:hAnsi="Calibri" w:cs="Calibri"/>
                <w:b/>
                <w:bCs/>
                <w:color w:val="000000"/>
                <w:szCs w:val="20"/>
                <w:lang w:val="en-CA" w:eastAsia="en-CA"/>
              </w:rPr>
              <w:t>7,500</w:t>
            </w:r>
            <w:r w:rsidRPr="00FC2211">
              <w:rPr>
                <w:rFonts w:ascii="Calibri" w:hAnsi="Calibri" w:cs="Calibri"/>
                <w:b/>
                <w:bCs/>
                <w:color w:val="000000"/>
                <w:szCs w:val="20"/>
                <w:lang w:val="en-CA" w:eastAsia="en-CA"/>
              </w:rPr>
              <w:t xml:space="preserve"> </w:t>
            </w:r>
          </w:p>
        </w:tc>
        <w:tc>
          <w:tcPr>
            <w:tcW w:w="1506" w:type="dxa"/>
            <w:tcBorders>
              <w:top w:val="nil"/>
              <w:left w:val="nil"/>
              <w:bottom w:val="nil"/>
              <w:right w:val="nil"/>
            </w:tcBorders>
            <w:shd w:val="clear" w:color="auto" w:fill="auto"/>
            <w:noWrap/>
            <w:vAlign w:val="center"/>
            <w:hideMark/>
          </w:tcPr>
          <w:p w14:paraId="2DA90698" w14:textId="64101E75"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181,250 </w:t>
            </w:r>
          </w:p>
        </w:tc>
      </w:tr>
      <w:tr w:rsidR="00065A9C" w:rsidRPr="00FC2211" w14:paraId="28897EF0" w14:textId="77777777" w:rsidTr="00065A9C">
        <w:trPr>
          <w:trHeight w:val="276"/>
        </w:trPr>
        <w:tc>
          <w:tcPr>
            <w:tcW w:w="4796" w:type="dxa"/>
            <w:tcBorders>
              <w:top w:val="nil"/>
              <w:left w:val="nil"/>
              <w:bottom w:val="nil"/>
              <w:right w:val="nil"/>
            </w:tcBorders>
            <w:shd w:val="clear" w:color="auto" w:fill="auto"/>
            <w:noWrap/>
            <w:vAlign w:val="center"/>
            <w:hideMark/>
          </w:tcPr>
          <w:p w14:paraId="5B27855B" w14:textId="77777777"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Government grant </w:t>
            </w:r>
          </w:p>
        </w:tc>
        <w:tc>
          <w:tcPr>
            <w:tcW w:w="733" w:type="dxa"/>
            <w:tcBorders>
              <w:top w:val="nil"/>
              <w:left w:val="nil"/>
              <w:bottom w:val="nil"/>
              <w:right w:val="nil"/>
            </w:tcBorders>
            <w:shd w:val="clear" w:color="auto" w:fill="auto"/>
            <w:noWrap/>
            <w:vAlign w:val="center"/>
            <w:hideMark/>
          </w:tcPr>
          <w:p w14:paraId="1633E4C1"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14</w:t>
            </w:r>
          </w:p>
        </w:tc>
        <w:tc>
          <w:tcPr>
            <w:tcW w:w="2268" w:type="dxa"/>
            <w:tcBorders>
              <w:top w:val="nil"/>
              <w:left w:val="nil"/>
              <w:bottom w:val="nil"/>
              <w:right w:val="nil"/>
            </w:tcBorders>
            <w:shd w:val="clear" w:color="auto" w:fill="auto"/>
            <w:vAlign w:val="center"/>
            <w:hideMark/>
          </w:tcPr>
          <w:p w14:paraId="5FDB7AC8" w14:textId="0962B9FC"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11</w:t>
            </w:r>
            <w:r w:rsidR="009921F6" w:rsidRPr="00FC2211">
              <w:rPr>
                <w:rFonts w:ascii="Calibri" w:hAnsi="Calibri" w:cs="Calibri"/>
                <w:b/>
                <w:bCs/>
                <w:color w:val="000000"/>
                <w:szCs w:val="20"/>
                <w:lang w:val="en-CA" w:eastAsia="en-CA"/>
              </w:rPr>
              <w:t>9,138</w:t>
            </w:r>
            <w:r w:rsidRPr="00FC2211">
              <w:rPr>
                <w:rFonts w:ascii="Calibri" w:hAnsi="Calibri" w:cs="Calibri"/>
                <w:b/>
                <w:bCs/>
                <w:color w:val="000000"/>
                <w:szCs w:val="20"/>
                <w:lang w:val="en-CA" w:eastAsia="en-CA"/>
              </w:rPr>
              <w:t xml:space="preserve"> </w:t>
            </w:r>
          </w:p>
        </w:tc>
        <w:tc>
          <w:tcPr>
            <w:tcW w:w="1506" w:type="dxa"/>
            <w:tcBorders>
              <w:top w:val="nil"/>
              <w:left w:val="nil"/>
              <w:bottom w:val="nil"/>
              <w:right w:val="nil"/>
            </w:tcBorders>
            <w:shd w:val="clear" w:color="auto" w:fill="auto"/>
            <w:vAlign w:val="center"/>
            <w:hideMark/>
          </w:tcPr>
          <w:p w14:paraId="02022D1E" w14:textId="596D5348"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111,380 </w:t>
            </w:r>
          </w:p>
        </w:tc>
      </w:tr>
      <w:tr w:rsidR="00E50189" w:rsidRPr="00FC2211" w14:paraId="552B9EFA" w14:textId="77777777" w:rsidTr="002721C3">
        <w:trPr>
          <w:trHeight w:val="276"/>
        </w:trPr>
        <w:tc>
          <w:tcPr>
            <w:tcW w:w="4796" w:type="dxa"/>
            <w:tcBorders>
              <w:top w:val="nil"/>
              <w:left w:val="nil"/>
              <w:bottom w:val="nil"/>
              <w:right w:val="nil"/>
            </w:tcBorders>
            <w:shd w:val="clear" w:color="auto" w:fill="auto"/>
            <w:noWrap/>
            <w:vAlign w:val="center"/>
            <w:hideMark/>
          </w:tcPr>
          <w:p w14:paraId="7B99F057" w14:textId="77777777" w:rsidR="00E50189" w:rsidRPr="00FC2211" w:rsidRDefault="00E50189" w:rsidP="002721C3">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Interest payable </w:t>
            </w:r>
          </w:p>
        </w:tc>
        <w:tc>
          <w:tcPr>
            <w:tcW w:w="733" w:type="dxa"/>
            <w:tcBorders>
              <w:top w:val="nil"/>
              <w:left w:val="nil"/>
              <w:bottom w:val="nil"/>
              <w:right w:val="nil"/>
            </w:tcBorders>
            <w:shd w:val="clear" w:color="auto" w:fill="auto"/>
            <w:noWrap/>
            <w:vAlign w:val="center"/>
            <w:hideMark/>
          </w:tcPr>
          <w:p w14:paraId="5BA645CC" w14:textId="501662B0" w:rsidR="00E50189" w:rsidRPr="00FC2211" w:rsidRDefault="00E50189" w:rsidP="002721C3">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12</w:t>
            </w:r>
            <w:r w:rsidR="00FD49A0" w:rsidRPr="00FC2211">
              <w:rPr>
                <w:rFonts w:ascii="Calibri" w:hAnsi="Calibri" w:cs="Calibri"/>
                <w:i/>
                <w:iCs/>
                <w:color w:val="000000"/>
                <w:szCs w:val="20"/>
                <w:lang w:val="en-CA" w:eastAsia="en-CA"/>
              </w:rPr>
              <w:t>,</w:t>
            </w:r>
            <w:r w:rsidR="00CB5768" w:rsidRPr="00FC2211">
              <w:rPr>
                <w:rFonts w:ascii="Calibri" w:hAnsi="Calibri" w:cs="Calibri"/>
                <w:i/>
                <w:iCs/>
                <w:color w:val="000000"/>
                <w:szCs w:val="20"/>
                <w:lang w:val="en-CA" w:eastAsia="en-CA"/>
              </w:rPr>
              <w:t xml:space="preserve"> 13</w:t>
            </w:r>
          </w:p>
        </w:tc>
        <w:tc>
          <w:tcPr>
            <w:tcW w:w="2268" w:type="dxa"/>
            <w:tcBorders>
              <w:top w:val="nil"/>
              <w:left w:val="nil"/>
              <w:bottom w:val="nil"/>
              <w:right w:val="nil"/>
            </w:tcBorders>
            <w:shd w:val="clear" w:color="auto" w:fill="auto"/>
            <w:vAlign w:val="center"/>
            <w:hideMark/>
          </w:tcPr>
          <w:p w14:paraId="14D07742" w14:textId="77777777" w:rsidR="00E50189" w:rsidRPr="00FC2211" w:rsidRDefault="00E50189" w:rsidP="002721C3">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79,460 </w:t>
            </w:r>
          </w:p>
        </w:tc>
        <w:tc>
          <w:tcPr>
            <w:tcW w:w="1506" w:type="dxa"/>
            <w:tcBorders>
              <w:top w:val="nil"/>
              <w:left w:val="nil"/>
              <w:bottom w:val="nil"/>
              <w:right w:val="nil"/>
            </w:tcBorders>
            <w:shd w:val="clear" w:color="auto" w:fill="auto"/>
            <w:noWrap/>
            <w:vAlign w:val="center"/>
            <w:hideMark/>
          </w:tcPr>
          <w:p w14:paraId="1C7BD1C8" w14:textId="77777777" w:rsidR="00E50189" w:rsidRPr="00FC2211" w:rsidRDefault="00E50189" w:rsidP="002721C3">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13,973 </w:t>
            </w:r>
          </w:p>
        </w:tc>
      </w:tr>
      <w:tr w:rsidR="00065A9C" w:rsidRPr="00FC2211" w14:paraId="048148AA" w14:textId="77777777" w:rsidTr="00065A9C">
        <w:trPr>
          <w:trHeight w:val="276"/>
        </w:trPr>
        <w:tc>
          <w:tcPr>
            <w:tcW w:w="4796" w:type="dxa"/>
            <w:tcBorders>
              <w:top w:val="nil"/>
              <w:left w:val="nil"/>
              <w:bottom w:val="nil"/>
              <w:right w:val="nil"/>
            </w:tcBorders>
            <w:shd w:val="clear" w:color="auto" w:fill="auto"/>
            <w:noWrap/>
            <w:vAlign w:val="center"/>
            <w:hideMark/>
          </w:tcPr>
          <w:p w14:paraId="3DD78905" w14:textId="77777777"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Current portion of lease liability </w:t>
            </w:r>
          </w:p>
        </w:tc>
        <w:tc>
          <w:tcPr>
            <w:tcW w:w="733" w:type="dxa"/>
            <w:tcBorders>
              <w:top w:val="nil"/>
              <w:left w:val="nil"/>
              <w:bottom w:val="nil"/>
              <w:right w:val="nil"/>
            </w:tcBorders>
            <w:shd w:val="clear" w:color="auto" w:fill="auto"/>
            <w:noWrap/>
            <w:vAlign w:val="center"/>
            <w:hideMark/>
          </w:tcPr>
          <w:p w14:paraId="10B04868" w14:textId="337BBCD6"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2</w:t>
            </w:r>
            <w:r w:rsidR="007F09F0" w:rsidRPr="00FC2211">
              <w:rPr>
                <w:rFonts w:ascii="Calibri" w:hAnsi="Calibri" w:cs="Calibri"/>
                <w:i/>
                <w:iCs/>
                <w:color w:val="000000"/>
                <w:szCs w:val="20"/>
                <w:lang w:val="en-CA" w:eastAsia="en-CA"/>
              </w:rPr>
              <w:t>1</w:t>
            </w:r>
          </w:p>
        </w:tc>
        <w:tc>
          <w:tcPr>
            <w:tcW w:w="2268" w:type="dxa"/>
            <w:tcBorders>
              <w:top w:val="nil"/>
              <w:left w:val="nil"/>
              <w:bottom w:val="nil"/>
              <w:right w:val="nil"/>
            </w:tcBorders>
            <w:shd w:val="clear" w:color="auto" w:fill="auto"/>
            <w:vAlign w:val="center"/>
            <w:hideMark/>
          </w:tcPr>
          <w:p w14:paraId="55D66B1D" w14:textId="5D319DFA"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3</w:t>
            </w:r>
            <w:r w:rsidR="009921F6" w:rsidRPr="00FC2211">
              <w:rPr>
                <w:rFonts w:ascii="Calibri" w:hAnsi="Calibri" w:cs="Calibri"/>
                <w:b/>
                <w:bCs/>
                <w:color w:val="000000"/>
                <w:szCs w:val="20"/>
                <w:lang w:val="en-CA" w:eastAsia="en-CA"/>
              </w:rPr>
              <w:t>9,115</w:t>
            </w:r>
            <w:r w:rsidRPr="00FC2211">
              <w:rPr>
                <w:rFonts w:ascii="Calibri" w:hAnsi="Calibri" w:cs="Calibri"/>
                <w:b/>
                <w:bCs/>
                <w:color w:val="000000"/>
                <w:szCs w:val="20"/>
                <w:lang w:val="en-CA" w:eastAsia="en-CA"/>
              </w:rPr>
              <w:t xml:space="preserve"> </w:t>
            </w:r>
          </w:p>
        </w:tc>
        <w:tc>
          <w:tcPr>
            <w:tcW w:w="1506" w:type="dxa"/>
            <w:tcBorders>
              <w:top w:val="nil"/>
              <w:left w:val="nil"/>
              <w:bottom w:val="nil"/>
              <w:right w:val="nil"/>
            </w:tcBorders>
            <w:shd w:val="clear" w:color="auto" w:fill="auto"/>
            <w:noWrap/>
            <w:vAlign w:val="center"/>
            <w:hideMark/>
          </w:tcPr>
          <w:p w14:paraId="1DD80D41" w14:textId="483EDDAA" w:rsidR="00065A9C" w:rsidRPr="00FC2211" w:rsidRDefault="00065A9C" w:rsidP="00065A9C">
            <w:pPr>
              <w:ind w:firstLineChars="100" w:firstLine="200"/>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36,352 </w:t>
            </w:r>
          </w:p>
        </w:tc>
      </w:tr>
      <w:tr w:rsidR="00065A9C" w:rsidRPr="00FC2211" w14:paraId="72683475"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6CF463B6" w14:textId="77777777"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Due to related parties </w:t>
            </w:r>
          </w:p>
        </w:tc>
        <w:tc>
          <w:tcPr>
            <w:tcW w:w="733" w:type="dxa"/>
            <w:tcBorders>
              <w:top w:val="nil"/>
              <w:left w:val="nil"/>
              <w:bottom w:val="single" w:sz="8" w:space="0" w:color="auto"/>
              <w:right w:val="nil"/>
            </w:tcBorders>
            <w:shd w:val="clear" w:color="auto" w:fill="auto"/>
            <w:noWrap/>
            <w:vAlign w:val="center"/>
            <w:hideMark/>
          </w:tcPr>
          <w:p w14:paraId="76A22A49"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17</w:t>
            </w:r>
          </w:p>
        </w:tc>
        <w:tc>
          <w:tcPr>
            <w:tcW w:w="2268" w:type="dxa"/>
            <w:tcBorders>
              <w:top w:val="nil"/>
              <w:left w:val="nil"/>
              <w:bottom w:val="single" w:sz="8" w:space="0" w:color="auto"/>
              <w:right w:val="nil"/>
            </w:tcBorders>
            <w:shd w:val="clear" w:color="auto" w:fill="auto"/>
            <w:vAlign w:val="center"/>
            <w:hideMark/>
          </w:tcPr>
          <w:p w14:paraId="463D2562" w14:textId="45FFFE57" w:rsidR="00065A9C" w:rsidRPr="00FC2211" w:rsidRDefault="00065A9C" w:rsidP="009921F6">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9921F6" w:rsidRPr="00FC2211">
              <w:rPr>
                <w:rFonts w:ascii="Calibri" w:hAnsi="Calibri" w:cs="Calibri"/>
                <w:b/>
                <w:bCs/>
                <w:color w:val="000000"/>
                <w:szCs w:val="20"/>
                <w:lang w:val="en-CA" w:eastAsia="en-CA"/>
              </w:rPr>
              <w:t>11,021</w:t>
            </w:r>
          </w:p>
        </w:tc>
        <w:tc>
          <w:tcPr>
            <w:tcW w:w="1506" w:type="dxa"/>
            <w:tcBorders>
              <w:top w:val="nil"/>
              <w:left w:val="nil"/>
              <w:bottom w:val="single" w:sz="8" w:space="0" w:color="auto"/>
              <w:right w:val="nil"/>
            </w:tcBorders>
            <w:shd w:val="clear" w:color="auto" w:fill="auto"/>
            <w:noWrap/>
            <w:vAlign w:val="center"/>
            <w:hideMark/>
          </w:tcPr>
          <w:p w14:paraId="32D00BFA" w14:textId="50DBB601"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9,950 </w:t>
            </w:r>
          </w:p>
        </w:tc>
      </w:tr>
      <w:tr w:rsidR="00065A9C" w:rsidRPr="00FC2211" w14:paraId="4A9741B3" w14:textId="77777777" w:rsidTr="00065A9C">
        <w:trPr>
          <w:trHeight w:val="276"/>
        </w:trPr>
        <w:tc>
          <w:tcPr>
            <w:tcW w:w="4796" w:type="dxa"/>
            <w:tcBorders>
              <w:top w:val="nil"/>
              <w:left w:val="nil"/>
              <w:bottom w:val="nil"/>
              <w:right w:val="nil"/>
            </w:tcBorders>
            <w:shd w:val="clear" w:color="auto" w:fill="auto"/>
            <w:noWrap/>
            <w:vAlign w:val="center"/>
            <w:hideMark/>
          </w:tcPr>
          <w:p w14:paraId="22B16704" w14:textId="77777777" w:rsidR="00065A9C" w:rsidRPr="00FC2211" w:rsidRDefault="00065A9C" w:rsidP="00065A9C">
            <w:pPr>
              <w:rPr>
                <w:rFonts w:ascii="Calibri" w:hAnsi="Calibri" w:cs="Calibri"/>
                <w:color w:val="000000"/>
                <w:szCs w:val="20"/>
                <w:lang w:val="en-CA" w:eastAsia="en-CA"/>
              </w:rPr>
            </w:pPr>
          </w:p>
        </w:tc>
        <w:tc>
          <w:tcPr>
            <w:tcW w:w="733" w:type="dxa"/>
            <w:tcBorders>
              <w:top w:val="nil"/>
              <w:left w:val="nil"/>
              <w:bottom w:val="nil"/>
              <w:right w:val="nil"/>
            </w:tcBorders>
            <w:shd w:val="clear" w:color="auto" w:fill="auto"/>
            <w:noWrap/>
            <w:vAlign w:val="center"/>
            <w:hideMark/>
          </w:tcPr>
          <w:p w14:paraId="0AC9B755" w14:textId="77777777" w:rsidR="00065A9C" w:rsidRPr="00FC2211" w:rsidRDefault="00065A9C" w:rsidP="00065A9C">
            <w:pPr>
              <w:ind w:firstLineChars="100" w:firstLine="200"/>
              <w:rPr>
                <w:rFonts w:ascii="Times New Roman" w:hAnsi="Times New Roman"/>
                <w:szCs w:val="20"/>
                <w:lang w:val="en-CA" w:eastAsia="en-CA"/>
              </w:rPr>
            </w:pPr>
          </w:p>
        </w:tc>
        <w:tc>
          <w:tcPr>
            <w:tcW w:w="2268" w:type="dxa"/>
            <w:tcBorders>
              <w:top w:val="nil"/>
              <w:left w:val="nil"/>
              <w:bottom w:val="nil"/>
              <w:right w:val="nil"/>
            </w:tcBorders>
            <w:shd w:val="clear" w:color="auto" w:fill="auto"/>
            <w:vAlign w:val="center"/>
            <w:hideMark/>
          </w:tcPr>
          <w:p w14:paraId="778AF82A" w14:textId="5BC064E2"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1,</w:t>
            </w:r>
            <w:r w:rsidR="00050E5C" w:rsidRPr="00FC2211">
              <w:rPr>
                <w:rFonts w:ascii="Calibri" w:hAnsi="Calibri" w:cs="Calibri"/>
                <w:b/>
                <w:bCs/>
                <w:color w:val="000000"/>
                <w:szCs w:val="20"/>
                <w:lang w:val="en-CA" w:eastAsia="en-CA"/>
              </w:rPr>
              <w:t>569,</w:t>
            </w:r>
            <w:r w:rsidR="00AA622F" w:rsidRPr="00FC2211">
              <w:rPr>
                <w:rFonts w:ascii="Calibri" w:hAnsi="Calibri" w:cs="Calibri"/>
                <w:b/>
                <w:bCs/>
                <w:color w:val="000000"/>
                <w:szCs w:val="20"/>
                <w:lang w:val="en-CA" w:eastAsia="en-CA"/>
              </w:rPr>
              <w:t>98</w:t>
            </w:r>
            <w:r w:rsidR="00051353" w:rsidRPr="00FC2211">
              <w:rPr>
                <w:rFonts w:ascii="Calibri" w:hAnsi="Calibri" w:cs="Calibri"/>
                <w:b/>
                <w:bCs/>
                <w:color w:val="000000"/>
                <w:szCs w:val="20"/>
                <w:lang w:val="en-CA" w:eastAsia="en-CA"/>
              </w:rPr>
              <w:t>8</w:t>
            </w:r>
            <w:r w:rsidRPr="00FC2211">
              <w:rPr>
                <w:rFonts w:ascii="Calibri" w:hAnsi="Calibri" w:cs="Calibri"/>
                <w:b/>
                <w:bCs/>
                <w:color w:val="000000"/>
                <w:szCs w:val="20"/>
                <w:lang w:val="en-CA" w:eastAsia="en-CA"/>
              </w:rPr>
              <w:t xml:space="preserve"> </w:t>
            </w:r>
          </w:p>
        </w:tc>
        <w:tc>
          <w:tcPr>
            <w:tcW w:w="1506" w:type="dxa"/>
            <w:tcBorders>
              <w:top w:val="nil"/>
              <w:left w:val="nil"/>
              <w:bottom w:val="nil"/>
              <w:right w:val="nil"/>
            </w:tcBorders>
            <w:shd w:val="clear" w:color="auto" w:fill="auto"/>
            <w:noWrap/>
            <w:vAlign w:val="center"/>
            <w:hideMark/>
          </w:tcPr>
          <w:p w14:paraId="295F5D9E" w14:textId="17E222ED"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1,027,442 </w:t>
            </w:r>
          </w:p>
        </w:tc>
      </w:tr>
      <w:tr w:rsidR="00065A9C" w:rsidRPr="00FC2211" w14:paraId="335555A1" w14:textId="77777777" w:rsidTr="00065A9C">
        <w:trPr>
          <w:trHeight w:val="276"/>
        </w:trPr>
        <w:tc>
          <w:tcPr>
            <w:tcW w:w="4796" w:type="dxa"/>
            <w:tcBorders>
              <w:top w:val="nil"/>
              <w:left w:val="nil"/>
              <w:bottom w:val="nil"/>
              <w:right w:val="nil"/>
            </w:tcBorders>
            <w:shd w:val="clear" w:color="auto" w:fill="auto"/>
            <w:noWrap/>
            <w:vAlign w:val="center"/>
            <w:hideMark/>
          </w:tcPr>
          <w:p w14:paraId="27C05EEC" w14:textId="1992DAC9" w:rsidR="00065A9C" w:rsidRPr="00FC2211" w:rsidRDefault="00065A9C" w:rsidP="00065A9C">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Non-current liabilities</w:t>
            </w:r>
          </w:p>
        </w:tc>
        <w:tc>
          <w:tcPr>
            <w:tcW w:w="733" w:type="dxa"/>
            <w:tcBorders>
              <w:top w:val="nil"/>
              <w:left w:val="nil"/>
              <w:bottom w:val="nil"/>
              <w:right w:val="nil"/>
            </w:tcBorders>
            <w:shd w:val="clear" w:color="auto" w:fill="auto"/>
            <w:noWrap/>
            <w:vAlign w:val="center"/>
            <w:hideMark/>
          </w:tcPr>
          <w:p w14:paraId="1A0656FB" w14:textId="77777777" w:rsidR="00065A9C" w:rsidRPr="00FC2211" w:rsidRDefault="00065A9C" w:rsidP="00065A9C">
            <w:pPr>
              <w:rPr>
                <w:rFonts w:ascii="Calibri" w:hAnsi="Calibri" w:cs="Calibri"/>
                <w:b/>
                <w:bCs/>
                <w:color w:val="000000"/>
                <w:szCs w:val="20"/>
                <w:lang w:val="en-CA" w:eastAsia="en-CA"/>
              </w:rPr>
            </w:pPr>
          </w:p>
        </w:tc>
        <w:tc>
          <w:tcPr>
            <w:tcW w:w="2268" w:type="dxa"/>
            <w:tcBorders>
              <w:top w:val="nil"/>
              <w:left w:val="nil"/>
              <w:bottom w:val="nil"/>
              <w:right w:val="nil"/>
            </w:tcBorders>
            <w:shd w:val="clear" w:color="auto" w:fill="auto"/>
            <w:vAlign w:val="center"/>
            <w:hideMark/>
          </w:tcPr>
          <w:p w14:paraId="0043AD76" w14:textId="77777777" w:rsidR="00065A9C" w:rsidRPr="00FC2211" w:rsidRDefault="00065A9C" w:rsidP="00065A9C">
            <w:pPr>
              <w:jc w:val="right"/>
              <w:rPr>
                <w:rFonts w:ascii="Times New Roman" w:hAnsi="Times New Roman"/>
                <w:szCs w:val="20"/>
                <w:lang w:val="en-CA" w:eastAsia="en-CA"/>
              </w:rPr>
            </w:pPr>
          </w:p>
        </w:tc>
        <w:tc>
          <w:tcPr>
            <w:tcW w:w="1506" w:type="dxa"/>
            <w:tcBorders>
              <w:top w:val="nil"/>
              <w:left w:val="nil"/>
              <w:bottom w:val="nil"/>
              <w:right w:val="nil"/>
            </w:tcBorders>
            <w:shd w:val="clear" w:color="auto" w:fill="auto"/>
            <w:noWrap/>
            <w:vAlign w:val="center"/>
            <w:hideMark/>
          </w:tcPr>
          <w:p w14:paraId="3F6225EA" w14:textId="77777777" w:rsidR="00065A9C" w:rsidRPr="00FC2211" w:rsidRDefault="00065A9C" w:rsidP="00065A9C">
            <w:pPr>
              <w:jc w:val="right"/>
              <w:rPr>
                <w:rFonts w:ascii="Times New Roman" w:hAnsi="Times New Roman"/>
                <w:szCs w:val="20"/>
                <w:lang w:val="en-CA" w:eastAsia="en-CA"/>
              </w:rPr>
            </w:pPr>
          </w:p>
        </w:tc>
      </w:tr>
      <w:tr w:rsidR="00065A9C" w:rsidRPr="00FC2211" w14:paraId="755A024A" w14:textId="77777777" w:rsidTr="00065A9C">
        <w:trPr>
          <w:trHeight w:val="276"/>
        </w:trPr>
        <w:tc>
          <w:tcPr>
            <w:tcW w:w="4796" w:type="dxa"/>
            <w:tcBorders>
              <w:top w:val="nil"/>
              <w:left w:val="nil"/>
              <w:bottom w:val="nil"/>
              <w:right w:val="nil"/>
            </w:tcBorders>
            <w:shd w:val="clear" w:color="auto" w:fill="auto"/>
            <w:noWrap/>
            <w:vAlign w:val="center"/>
            <w:hideMark/>
          </w:tcPr>
          <w:p w14:paraId="6BC2DE9F" w14:textId="31FECD93"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Notes </w:t>
            </w:r>
            <w:r w:rsidR="00AA1FB0" w:rsidRPr="00FC2211">
              <w:rPr>
                <w:rFonts w:ascii="Calibri" w:hAnsi="Calibri" w:cs="Calibri"/>
                <w:color w:val="000000"/>
                <w:szCs w:val="20"/>
                <w:lang w:val="en-CA" w:eastAsia="en-CA"/>
              </w:rPr>
              <w:t>p</w:t>
            </w:r>
            <w:r w:rsidRPr="00FC2211">
              <w:rPr>
                <w:rFonts w:ascii="Calibri" w:hAnsi="Calibri" w:cs="Calibri"/>
                <w:color w:val="000000"/>
                <w:szCs w:val="20"/>
                <w:lang w:val="en-CA" w:eastAsia="en-CA"/>
              </w:rPr>
              <w:t xml:space="preserve">ayable  </w:t>
            </w:r>
          </w:p>
        </w:tc>
        <w:tc>
          <w:tcPr>
            <w:tcW w:w="733" w:type="dxa"/>
            <w:tcBorders>
              <w:top w:val="nil"/>
              <w:left w:val="nil"/>
              <w:bottom w:val="nil"/>
              <w:right w:val="nil"/>
            </w:tcBorders>
            <w:shd w:val="clear" w:color="auto" w:fill="auto"/>
            <w:noWrap/>
            <w:vAlign w:val="center"/>
            <w:hideMark/>
          </w:tcPr>
          <w:p w14:paraId="2DE37180"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12</w:t>
            </w:r>
          </w:p>
        </w:tc>
        <w:tc>
          <w:tcPr>
            <w:tcW w:w="2268" w:type="dxa"/>
            <w:tcBorders>
              <w:top w:val="nil"/>
              <w:left w:val="nil"/>
              <w:bottom w:val="nil"/>
              <w:right w:val="nil"/>
            </w:tcBorders>
            <w:shd w:val="clear" w:color="auto" w:fill="auto"/>
            <w:vAlign w:val="center"/>
            <w:hideMark/>
          </w:tcPr>
          <w:p w14:paraId="0985F92B" w14:textId="696F8060"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8</w:t>
            </w:r>
            <w:r w:rsidR="00050E5C" w:rsidRPr="00FC2211">
              <w:rPr>
                <w:rFonts w:ascii="Calibri" w:hAnsi="Calibri" w:cs="Calibri"/>
                <w:b/>
                <w:bCs/>
                <w:color w:val="000000"/>
                <w:szCs w:val="20"/>
                <w:lang w:val="en-CA" w:eastAsia="en-CA"/>
              </w:rPr>
              <w:t>81,235</w:t>
            </w:r>
            <w:r w:rsidRPr="00FC2211">
              <w:rPr>
                <w:rFonts w:ascii="Calibri" w:hAnsi="Calibri" w:cs="Calibri"/>
                <w:b/>
                <w:bCs/>
                <w:color w:val="000000"/>
                <w:szCs w:val="20"/>
                <w:lang w:val="en-CA" w:eastAsia="en-CA"/>
              </w:rPr>
              <w:t xml:space="preserve"> </w:t>
            </w:r>
          </w:p>
        </w:tc>
        <w:tc>
          <w:tcPr>
            <w:tcW w:w="1506" w:type="dxa"/>
            <w:tcBorders>
              <w:top w:val="nil"/>
              <w:left w:val="nil"/>
              <w:bottom w:val="nil"/>
              <w:right w:val="nil"/>
            </w:tcBorders>
            <w:shd w:val="clear" w:color="auto" w:fill="auto"/>
            <w:noWrap/>
            <w:vAlign w:val="center"/>
            <w:hideMark/>
          </w:tcPr>
          <w:p w14:paraId="73B4ACE7" w14:textId="59629A6A"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856,112 </w:t>
            </w:r>
          </w:p>
        </w:tc>
      </w:tr>
      <w:tr w:rsidR="00065A9C" w:rsidRPr="00FC2211" w14:paraId="67ECF306" w14:textId="77777777" w:rsidTr="00065A9C">
        <w:trPr>
          <w:trHeight w:val="276"/>
        </w:trPr>
        <w:tc>
          <w:tcPr>
            <w:tcW w:w="4796" w:type="dxa"/>
            <w:tcBorders>
              <w:top w:val="nil"/>
              <w:left w:val="nil"/>
              <w:bottom w:val="nil"/>
              <w:right w:val="nil"/>
            </w:tcBorders>
            <w:shd w:val="clear" w:color="auto" w:fill="auto"/>
            <w:noWrap/>
            <w:vAlign w:val="center"/>
            <w:hideMark/>
          </w:tcPr>
          <w:p w14:paraId="1916D223" w14:textId="46561906"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Bank </w:t>
            </w:r>
            <w:r w:rsidR="00AA1FB0" w:rsidRPr="00FC2211">
              <w:rPr>
                <w:rFonts w:ascii="Calibri" w:hAnsi="Calibri" w:cs="Calibri"/>
                <w:color w:val="000000"/>
                <w:szCs w:val="20"/>
                <w:lang w:val="en-CA" w:eastAsia="en-CA"/>
              </w:rPr>
              <w:t>l</w:t>
            </w:r>
            <w:r w:rsidRPr="00FC2211">
              <w:rPr>
                <w:rFonts w:ascii="Calibri" w:hAnsi="Calibri" w:cs="Calibri"/>
                <w:color w:val="000000"/>
                <w:szCs w:val="20"/>
                <w:lang w:val="en-CA" w:eastAsia="en-CA"/>
              </w:rPr>
              <w:t>oan</w:t>
            </w:r>
            <w:r w:rsidR="0019760A" w:rsidRPr="00FC2211">
              <w:rPr>
                <w:rFonts w:ascii="Calibri" w:hAnsi="Calibri" w:cs="Calibri"/>
                <w:color w:val="000000"/>
                <w:szCs w:val="20"/>
                <w:lang w:val="en-CA" w:eastAsia="en-CA"/>
              </w:rPr>
              <w:t xml:space="preserve"> </w:t>
            </w:r>
            <w:r w:rsidR="00AA1FB0" w:rsidRPr="00FC2211">
              <w:rPr>
                <w:rFonts w:ascii="Calibri" w:hAnsi="Calibri" w:cs="Calibri"/>
                <w:color w:val="000000"/>
                <w:szCs w:val="20"/>
                <w:lang w:val="en-CA" w:eastAsia="en-CA"/>
              </w:rPr>
              <w:t>p</w:t>
            </w:r>
            <w:r w:rsidR="0019760A" w:rsidRPr="00FC2211">
              <w:rPr>
                <w:rFonts w:ascii="Calibri" w:hAnsi="Calibri" w:cs="Calibri"/>
                <w:color w:val="000000"/>
                <w:szCs w:val="20"/>
                <w:lang w:val="en-CA" w:eastAsia="en-CA"/>
              </w:rPr>
              <w:t>ayable</w:t>
            </w:r>
            <w:r w:rsidRPr="00FC2211">
              <w:rPr>
                <w:rFonts w:ascii="Calibri" w:hAnsi="Calibri" w:cs="Calibri"/>
                <w:color w:val="000000"/>
                <w:szCs w:val="20"/>
                <w:lang w:val="en-CA" w:eastAsia="en-CA"/>
              </w:rPr>
              <w:t xml:space="preserve"> </w:t>
            </w:r>
          </w:p>
        </w:tc>
        <w:tc>
          <w:tcPr>
            <w:tcW w:w="733" w:type="dxa"/>
            <w:tcBorders>
              <w:top w:val="nil"/>
              <w:left w:val="nil"/>
              <w:bottom w:val="nil"/>
              <w:right w:val="nil"/>
            </w:tcBorders>
            <w:shd w:val="clear" w:color="auto" w:fill="auto"/>
            <w:noWrap/>
            <w:vAlign w:val="center"/>
            <w:hideMark/>
          </w:tcPr>
          <w:p w14:paraId="1B8848EE"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13</w:t>
            </w:r>
          </w:p>
        </w:tc>
        <w:tc>
          <w:tcPr>
            <w:tcW w:w="2268" w:type="dxa"/>
            <w:tcBorders>
              <w:top w:val="nil"/>
              <w:left w:val="nil"/>
              <w:bottom w:val="nil"/>
              <w:right w:val="nil"/>
            </w:tcBorders>
            <w:shd w:val="clear" w:color="auto" w:fill="auto"/>
            <w:vAlign w:val="center"/>
            <w:hideMark/>
          </w:tcPr>
          <w:p w14:paraId="56629F7C" w14:textId="1044CA4C"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350,000 </w:t>
            </w:r>
          </w:p>
        </w:tc>
        <w:tc>
          <w:tcPr>
            <w:tcW w:w="1506" w:type="dxa"/>
            <w:tcBorders>
              <w:top w:val="nil"/>
              <w:left w:val="nil"/>
              <w:bottom w:val="nil"/>
              <w:right w:val="nil"/>
            </w:tcBorders>
            <w:shd w:val="clear" w:color="auto" w:fill="auto"/>
            <w:noWrap/>
            <w:vAlign w:val="center"/>
            <w:hideMark/>
          </w:tcPr>
          <w:p w14:paraId="208D4DC3" w14:textId="36CAB6D1" w:rsidR="00065A9C" w:rsidRPr="00FC2211" w:rsidRDefault="00065A9C" w:rsidP="00273748">
            <w:pPr>
              <w:ind w:right="123"/>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r>
      <w:tr w:rsidR="00065A9C" w:rsidRPr="00FC2211" w14:paraId="3B3B90DF"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08342E6F" w14:textId="77777777"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Non-current portion of lease liability  </w:t>
            </w:r>
          </w:p>
        </w:tc>
        <w:tc>
          <w:tcPr>
            <w:tcW w:w="733" w:type="dxa"/>
            <w:tcBorders>
              <w:top w:val="nil"/>
              <w:left w:val="nil"/>
              <w:bottom w:val="single" w:sz="8" w:space="0" w:color="auto"/>
              <w:right w:val="nil"/>
            </w:tcBorders>
            <w:shd w:val="clear" w:color="auto" w:fill="auto"/>
            <w:noWrap/>
            <w:vAlign w:val="center"/>
            <w:hideMark/>
          </w:tcPr>
          <w:p w14:paraId="54E61876" w14:textId="2BB9E9CC"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2</w:t>
            </w:r>
            <w:r w:rsidR="007F09F0" w:rsidRPr="00FC2211">
              <w:rPr>
                <w:rFonts w:ascii="Calibri" w:hAnsi="Calibri" w:cs="Calibri"/>
                <w:i/>
                <w:iCs/>
                <w:color w:val="000000"/>
                <w:szCs w:val="20"/>
                <w:lang w:val="en-CA" w:eastAsia="en-CA"/>
              </w:rPr>
              <w:t>1</w:t>
            </w:r>
          </w:p>
        </w:tc>
        <w:tc>
          <w:tcPr>
            <w:tcW w:w="2268" w:type="dxa"/>
            <w:tcBorders>
              <w:top w:val="nil"/>
              <w:left w:val="nil"/>
              <w:bottom w:val="single" w:sz="8" w:space="0" w:color="auto"/>
              <w:right w:val="nil"/>
            </w:tcBorders>
            <w:shd w:val="clear" w:color="auto" w:fill="auto"/>
            <w:vAlign w:val="center"/>
            <w:hideMark/>
          </w:tcPr>
          <w:p w14:paraId="1A45534B" w14:textId="0099F9D6"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050E5C" w:rsidRPr="00FC2211">
              <w:rPr>
                <w:rFonts w:ascii="Calibri" w:hAnsi="Calibri" w:cs="Calibri"/>
                <w:b/>
                <w:bCs/>
                <w:color w:val="000000"/>
                <w:szCs w:val="20"/>
                <w:lang w:val="en-CA" w:eastAsia="en-CA"/>
              </w:rPr>
              <w:t>7,030</w:t>
            </w:r>
            <w:r w:rsidRPr="00FC2211">
              <w:rPr>
                <w:rFonts w:ascii="Calibri" w:hAnsi="Calibri" w:cs="Calibri"/>
                <w:b/>
                <w:bCs/>
                <w:color w:val="000000"/>
                <w:szCs w:val="20"/>
                <w:lang w:val="en-CA" w:eastAsia="en-CA"/>
              </w:rPr>
              <w:t xml:space="preserve"> </w:t>
            </w:r>
          </w:p>
        </w:tc>
        <w:tc>
          <w:tcPr>
            <w:tcW w:w="1506" w:type="dxa"/>
            <w:tcBorders>
              <w:top w:val="nil"/>
              <w:left w:val="nil"/>
              <w:bottom w:val="single" w:sz="8" w:space="0" w:color="auto"/>
              <w:right w:val="nil"/>
            </w:tcBorders>
            <w:shd w:val="clear" w:color="auto" w:fill="auto"/>
            <w:noWrap/>
            <w:vAlign w:val="center"/>
            <w:hideMark/>
          </w:tcPr>
          <w:p w14:paraId="7099115A" w14:textId="19D42F65"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27,266 </w:t>
            </w:r>
          </w:p>
        </w:tc>
      </w:tr>
      <w:tr w:rsidR="00065A9C" w:rsidRPr="00FC2211" w14:paraId="75E6B38D"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7731997E" w14:textId="77777777" w:rsidR="00065A9C" w:rsidRPr="00FC2211" w:rsidRDefault="00065A9C" w:rsidP="00065A9C">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733" w:type="dxa"/>
            <w:tcBorders>
              <w:top w:val="nil"/>
              <w:left w:val="nil"/>
              <w:bottom w:val="single" w:sz="8" w:space="0" w:color="auto"/>
              <w:right w:val="nil"/>
            </w:tcBorders>
            <w:shd w:val="clear" w:color="auto" w:fill="auto"/>
            <w:noWrap/>
            <w:vAlign w:val="center"/>
            <w:hideMark/>
          </w:tcPr>
          <w:p w14:paraId="44DA78D9"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 </w:t>
            </w:r>
          </w:p>
        </w:tc>
        <w:tc>
          <w:tcPr>
            <w:tcW w:w="2268" w:type="dxa"/>
            <w:tcBorders>
              <w:top w:val="nil"/>
              <w:left w:val="nil"/>
              <w:bottom w:val="single" w:sz="8" w:space="0" w:color="auto"/>
              <w:right w:val="nil"/>
            </w:tcBorders>
            <w:shd w:val="clear" w:color="auto" w:fill="auto"/>
            <w:vAlign w:val="center"/>
            <w:hideMark/>
          </w:tcPr>
          <w:p w14:paraId="0C5B0343" w14:textId="6B1C8BE5"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1,23</w:t>
            </w:r>
            <w:r w:rsidR="00050E5C" w:rsidRPr="00FC2211">
              <w:rPr>
                <w:rFonts w:ascii="Calibri" w:hAnsi="Calibri" w:cs="Calibri"/>
                <w:b/>
                <w:bCs/>
                <w:color w:val="000000"/>
                <w:szCs w:val="20"/>
                <w:lang w:val="en-CA" w:eastAsia="en-CA"/>
              </w:rPr>
              <w:t>8,265</w:t>
            </w:r>
            <w:r w:rsidRPr="00FC2211">
              <w:rPr>
                <w:rFonts w:ascii="Calibri" w:hAnsi="Calibri" w:cs="Calibri"/>
                <w:b/>
                <w:bCs/>
                <w:color w:val="000000"/>
                <w:szCs w:val="20"/>
                <w:lang w:val="en-CA" w:eastAsia="en-CA"/>
              </w:rPr>
              <w:t xml:space="preserve"> </w:t>
            </w:r>
          </w:p>
        </w:tc>
        <w:tc>
          <w:tcPr>
            <w:tcW w:w="1506" w:type="dxa"/>
            <w:tcBorders>
              <w:top w:val="nil"/>
              <w:left w:val="nil"/>
              <w:bottom w:val="single" w:sz="8" w:space="0" w:color="auto"/>
              <w:right w:val="nil"/>
            </w:tcBorders>
            <w:shd w:val="clear" w:color="auto" w:fill="auto"/>
            <w:vAlign w:val="center"/>
            <w:hideMark/>
          </w:tcPr>
          <w:p w14:paraId="1A98E06F" w14:textId="1233A8DF"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883,378 </w:t>
            </w:r>
          </w:p>
        </w:tc>
      </w:tr>
      <w:tr w:rsidR="00065A9C" w:rsidRPr="00FC2211" w14:paraId="13D4B86A"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2E830F07" w14:textId="77777777" w:rsidR="00065A9C" w:rsidRPr="00FC2211" w:rsidRDefault="00065A9C" w:rsidP="00065A9C">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Total liabilities </w:t>
            </w:r>
          </w:p>
        </w:tc>
        <w:tc>
          <w:tcPr>
            <w:tcW w:w="733" w:type="dxa"/>
            <w:tcBorders>
              <w:top w:val="nil"/>
              <w:left w:val="nil"/>
              <w:bottom w:val="single" w:sz="8" w:space="0" w:color="auto"/>
              <w:right w:val="nil"/>
            </w:tcBorders>
            <w:shd w:val="clear" w:color="auto" w:fill="auto"/>
            <w:noWrap/>
            <w:vAlign w:val="center"/>
            <w:hideMark/>
          </w:tcPr>
          <w:p w14:paraId="74E43B1C" w14:textId="77777777" w:rsidR="00065A9C" w:rsidRPr="00FC2211" w:rsidRDefault="00065A9C" w:rsidP="00065A9C">
            <w:pPr>
              <w:jc w:val="center"/>
              <w:rPr>
                <w:rFonts w:ascii="Calibri" w:hAnsi="Calibri" w:cs="Calibri"/>
                <w:b/>
                <w:bCs/>
                <w:i/>
                <w:iCs/>
                <w:color w:val="000000"/>
                <w:szCs w:val="20"/>
                <w:lang w:val="en-CA" w:eastAsia="en-CA"/>
              </w:rPr>
            </w:pPr>
            <w:r w:rsidRPr="00FC2211">
              <w:rPr>
                <w:rFonts w:ascii="Calibri" w:hAnsi="Calibri" w:cs="Calibri"/>
                <w:b/>
                <w:bCs/>
                <w:i/>
                <w:iCs/>
                <w:color w:val="000000"/>
                <w:szCs w:val="20"/>
                <w:lang w:val="en-CA" w:eastAsia="en-CA"/>
              </w:rPr>
              <w:t> </w:t>
            </w:r>
          </w:p>
        </w:tc>
        <w:tc>
          <w:tcPr>
            <w:tcW w:w="2268" w:type="dxa"/>
            <w:tcBorders>
              <w:top w:val="nil"/>
              <w:left w:val="nil"/>
              <w:bottom w:val="single" w:sz="8" w:space="0" w:color="auto"/>
              <w:right w:val="nil"/>
            </w:tcBorders>
            <w:shd w:val="clear" w:color="auto" w:fill="auto"/>
            <w:vAlign w:val="center"/>
            <w:hideMark/>
          </w:tcPr>
          <w:p w14:paraId="72BC8A85" w14:textId="19EE1175"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2,</w:t>
            </w:r>
            <w:r w:rsidR="00401584" w:rsidRPr="00FC2211">
              <w:rPr>
                <w:rFonts w:ascii="Calibri" w:hAnsi="Calibri" w:cs="Calibri"/>
                <w:b/>
                <w:bCs/>
                <w:color w:val="000000"/>
                <w:szCs w:val="20"/>
                <w:lang w:val="en-CA" w:eastAsia="en-CA"/>
              </w:rPr>
              <w:t>808,25</w:t>
            </w:r>
            <w:r w:rsidR="00051353" w:rsidRPr="00FC2211">
              <w:rPr>
                <w:rFonts w:ascii="Calibri" w:hAnsi="Calibri" w:cs="Calibri"/>
                <w:b/>
                <w:bCs/>
                <w:color w:val="000000"/>
                <w:szCs w:val="20"/>
                <w:lang w:val="en-CA" w:eastAsia="en-CA"/>
              </w:rPr>
              <w:t>3</w:t>
            </w:r>
            <w:r w:rsidRPr="00FC2211">
              <w:rPr>
                <w:rFonts w:ascii="Calibri" w:hAnsi="Calibri" w:cs="Calibri"/>
                <w:b/>
                <w:bCs/>
                <w:color w:val="000000"/>
                <w:szCs w:val="20"/>
                <w:lang w:val="en-CA" w:eastAsia="en-CA"/>
              </w:rPr>
              <w:t xml:space="preserve"> </w:t>
            </w:r>
          </w:p>
        </w:tc>
        <w:tc>
          <w:tcPr>
            <w:tcW w:w="1506" w:type="dxa"/>
            <w:tcBorders>
              <w:top w:val="nil"/>
              <w:left w:val="nil"/>
              <w:bottom w:val="single" w:sz="8" w:space="0" w:color="auto"/>
              <w:right w:val="nil"/>
            </w:tcBorders>
            <w:shd w:val="clear" w:color="auto" w:fill="auto"/>
            <w:vAlign w:val="center"/>
            <w:hideMark/>
          </w:tcPr>
          <w:p w14:paraId="461AF924" w14:textId="4FC8BECF"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1,910,820 </w:t>
            </w:r>
          </w:p>
        </w:tc>
      </w:tr>
      <w:tr w:rsidR="00065A9C" w:rsidRPr="00FC2211" w14:paraId="5A18C806" w14:textId="77777777" w:rsidTr="00065A9C">
        <w:trPr>
          <w:trHeight w:val="276"/>
        </w:trPr>
        <w:tc>
          <w:tcPr>
            <w:tcW w:w="4796" w:type="dxa"/>
            <w:tcBorders>
              <w:top w:val="nil"/>
              <w:left w:val="nil"/>
              <w:bottom w:val="nil"/>
              <w:right w:val="nil"/>
            </w:tcBorders>
            <w:shd w:val="clear" w:color="auto" w:fill="auto"/>
            <w:noWrap/>
            <w:vAlign w:val="center"/>
            <w:hideMark/>
          </w:tcPr>
          <w:p w14:paraId="62B38848" w14:textId="1A32DB59" w:rsidR="00065A9C" w:rsidRPr="00FC2211" w:rsidRDefault="00065A9C" w:rsidP="00065A9C">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Shareholders' equity </w:t>
            </w:r>
            <w:r w:rsidR="00404C01" w:rsidRPr="00FC2211">
              <w:rPr>
                <w:rFonts w:ascii="Calibri" w:hAnsi="Calibri" w:cs="Calibri"/>
                <w:b/>
                <w:bCs/>
                <w:color w:val="000000"/>
                <w:szCs w:val="20"/>
                <w:lang w:val="en-CA" w:eastAsia="en-CA"/>
              </w:rPr>
              <w:t>(deficit)</w:t>
            </w:r>
            <w:r w:rsidRPr="00FC2211">
              <w:rPr>
                <w:rFonts w:ascii="Calibri" w:hAnsi="Calibri" w:cs="Calibri"/>
                <w:b/>
                <w:bCs/>
                <w:color w:val="000000"/>
                <w:szCs w:val="20"/>
                <w:lang w:val="en-CA" w:eastAsia="en-CA"/>
              </w:rPr>
              <w:t xml:space="preserve"> </w:t>
            </w:r>
          </w:p>
        </w:tc>
        <w:tc>
          <w:tcPr>
            <w:tcW w:w="733" w:type="dxa"/>
            <w:tcBorders>
              <w:top w:val="nil"/>
              <w:left w:val="nil"/>
              <w:bottom w:val="nil"/>
              <w:right w:val="nil"/>
            </w:tcBorders>
            <w:shd w:val="clear" w:color="auto" w:fill="auto"/>
            <w:noWrap/>
            <w:vAlign w:val="center"/>
            <w:hideMark/>
          </w:tcPr>
          <w:p w14:paraId="1C8020D4" w14:textId="77777777" w:rsidR="00065A9C" w:rsidRPr="00FC2211" w:rsidRDefault="00065A9C" w:rsidP="00065A9C">
            <w:pPr>
              <w:rPr>
                <w:rFonts w:ascii="Calibri" w:hAnsi="Calibri" w:cs="Calibri"/>
                <w:b/>
                <w:bCs/>
                <w:color w:val="000000"/>
                <w:szCs w:val="20"/>
                <w:lang w:val="en-CA" w:eastAsia="en-CA"/>
              </w:rPr>
            </w:pPr>
          </w:p>
        </w:tc>
        <w:tc>
          <w:tcPr>
            <w:tcW w:w="2268" w:type="dxa"/>
            <w:tcBorders>
              <w:top w:val="nil"/>
              <w:left w:val="nil"/>
              <w:bottom w:val="nil"/>
              <w:right w:val="nil"/>
            </w:tcBorders>
            <w:shd w:val="clear" w:color="auto" w:fill="auto"/>
            <w:vAlign w:val="center"/>
            <w:hideMark/>
          </w:tcPr>
          <w:p w14:paraId="7A78235A" w14:textId="77777777" w:rsidR="00065A9C" w:rsidRPr="00FC2211" w:rsidRDefault="00065A9C" w:rsidP="00065A9C">
            <w:pPr>
              <w:jc w:val="right"/>
              <w:rPr>
                <w:rFonts w:ascii="Times New Roman" w:hAnsi="Times New Roman"/>
                <w:szCs w:val="20"/>
                <w:lang w:val="en-CA" w:eastAsia="en-CA"/>
              </w:rPr>
            </w:pPr>
          </w:p>
        </w:tc>
        <w:tc>
          <w:tcPr>
            <w:tcW w:w="1506" w:type="dxa"/>
            <w:tcBorders>
              <w:top w:val="nil"/>
              <w:left w:val="nil"/>
              <w:bottom w:val="nil"/>
              <w:right w:val="nil"/>
            </w:tcBorders>
            <w:shd w:val="clear" w:color="auto" w:fill="auto"/>
            <w:noWrap/>
            <w:vAlign w:val="center"/>
            <w:hideMark/>
          </w:tcPr>
          <w:p w14:paraId="6DF138B1" w14:textId="77777777" w:rsidR="00065A9C" w:rsidRPr="00FC2211" w:rsidRDefault="00065A9C" w:rsidP="00065A9C">
            <w:pPr>
              <w:jc w:val="right"/>
              <w:rPr>
                <w:rFonts w:ascii="Times New Roman" w:hAnsi="Times New Roman"/>
                <w:szCs w:val="20"/>
                <w:lang w:val="en-CA" w:eastAsia="en-CA"/>
              </w:rPr>
            </w:pPr>
          </w:p>
        </w:tc>
      </w:tr>
      <w:tr w:rsidR="00065A9C" w:rsidRPr="00FC2211" w14:paraId="35411DDE" w14:textId="77777777" w:rsidTr="00065A9C">
        <w:trPr>
          <w:trHeight w:val="276"/>
        </w:trPr>
        <w:tc>
          <w:tcPr>
            <w:tcW w:w="4796" w:type="dxa"/>
            <w:tcBorders>
              <w:top w:val="nil"/>
              <w:left w:val="nil"/>
              <w:bottom w:val="nil"/>
              <w:right w:val="nil"/>
            </w:tcBorders>
            <w:shd w:val="clear" w:color="auto" w:fill="auto"/>
            <w:noWrap/>
            <w:vAlign w:val="center"/>
            <w:hideMark/>
          </w:tcPr>
          <w:p w14:paraId="03BE7369" w14:textId="77777777"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Share capital </w:t>
            </w:r>
          </w:p>
        </w:tc>
        <w:tc>
          <w:tcPr>
            <w:tcW w:w="733" w:type="dxa"/>
            <w:tcBorders>
              <w:top w:val="nil"/>
              <w:left w:val="nil"/>
              <w:bottom w:val="nil"/>
              <w:right w:val="nil"/>
            </w:tcBorders>
            <w:shd w:val="clear" w:color="auto" w:fill="auto"/>
            <w:noWrap/>
            <w:vAlign w:val="center"/>
            <w:hideMark/>
          </w:tcPr>
          <w:p w14:paraId="3C5E45D5"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15</w:t>
            </w:r>
          </w:p>
        </w:tc>
        <w:tc>
          <w:tcPr>
            <w:tcW w:w="2268" w:type="dxa"/>
            <w:tcBorders>
              <w:top w:val="nil"/>
              <w:left w:val="nil"/>
              <w:bottom w:val="nil"/>
              <w:right w:val="nil"/>
            </w:tcBorders>
            <w:shd w:val="clear" w:color="auto" w:fill="auto"/>
            <w:vAlign w:val="center"/>
            <w:hideMark/>
          </w:tcPr>
          <w:p w14:paraId="07A9C92F" w14:textId="3CA374D4"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14,968,979 </w:t>
            </w:r>
          </w:p>
        </w:tc>
        <w:tc>
          <w:tcPr>
            <w:tcW w:w="1506" w:type="dxa"/>
            <w:tcBorders>
              <w:top w:val="nil"/>
              <w:left w:val="nil"/>
              <w:bottom w:val="nil"/>
              <w:right w:val="nil"/>
            </w:tcBorders>
            <w:shd w:val="clear" w:color="auto" w:fill="auto"/>
            <w:noWrap/>
            <w:vAlign w:val="center"/>
            <w:hideMark/>
          </w:tcPr>
          <w:p w14:paraId="1797CA85" w14:textId="634CF3B9"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14,968,979 </w:t>
            </w:r>
          </w:p>
        </w:tc>
      </w:tr>
      <w:tr w:rsidR="00065A9C" w:rsidRPr="00FC2211" w14:paraId="73527F60" w14:textId="77777777" w:rsidTr="00065A9C">
        <w:trPr>
          <w:trHeight w:val="276"/>
        </w:trPr>
        <w:tc>
          <w:tcPr>
            <w:tcW w:w="4796" w:type="dxa"/>
            <w:tcBorders>
              <w:top w:val="nil"/>
              <w:left w:val="nil"/>
              <w:bottom w:val="nil"/>
              <w:right w:val="nil"/>
            </w:tcBorders>
            <w:shd w:val="clear" w:color="auto" w:fill="auto"/>
            <w:noWrap/>
            <w:vAlign w:val="center"/>
            <w:hideMark/>
          </w:tcPr>
          <w:p w14:paraId="1E23A76A" w14:textId="77777777"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Reserves </w:t>
            </w:r>
          </w:p>
        </w:tc>
        <w:tc>
          <w:tcPr>
            <w:tcW w:w="733" w:type="dxa"/>
            <w:tcBorders>
              <w:top w:val="nil"/>
              <w:left w:val="nil"/>
              <w:bottom w:val="nil"/>
              <w:right w:val="nil"/>
            </w:tcBorders>
            <w:shd w:val="clear" w:color="auto" w:fill="auto"/>
            <w:noWrap/>
            <w:vAlign w:val="center"/>
            <w:hideMark/>
          </w:tcPr>
          <w:p w14:paraId="58DA5836"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15</w:t>
            </w:r>
          </w:p>
        </w:tc>
        <w:tc>
          <w:tcPr>
            <w:tcW w:w="2268" w:type="dxa"/>
            <w:tcBorders>
              <w:top w:val="nil"/>
              <w:left w:val="nil"/>
              <w:bottom w:val="nil"/>
              <w:right w:val="nil"/>
            </w:tcBorders>
            <w:shd w:val="clear" w:color="auto" w:fill="auto"/>
            <w:vAlign w:val="center"/>
            <w:hideMark/>
          </w:tcPr>
          <w:p w14:paraId="4B76ED21" w14:textId="66159071" w:rsidR="00065A9C" w:rsidRPr="00FC2211" w:rsidRDefault="00441828"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1,057,549</w:t>
            </w:r>
            <w:r w:rsidR="00065A9C" w:rsidRPr="00FC2211">
              <w:rPr>
                <w:rFonts w:ascii="Calibri" w:hAnsi="Calibri" w:cs="Calibri"/>
                <w:b/>
                <w:bCs/>
                <w:color w:val="000000"/>
                <w:szCs w:val="20"/>
                <w:lang w:val="en-CA" w:eastAsia="en-CA"/>
              </w:rPr>
              <w:t xml:space="preserve"> </w:t>
            </w:r>
          </w:p>
        </w:tc>
        <w:tc>
          <w:tcPr>
            <w:tcW w:w="1506" w:type="dxa"/>
            <w:tcBorders>
              <w:top w:val="nil"/>
              <w:left w:val="nil"/>
              <w:bottom w:val="nil"/>
              <w:right w:val="nil"/>
            </w:tcBorders>
            <w:shd w:val="clear" w:color="auto" w:fill="auto"/>
            <w:noWrap/>
            <w:vAlign w:val="center"/>
            <w:hideMark/>
          </w:tcPr>
          <w:p w14:paraId="2C73D8D7" w14:textId="1A2EE8F6"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945,182 </w:t>
            </w:r>
          </w:p>
        </w:tc>
      </w:tr>
      <w:tr w:rsidR="00065A9C" w:rsidRPr="00FC2211" w14:paraId="1588D871" w14:textId="77777777" w:rsidTr="00065A9C">
        <w:trPr>
          <w:trHeight w:val="288"/>
        </w:trPr>
        <w:tc>
          <w:tcPr>
            <w:tcW w:w="4796" w:type="dxa"/>
            <w:tcBorders>
              <w:top w:val="nil"/>
              <w:left w:val="nil"/>
              <w:bottom w:val="single" w:sz="8" w:space="0" w:color="auto"/>
              <w:right w:val="nil"/>
            </w:tcBorders>
            <w:shd w:val="clear" w:color="auto" w:fill="auto"/>
            <w:noWrap/>
            <w:vAlign w:val="center"/>
            <w:hideMark/>
          </w:tcPr>
          <w:p w14:paraId="3EED8CD2" w14:textId="77777777" w:rsidR="00065A9C" w:rsidRPr="00FC2211" w:rsidRDefault="00065A9C" w:rsidP="00065A9C">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Deficit </w:t>
            </w:r>
          </w:p>
        </w:tc>
        <w:tc>
          <w:tcPr>
            <w:tcW w:w="733" w:type="dxa"/>
            <w:tcBorders>
              <w:top w:val="nil"/>
              <w:left w:val="nil"/>
              <w:bottom w:val="single" w:sz="8" w:space="0" w:color="auto"/>
              <w:right w:val="nil"/>
            </w:tcBorders>
            <w:shd w:val="clear" w:color="auto" w:fill="auto"/>
            <w:noWrap/>
            <w:vAlign w:val="center"/>
            <w:hideMark/>
          </w:tcPr>
          <w:p w14:paraId="3A403360" w14:textId="77777777" w:rsidR="00065A9C" w:rsidRPr="00FC2211" w:rsidRDefault="00065A9C" w:rsidP="00065A9C">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 </w:t>
            </w:r>
          </w:p>
        </w:tc>
        <w:tc>
          <w:tcPr>
            <w:tcW w:w="2268" w:type="dxa"/>
            <w:tcBorders>
              <w:top w:val="nil"/>
              <w:left w:val="nil"/>
              <w:bottom w:val="single" w:sz="8" w:space="0" w:color="auto"/>
              <w:right w:val="nil"/>
            </w:tcBorders>
            <w:shd w:val="clear" w:color="auto" w:fill="auto"/>
            <w:vAlign w:val="center"/>
            <w:hideMark/>
          </w:tcPr>
          <w:p w14:paraId="4BFFB09B" w14:textId="40C4DD29" w:rsidR="00065A9C" w:rsidRPr="00FC2211" w:rsidRDefault="00065A9C" w:rsidP="00B7685D">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w:t>
            </w:r>
            <w:r w:rsidR="00441828" w:rsidRPr="00FC2211">
              <w:rPr>
                <w:rFonts w:ascii="Calibri" w:hAnsi="Calibri" w:cs="Calibri"/>
                <w:b/>
                <w:bCs/>
                <w:color w:val="000000"/>
                <w:szCs w:val="20"/>
                <w:lang w:val="en-CA" w:eastAsia="en-CA"/>
              </w:rPr>
              <w:t>6,63</w:t>
            </w:r>
            <w:r w:rsidR="00401584" w:rsidRPr="00FC2211">
              <w:rPr>
                <w:rFonts w:ascii="Calibri" w:hAnsi="Calibri" w:cs="Calibri"/>
                <w:b/>
                <w:bCs/>
                <w:color w:val="000000"/>
                <w:szCs w:val="20"/>
                <w:lang w:val="en-CA" w:eastAsia="en-CA"/>
              </w:rPr>
              <w:t>9,20</w:t>
            </w:r>
            <w:r w:rsidR="00862E9E" w:rsidRPr="00FC2211">
              <w:rPr>
                <w:rFonts w:ascii="Calibri" w:hAnsi="Calibri" w:cs="Calibri"/>
                <w:b/>
                <w:bCs/>
                <w:color w:val="000000"/>
                <w:szCs w:val="20"/>
                <w:lang w:val="en-CA" w:eastAsia="en-CA"/>
              </w:rPr>
              <w:t>2</w:t>
            </w:r>
            <w:r w:rsidRPr="00FC2211">
              <w:rPr>
                <w:rFonts w:ascii="Calibri" w:hAnsi="Calibri" w:cs="Calibri"/>
                <w:b/>
                <w:bCs/>
                <w:color w:val="000000"/>
                <w:szCs w:val="20"/>
                <w:lang w:val="en-CA" w:eastAsia="en-CA"/>
              </w:rPr>
              <w:t>)</w:t>
            </w:r>
          </w:p>
        </w:tc>
        <w:tc>
          <w:tcPr>
            <w:tcW w:w="1506" w:type="dxa"/>
            <w:tcBorders>
              <w:top w:val="nil"/>
              <w:left w:val="nil"/>
              <w:bottom w:val="nil"/>
              <w:right w:val="nil"/>
            </w:tcBorders>
            <w:shd w:val="clear" w:color="auto" w:fill="auto"/>
            <w:noWrap/>
            <w:vAlign w:val="center"/>
            <w:hideMark/>
          </w:tcPr>
          <w:p w14:paraId="2B271622" w14:textId="68D690EC" w:rsidR="00065A9C" w:rsidRPr="00FC2211" w:rsidRDefault="00065A9C" w:rsidP="00B7685D">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(15,245,327)</w:t>
            </w:r>
          </w:p>
        </w:tc>
      </w:tr>
      <w:tr w:rsidR="00065A9C" w:rsidRPr="00FC2211" w14:paraId="693654F8" w14:textId="77777777" w:rsidTr="00065A9C">
        <w:trPr>
          <w:trHeight w:val="288"/>
        </w:trPr>
        <w:tc>
          <w:tcPr>
            <w:tcW w:w="4796" w:type="dxa"/>
            <w:tcBorders>
              <w:top w:val="nil"/>
              <w:left w:val="nil"/>
              <w:bottom w:val="nil"/>
              <w:right w:val="nil"/>
            </w:tcBorders>
            <w:shd w:val="clear" w:color="auto" w:fill="auto"/>
            <w:noWrap/>
            <w:vAlign w:val="center"/>
            <w:hideMark/>
          </w:tcPr>
          <w:p w14:paraId="3DE42278" w14:textId="77777777" w:rsidR="00065A9C" w:rsidRPr="00FC2211" w:rsidRDefault="00065A9C" w:rsidP="00065A9C">
            <w:pPr>
              <w:rPr>
                <w:rFonts w:ascii="Calibri" w:hAnsi="Calibri" w:cs="Calibri"/>
                <w:color w:val="000000"/>
                <w:szCs w:val="20"/>
                <w:lang w:val="en-CA" w:eastAsia="en-CA"/>
              </w:rPr>
            </w:pPr>
          </w:p>
        </w:tc>
        <w:tc>
          <w:tcPr>
            <w:tcW w:w="733" w:type="dxa"/>
            <w:tcBorders>
              <w:top w:val="nil"/>
              <w:left w:val="nil"/>
              <w:bottom w:val="nil"/>
              <w:right w:val="nil"/>
            </w:tcBorders>
            <w:shd w:val="clear" w:color="auto" w:fill="auto"/>
            <w:noWrap/>
            <w:vAlign w:val="center"/>
            <w:hideMark/>
          </w:tcPr>
          <w:p w14:paraId="740B3101" w14:textId="77777777" w:rsidR="00065A9C" w:rsidRPr="00FC2211" w:rsidRDefault="00065A9C" w:rsidP="00065A9C">
            <w:pPr>
              <w:rPr>
                <w:rFonts w:ascii="Times New Roman" w:hAnsi="Times New Roman"/>
                <w:szCs w:val="20"/>
                <w:lang w:val="en-CA" w:eastAsia="en-CA"/>
              </w:rPr>
            </w:pPr>
          </w:p>
        </w:tc>
        <w:tc>
          <w:tcPr>
            <w:tcW w:w="2268" w:type="dxa"/>
            <w:tcBorders>
              <w:top w:val="nil"/>
              <w:left w:val="nil"/>
              <w:bottom w:val="nil"/>
              <w:right w:val="nil"/>
            </w:tcBorders>
            <w:shd w:val="clear" w:color="auto" w:fill="auto"/>
            <w:vAlign w:val="center"/>
            <w:hideMark/>
          </w:tcPr>
          <w:p w14:paraId="6C63E447" w14:textId="585DFEE1" w:rsidR="00065A9C" w:rsidRPr="00FC2211" w:rsidRDefault="00065A9C" w:rsidP="00B7685D">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441828" w:rsidRPr="00FC2211">
              <w:rPr>
                <w:rFonts w:ascii="Calibri" w:hAnsi="Calibri" w:cs="Calibri"/>
                <w:b/>
                <w:bCs/>
                <w:color w:val="000000"/>
                <w:szCs w:val="20"/>
                <w:lang w:val="en-CA" w:eastAsia="en-CA"/>
              </w:rPr>
              <w:t>612,</w:t>
            </w:r>
            <w:r w:rsidR="00401584" w:rsidRPr="00FC2211">
              <w:rPr>
                <w:rFonts w:ascii="Calibri" w:hAnsi="Calibri" w:cs="Calibri"/>
                <w:b/>
                <w:bCs/>
                <w:color w:val="000000"/>
                <w:szCs w:val="20"/>
                <w:lang w:val="en-CA" w:eastAsia="en-CA"/>
              </w:rPr>
              <w:t>67</w:t>
            </w:r>
            <w:r w:rsidR="00862E9E" w:rsidRPr="00FC2211">
              <w:rPr>
                <w:rFonts w:ascii="Calibri" w:hAnsi="Calibri" w:cs="Calibri"/>
                <w:b/>
                <w:bCs/>
                <w:color w:val="000000"/>
                <w:szCs w:val="20"/>
                <w:lang w:val="en-CA" w:eastAsia="en-CA"/>
              </w:rPr>
              <w:t>4</w:t>
            </w:r>
            <w:r w:rsidRPr="00FC2211">
              <w:rPr>
                <w:rFonts w:ascii="Calibri" w:hAnsi="Calibri" w:cs="Calibri"/>
                <w:b/>
                <w:bCs/>
                <w:color w:val="000000"/>
                <w:szCs w:val="20"/>
                <w:lang w:val="en-CA" w:eastAsia="en-CA"/>
              </w:rPr>
              <w:t>)</w:t>
            </w:r>
          </w:p>
        </w:tc>
        <w:tc>
          <w:tcPr>
            <w:tcW w:w="1506" w:type="dxa"/>
            <w:tcBorders>
              <w:top w:val="single" w:sz="8" w:space="0" w:color="auto"/>
              <w:left w:val="nil"/>
              <w:bottom w:val="nil"/>
              <w:right w:val="nil"/>
            </w:tcBorders>
            <w:shd w:val="clear" w:color="auto" w:fill="auto"/>
            <w:noWrap/>
            <w:vAlign w:val="center"/>
            <w:hideMark/>
          </w:tcPr>
          <w:p w14:paraId="4F396DCE" w14:textId="0A82A480"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668,834 </w:t>
            </w:r>
          </w:p>
        </w:tc>
      </w:tr>
      <w:tr w:rsidR="00065A9C" w:rsidRPr="00FC2211" w14:paraId="0ACA1E0D" w14:textId="77777777" w:rsidTr="00065A9C">
        <w:trPr>
          <w:trHeight w:val="288"/>
        </w:trPr>
        <w:tc>
          <w:tcPr>
            <w:tcW w:w="4796" w:type="dxa"/>
            <w:tcBorders>
              <w:top w:val="single" w:sz="8" w:space="0" w:color="auto"/>
              <w:left w:val="nil"/>
              <w:bottom w:val="single" w:sz="8" w:space="0" w:color="auto"/>
              <w:right w:val="nil"/>
            </w:tcBorders>
            <w:shd w:val="clear" w:color="auto" w:fill="auto"/>
            <w:noWrap/>
            <w:vAlign w:val="center"/>
            <w:hideMark/>
          </w:tcPr>
          <w:p w14:paraId="6466A5D4" w14:textId="2F12C8D9" w:rsidR="00065A9C" w:rsidRPr="00FC2211" w:rsidRDefault="00065A9C" w:rsidP="00065A9C">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Total liabilities and shareholders' equity </w:t>
            </w:r>
            <w:r w:rsidR="00AA1FB0" w:rsidRPr="00FC2211">
              <w:rPr>
                <w:rFonts w:ascii="Calibri" w:hAnsi="Calibri" w:cs="Calibri"/>
                <w:b/>
                <w:bCs/>
                <w:color w:val="000000"/>
                <w:szCs w:val="20"/>
                <w:lang w:val="en-CA" w:eastAsia="en-CA"/>
              </w:rPr>
              <w:t>(deficit)</w:t>
            </w:r>
          </w:p>
        </w:tc>
        <w:tc>
          <w:tcPr>
            <w:tcW w:w="733" w:type="dxa"/>
            <w:tcBorders>
              <w:top w:val="single" w:sz="8" w:space="0" w:color="auto"/>
              <w:left w:val="nil"/>
              <w:bottom w:val="single" w:sz="8" w:space="0" w:color="auto"/>
              <w:right w:val="nil"/>
            </w:tcBorders>
            <w:shd w:val="clear" w:color="auto" w:fill="auto"/>
            <w:noWrap/>
            <w:vAlign w:val="center"/>
            <w:hideMark/>
          </w:tcPr>
          <w:p w14:paraId="50F499E5" w14:textId="77777777" w:rsidR="00065A9C" w:rsidRPr="00FC2211" w:rsidRDefault="00065A9C" w:rsidP="00065A9C">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w:t>
            </w:r>
          </w:p>
        </w:tc>
        <w:tc>
          <w:tcPr>
            <w:tcW w:w="2268" w:type="dxa"/>
            <w:tcBorders>
              <w:top w:val="single" w:sz="8" w:space="0" w:color="auto"/>
              <w:left w:val="nil"/>
              <w:bottom w:val="single" w:sz="8" w:space="0" w:color="auto"/>
              <w:right w:val="nil"/>
            </w:tcBorders>
            <w:shd w:val="clear" w:color="auto" w:fill="auto"/>
            <w:vAlign w:val="center"/>
            <w:hideMark/>
          </w:tcPr>
          <w:p w14:paraId="52C0C4E6" w14:textId="32AA5F24" w:rsidR="00065A9C" w:rsidRPr="00FC2211" w:rsidRDefault="00065A9C" w:rsidP="00065A9C">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2,</w:t>
            </w:r>
            <w:r w:rsidR="00441828" w:rsidRPr="00FC2211">
              <w:rPr>
                <w:rFonts w:ascii="Calibri" w:hAnsi="Calibri" w:cs="Calibri"/>
                <w:b/>
                <w:bCs/>
                <w:color w:val="000000"/>
                <w:szCs w:val="20"/>
                <w:lang w:val="en-CA" w:eastAsia="en-CA"/>
              </w:rPr>
              <w:t>195,</w:t>
            </w:r>
            <w:r w:rsidR="00401584" w:rsidRPr="00FC2211">
              <w:rPr>
                <w:rFonts w:ascii="Calibri" w:hAnsi="Calibri" w:cs="Calibri"/>
                <w:b/>
                <w:bCs/>
                <w:color w:val="000000"/>
                <w:szCs w:val="20"/>
                <w:lang w:val="en-CA" w:eastAsia="en-CA"/>
              </w:rPr>
              <w:t>579</w:t>
            </w:r>
            <w:r w:rsidRPr="00FC2211">
              <w:rPr>
                <w:rFonts w:ascii="Calibri" w:hAnsi="Calibri" w:cs="Calibri"/>
                <w:b/>
                <w:bCs/>
                <w:color w:val="000000"/>
                <w:szCs w:val="20"/>
                <w:lang w:val="en-CA" w:eastAsia="en-CA"/>
              </w:rPr>
              <w:t xml:space="preserve"> </w:t>
            </w:r>
          </w:p>
        </w:tc>
        <w:tc>
          <w:tcPr>
            <w:tcW w:w="1506" w:type="dxa"/>
            <w:tcBorders>
              <w:top w:val="single" w:sz="8" w:space="0" w:color="auto"/>
              <w:left w:val="nil"/>
              <w:bottom w:val="single" w:sz="8" w:space="0" w:color="auto"/>
              <w:right w:val="nil"/>
            </w:tcBorders>
            <w:shd w:val="clear" w:color="auto" w:fill="auto"/>
            <w:noWrap/>
            <w:vAlign w:val="center"/>
            <w:hideMark/>
          </w:tcPr>
          <w:p w14:paraId="484E9C2C" w14:textId="3BD5DF24" w:rsidR="00065A9C" w:rsidRPr="00FC2211" w:rsidRDefault="00065A9C" w:rsidP="00065A9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2,579,654 </w:t>
            </w:r>
          </w:p>
        </w:tc>
      </w:tr>
    </w:tbl>
    <w:p w14:paraId="4C9B7ADD" w14:textId="687F0E37" w:rsidR="00F4119D" w:rsidRPr="00FC2211" w:rsidRDefault="00FC1D9C" w:rsidP="00A047F2">
      <w:pPr>
        <w:ind w:firstLine="576"/>
        <w:rPr>
          <w:rFonts w:cstheme="minorHAnsi"/>
          <w:szCs w:val="20"/>
        </w:rPr>
      </w:pPr>
      <w:r w:rsidRPr="00FC2211">
        <w:rPr>
          <w:rFonts w:cstheme="minorHAnsi"/>
          <w:szCs w:val="20"/>
        </w:rPr>
        <w:t>The accompanying notes are an integral part of these unaudited interim condensed consolidated financial</w:t>
      </w:r>
      <w:r w:rsidR="00A047F2" w:rsidRPr="00FC2211">
        <w:rPr>
          <w:rFonts w:cstheme="minorHAnsi"/>
          <w:szCs w:val="20"/>
        </w:rPr>
        <w:t xml:space="preserve"> </w:t>
      </w:r>
      <w:r w:rsidRPr="00FC2211">
        <w:rPr>
          <w:rFonts w:cstheme="minorHAnsi"/>
          <w:szCs w:val="20"/>
        </w:rPr>
        <w:t>statements.</w:t>
      </w:r>
      <w:r w:rsidR="00A047F2" w:rsidRPr="00FC2211">
        <w:rPr>
          <w:rFonts w:cstheme="minorHAnsi"/>
          <w:szCs w:val="20"/>
        </w:rPr>
        <w:t xml:space="preserve"> </w:t>
      </w:r>
      <w:r w:rsidRPr="00FC2211">
        <w:rPr>
          <w:rFonts w:cstheme="minorHAnsi"/>
        </w:rPr>
        <w:t>Nature and continuance of operations (Note 1)</w:t>
      </w:r>
    </w:p>
    <w:p w14:paraId="41B6CAF0" w14:textId="5F02D0AC" w:rsidR="00450227" w:rsidRPr="00FC2211" w:rsidRDefault="00450227" w:rsidP="00450227">
      <w:pPr>
        <w:pStyle w:val="FS1"/>
        <w:ind w:right="1314"/>
        <w:rPr>
          <w:rFonts w:asciiTheme="minorHAnsi" w:hAnsiTheme="minorHAnsi" w:cstheme="minorHAnsi"/>
        </w:rPr>
      </w:pPr>
      <w:r w:rsidRPr="00FC2211">
        <w:rPr>
          <w:rFonts w:asciiTheme="minorHAnsi" w:hAnsiTheme="minorHAnsi" w:cstheme="minorHAnsi"/>
        </w:rPr>
        <w:t xml:space="preserve">Approved on behalf of the Board </w:t>
      </w:r>
      <w:r w:rsidR="00CB482C" w:rsidRPr="00FC2211">
        <w:rPr>
          <w:rFonts w:asciiTheme="minorHAnsi" w:hAnsiTheme="minorHAnsi" w:cstheme="minorHAnsi"/>
        </w:rPr>
        <w:t xml:space="preserve">on </w:t>
      </w:r>
      <w:r w:rsidR="006619C5" w:rsidRPr="00FC2211">
        <w:rPr>
          <w:rFonts w:asciiTheme="minorHAnsi" w:hAnsiTheme="minorHAnsi" w:cstheme="minorHAnsi"/>
        </w:rPr>
        <w:t>February</w:t>
      </w:r>
      <w:r w:rsidR="00065A9C" w:rsidRPr="00FC2211">
        <w:rPr>
          <w:rFonts w:asciiTheme="minorHAnsi" w:hAnsiTheme="minorHAnsi" w:cstheme="minorHAnsi"/>
        </w:rPr>
        <w:t xml:space="preserve"> </w:t>
      </w:r>
      <w:r w:rsidR="00E01181" w:rsidRPr="00FC2211">
        <w:rPr>
          <w:rFonts w:asciiTheme="minorHAnsi" w:hAnsiTheme="minorHAnsi" w:cstheme="minorHAnsi"/>
        </w:rPr>
        <w:t>22</w:t>
      </w:r>
      <w:r w:rsidR="00934D0B" w:rsidRPr="00FC2211">
        <w:rPr>
          <w:rFonts w:asciiTheme="minorHAnsi" w:hAnsiTheme="minorHAnsi" w:cstheme="minorHAnsi"/>
        </w:rPr>
        <w:t>, 202</w:t>
      </w:r>
      <w:r w:rsidR="006619C5" w:rsidRPr="00FC2211">
        <w:rPr>
          <w:rFonts w:asciiTheme="minorHAnsi" w:hAnsiTheme="minorHAnsi" w:cstheme="minorHAnsi"/>
        </w:rPr>
        <w:t>4</w:t>
      </w:r>
      <w:r w:rsidRPr="00FC2211">
        <w:rPr>
          <w:rFonts w:asciiTheme="minorHAnsi" w:hAnsiTheme="minorHAnsi" w:cstheme="minorHAnsi"/>
        </w:rPr>
        <w:t>:</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DD4AE0" w:rsidRPr="00FC2211" w14:paraId="4B3D8F20" w14:textId="77777777" w:rsidTr="002C4D1B">
        <w:trPr>
          <w:trHeight w:val="252"/>
        </w:trPr>
        <w:tc>
          <w:tcPr>
            <w:tcW w:w="3969" w:type="dxa"/>
          </w:tcPr>
          <w:p w14:paraId="7A7C7BF9" w14:textId="77777777" w:rsidR="00062F78" w:rsidRPr="00FC2211" w:rsidRDefault="00062F78" w:rsidP="00DD4AE0">
            <w:pPr>
              <w:pStyle w:val="FS1"/>
              <w:ind w:left="0" w:right="1314" w:firstLine="0"/>
              <w:rPr>
                <w:rFonts w:asciiTheme="minorHAnsi" w:hAnsiTheme="minorHAnsi" w:cstheme="minorHAnsi"/>
                <w:i/>
                <w:u w:val="single"/>
              </w:rPr>
            </w:pPr>
          </w:p>
        </w:tc>
        <w:tc>
          <w:tcPr>
            <w:tcW w:w="3968" w:type="dxa"/>
          </w:tcPr>
          <w:p w14:paraId="14ACFB9E" w14:textId="77777777" w:rsidR="00DD4AE0" w:rsidRPr="00FC2211" w:rsidRDefault="00DD4AE0" w:rsidP="00DD4AE0">
            <w:pPr>
              <w:pStyle w:val="FS1"/>
              <w:ind w:left="0" w:right="1314" w:firstLine="0"/>
              <w:rPr>
                <w:rFonts w:asciiTheme="minorHAnsi" w:hAnsiTheme="minorHAnsi" w:cstheme="minorHAnsi"/>
                <w:i/>
                <w:u w:val="single"/>
              </w:rPr>
            </w:pPr>
          </w:p>
        </w:tc>
      </w:tr>
      <w:tr w:rsidR="00DD4AE0" w:rsidRPr="00FC2211" w14:paraId="7C317AE1" w14:textId="77777777" w:rsidTr="002C4D1B">
        <w:trPr>
          <w:trHeight w:hRule="exact" w:val="299"/>
        </w:trPr>
        <w:tc>
          <w:tcPr>
            <w:tcW w:w="3969" w:type="dxa"/>
          </w:tcPr>
          <w:p w14:paraId="13A89758" w14:textId="77777777" w:rsidR="00DD4AE0" w:rsidRPr="00FC2211" w:rsidRDefault="00DD4AE0" w:rsidP="00DD4AE0">
            <w:pPr>
              <w:pStyle w:val="FS1"/>
              <w:ind w:left="0" w:right="1314" w:firstLine="0"/>
              <w:rPr>
                <w:rFonts w:asciiTheme="minorHAnsi" w:hAnsiTheme="minorHAnsi" w:cstheme="minorHAnsi"/>
              </w:rPr>
            </w:pPr>
            <w:r w:rsidRPr="00FC2211">
              <w:rPr>
                <w:rFonts w:asciiTheme="minorHAnsi" w:hAnsiTheme="minorHAnsi" w:cstheme="minorHAnsi"/>
              </w:rPr>
              <w:t>Steve Matyas -</w:t>
            </w:r>
            <w:r w:rsidR="00963FAB" w:rsidRPr="00FC2211">
              <w:rPr>
                <w:rFonts w:asciiTheme="minorHAnsi" w:hAnsiTheme="minorHAnsi" w:cstheme="minorHAnsi"/>
              </w:rPr>
              <w:t xml:space="preserve"> Director</w:t>
            </w:r>
            <w:r w:rsidRPr="00FC2211">
              <w:rPr>
                <w:rFonts w:asciiTheme="minorHAnsi" w:hAnsiTheme="minorHAnsi" w:cstheme="minorHAnsi"/>
              </w:rPr>
              <w:t xml:space="preserve"> </w:t>
            </w:r>
          </w:p>
        </w:tc>
        <w:tc>
          <w:tcPr>
            <w:tcW w:w="3968" w:type="dxa"/>
          </w:tcPr>
          <w:p w14:paraId="45C2C0D8" w14:textId="0A1B9047" w:rsidR="00DD4AE0" w:rsidRPr="00FC2211" w:rsidRDefault="00365833" w:rsidP="00DD4AE0">
            <w:pPr>
              <w:pStyle w:val="FS1"/>
              <w:ind w:left="0" w:right="1314" w:firstLine="0"/>
              <w:rPr>
                <w:rFonts w:asciiTheme="minorHAnsi" w:hAnsiTheme="minorHAnsi" w:cstheme="minorHAnsi"/>
              </w:rPr>
            </w:pPr>
            <w:r w:rsidRPr="00FC2211">
              <w:rPr>
                <w:rFonts w:asciiTheme="minorHAnsi" w:hAnsiTheme="minorHAnsi" w:cstheme="minorHAnsi"/>
              </w:rPr>
              <w:t>Eugene Syho</w:t>
            </w:r>
            <w:r w:rsidR="00DD4AE0" w:rsidRPr="00FC2211">
              <w:rPr>
                <w:rFonts w:asciiTheme="minorHAnsi" w:hAnsiTheme="minorHAnsi" w:cstheme="minorHAnsi"/>
              </w:rPr>
              <w:t xml:space="preserve"> – Director</w:t>
            </w:r>
          </w:p>
          <w:p w14:paraId="5B6CE8F2" w14:textId="77777777" w:rsidR="00DD4AE0" w:rsidRPr="00FC2211" w:rsidRDefault="00DD4AE0" w:rsidP="00DD4AE0">
            <w:pPr>
              <w:pStyle w:val="FS1"/>
              <w:ind w:left="0" w:right="1314" w:firstLine="0"/>
              <w:rPr>
                <w:rFonts w:asciiTheme="minorHAnsi" w:hAnsiTheme="minorHAnsi" w:cstheme="minorHAnsi"/>
              </w:rPr>
            </w:pPr>
          </w:p>
        </w:tc>
      </w:tr>
    </w:tbl>
    <w:p w14:paraId="11440A52" w14:textId="77777777" w:rsidR="000D7EBE" w:rsidRPr="00FC2211" w:rsidRDefault="000D7EBE" w:rsidP="001B1F1C">
      <w:pPr>
        <w:rPr>
          <w:rFonts w:cstheme="minorHAnsi"/>
          <w:szCs w:val="20"/>
        </w:rPr>
        <w:sectPr w:rsidR="000D7EBE" w:rsidRPr="00FC2211" w:rsidSect="0081636B">
          <w:headerReference w:type="default" r:id="rId20"/>
          <w:footerReference w:type="default" r:id="rId21"/>
          <w:pgSz w:w="12240" w:h="15840" w:code="1"/>
          <w:pgMar w:top="1440" w:right="907" w:bottom="1440" w:left="1440" w:header="720" w:footer="1022" w:gutter="0"/>
          <w:cols w:space="720"/>
          <w:docGrid w:linePitch="360"/>
        </w:sectPr>
      </w:pPr>
    </w:p>
    <w:tbl>
      <w:tblPr>
        <w:tblW w:w="11510" w:type="dxa"/>
        <w:jc w:val="center"/>
        <w:tblLook w:val="04A0" w:firstRow="1" w:lastRow="0" w:firstColumn="1" w:lastColumn="0" w:noHBand="0" w:noVBand="1"/>
      </w:tblPr>
      <w:tblGrid>
        <w:gridCol w:w="4780"/>
        <w:gridCol w:w="1177"/>
        <w:gridCol w:w="1273"/>
        <w:gridCol w:w="1480"/>
        <w:gridCol w:w="1400"/>
        <w:gridCol w:w="1400"/>
      </w:tblGrid>
      <w:tr w:rsidR="00B574F2" w:rsidRPr="00FC2211" w14:paraId="6BAE8DB3" w14:textId="77777777" w:rsidTr="00820355">
        <w:trPr>
          <w:trHeight w:val="564"/>
          <w:jc w:val="center"/>
        </w:trPr>
        <w:tc>
          <w:tcPr>
            <w:tcW w:w="4780" w:type="dxa"/>
            <w:tcBorders>
              <w:top w:val="nil"/>
              <w:left w:val="nil"/>
              <w:bottom w:val="nil"/>
              <w:right w:val="nil"/>
            </w:tcBorders>
            <w:shd w:val="clear" w:color="auto" w:fill="auto"/>
            <w:vAlign w:val="center"/>
            <w:hideMark/>
          </w:tcPr>
          <w:p w14:paraId="5CB0C74F" w14:textId="77777777" w:rsidR="00B574F2" w:rsidRPr="00FC2211" w:rsidRDefault="00B574F2" w:rsidP="00B574F2">
            <w:pPr>
              <w:rPr>
                <w:rFonts w:ascii="Times New Roman" w:hAnsi="Times New Roman"/>
                <w:sz w:val="24"/>
                <w:szCs w:val="20"/>
                <w:lang w:val="en-CA" w:eastAsia="en-CA"/>
              </w:rPr>
            </w:pPr>
          </w:p>
        </w:tc>
        <w:tc>
          <w:tcPr>
            <w:tcW w:w="1177" w:type="dxa"/>
            <w:tcBorders>
              <w:top w:val="nil"/>
              <w:left w:val="nil"/>
              <w:bottom w:val="nil"/>
              <w:right w:val="nil"/>
            </w:tcBorders>
            <w:shd w:val="clear" w:color="auto" w:fill="auto"/>
            <w:vAlign w:val="center"/>
            <w:hideMark/>
          </w:tcPr>
          <w:p w14:paraId="04DB1C36" w14:textId="77777777" w:rsidR="00B574F2" w:rsidRPr="00FC2211" w:rsidRDefault="00B574F2" w:rsidP="00B574F2">
            <w:pPr>
              <w:rPr>
                <w:rFonts w:ascii="Times New Roman" w:hAnsi="Times New Roman"/>
                <w:szCs w:val="20"/>
                <w:lang w:val="en-CA" w:eastAsia="en-CA"/>
              </w:rPr>
            </w:pPr>
          </w:p>
        </w:tc>
        <w:tc>
          <w:tcPr>
            <w:tcW w:w="2750" w:type="dxa"/>
            <w:gridSpan w:val="2"/>
            <w:tcBorders>
              <w:top w:val="nil"/>
              <w:left w:val="nil"/>
              <w:bottom w:val="single" w:sz="8" w:space="0" w:color="auto"/>
              <w:right w:val="nil"/>
            </w:tcBorders>
            <w:shd w:val="clear" w:color="auto" w:fill="auto"/>
            <w:vAlign w:val="center"/>
            <w:hideMark/>
          </w:tcPr>
          <w:p w14:paraId="64D5F66B" w14:textId="77777777" w:rsidR="00B574F2" w:rsidRPr="00FC2211" w:rsidRDefault="00B574F2" w:rsidP="00B574F2">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For the three months ended December 31</w:t>
            </w:r>
          </w:p>
        </w:tc>
        <w:tc>
          <w:tcPr>
            <w:tcW w:w="2800" w:type="dxa"/>
            <w:gridSpan w:val="2"/>
            <w:tcBorders>
              <w:top w:val="nil"/>
              <w:left w:val="nil"/>
              <w:bottom w:val="single" w:sz="8" w:space="0" w:color="auto"/>
              <w:right w:val="nil"/>
            </w:tcBorders>
            <w:shd w:val="clear" w:color="auto" w:fill="auto"/>
            <w:vAlign w:val="center"/>
            <w:hideMark/>
          </w:tcPr>
          <w:p w14:paraId="7F5B468D" w14:textId="77777777" w:rsidR="00B574F2" w:rsidRPr="00FC2211" w:rsidRDefault="00B574F2" w:rsidP="00B574F2">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For the six months ended December 31</w:t>
            </w:r>
          </w:p>
        </w:tc>
      </w:tr>
      <w:tr w:rsidR="00B574F2" w:rsidRPr="00FC2211" w14:paraId="49A0AE2B" w14:textId="77777777" w:rsidTr="00820355">
        <w:trPr>
          <w:trHeight w:val="288"/>
          <w:jc w:val="center"/>
        </w:trPr>
        <w:tc>
          <w:tcPr>
            <w:tcW w:w="4780" w:type="dxa"/>
            <w:tcBorders>
              <w:top w:val="nil"/>
              <w:left w:val="nil"/>
              <w:bottom w:val="single" w:sz="8" w:space="0" w:color="auto"/>
              <w:right w:val="nil"/>
            </w:tcBorders>
            <w:shd w:val="clear" w:color="auto" w:fill="auto"/>
            <w:noWrap/>
            <w:vAlign w:val="center"/>
            <w:hideMark/>
          </w:tcPr>
          <w:p w14:paraId="227EFD3F" w14:textId="77777777" w:rsidR="00B574F2" w:rsidRPr="00FC2211" w:rsidRDefault="00B574F2" w:rsidP="00B574F2">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w:t>
            </w:r>
          </w:p>
        </w:tc>
        <w:tc>
          <w:tcPr>
            <w:tcW w:w="1177" w:type="dxa"/>
            <w:tcBorders>
              <w:top w:val="nil"/>
              <w:left w:val="nil"/>
              <w:bottom w:val="single" w:sz="8" w:space="0" w:color="auto"/>
              <w:right w:val="nil"/>
            </w:tcBorders>
            <w:shd w:val="clear" w:color="auto" w:fill="auto"/>
            <w:noWrap/>
            <w:vAlign w:val="center"/>
            <w:hideMark/>
          </w:tcPr>
          <w:p w14:paraId="7CC61F0B" w14:textId="77777777" w:rsidR="00B574F2" w:rsidRPr="00FC2211" w:rsidRDefault="00B574F2" w:rsidP="00B574F2">
            <w:pPr>
              <w:jc w:val="center"/>
              <w:rPr>
                <w:rFonts w:ascii="Calibri" w:hAnsi="Calibri" w:cs="Calibri"/>
                <w:b/>
                <w:bCs/>
                <w:i/>
                <w:iCs/>
                <w:color w:val="000000"/>
                <w:szCs w:val="20"/>
                <w:lang w:val="en-CA" w:eastAsia="en-CA"/>
              </w:rPr>
            </w:pPr>
            <w:r w:rsidRPr="00FC2211">
              <w:rPr>
                <w:rFonts w:ascii="Calibri" w:hAnsi="Calibri" w:cs="Calibri"/>
                <w:b/>
                <w:bCs/>
                <w:i/>
                <w:iCs/>
                <w:color w:val="000000"/>
                <w:szCs w:val="20"/>
                <w:lang w:val="en-CA" w:eastAsia="en-CA"/>
              </w:rPr>
              <w:t>Notes</w:t>
            </w:r>
          </w:p>
        </w:tc>
        <w:tc>
          <w:tcPr>
            <w:tcW w:w="1273" w:type="dxa"/>
            <w:tcBorders>
              <w:top w:val="nil"/>
              <w:left w:val="nil"/>
              <w:bottom w:val="single" w:sz="8" w:space="0" w:color="auto"/>
              <w:right w:val="nil"/>
            </w:tcBorders>
            <w:shd w:val="clear" w:color="auto" w:fill="auto"/>
            <w:vAlign w:val="center"/>
            <w:hideMark/>
          </w:tcPr>
          <w:p w14:paraId="57A1DBEF" w14:textId="77777777" w:rsidR="00B574F2" w:rsidRPr="00FC2211" w:rsidRDefault="00B574F2" w:rsidP="00B574F2">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2023</w:t>
            </w:r>
          </w:p>
        </w:tc>
        <w:tc>
          <w:tcPr>
            <w:tcW w:w="1480" w:type="dxa"/>
            <w:tcBorders>
              <w:top w:val="nil"/>
              <w:left w:val="nil"/>
              <w:bottom w:val="single" w:sz="8" w:space="0" w:color="auto"/>
              <w:right w:val="nil"/>
            </w:tcBorders>
            <w:shd w:val="clear" w:color="auto" w:fill="auto"/>
            <w:vAlign w:val="center"/>
            <w:hideMark/>
          </w:tcPr>
          <w:p w14:paraId="777F523D" w14:textId="77777777" w:rsidR="00B574F2" w:rsidRPr="00FC2211" w:rsidRDefault="00B574F2" w:rsidP="00B574F2">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2022</w:t>
            </w:r>
          </w:p>
        </w:tc>
        <w:tc>
          <w:tcPr>
            <w:tcW w:w="1400" w:type="dxa"/>
            <w:tcBorders>
              <w:top w:val="nil"/>
              <w:left w:val="nil"/>
              <w:bottom w:val="single" w:sz="8" w:space="0" w:color="auto"/>
              <w:right w:val="nil"/>
            </w:tcBorders>
            <w:shd w:val="clear" w:color="auto" w:fill="auto"/>
            <w:vAlign w:val="center"/>
            <w:hideMark/>
          </w:tcPr>
          <w:p w14:paraId="6A82D602" w14:textId="77777777" w:rsidR="00B574F2" w:rsidRPr="00FC2211" w:rsidRDefault="00B574F2" w:rsidP="00B574F2">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2023</w:t>
            </w:r>
          </w:p>
        </w:tc>
        <w:tc>
          <w:tcPr>
            <w:tcW w:w="1400" w:type="dxa"/>
            <w:tcBorders>
              <w:top w:val="nil"/>
              <w:left w:val="nil"/>
              <w:bottom w:val="single" w:sz="8" w:space="0" w:color="auto"/>
              <w:right w:val="nil"/>
            </w:tcBorders>
            <w:shd w:val="clear" w:color="auto" w:fill="auto"/>
            <w:vAlign w:val="center"/>
            <w:hideMark/>
          </w:tcPr>
          <w:p w14:paraId="385901A3" w14:textId="77777777" w:rsidR="00B574F2" w:rsidRPr="00FC2211" w:rsidRDefault="00B574F2" w:rsidP="00B574F2">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2022</w:t>
            </w:r>
          </w:p>
        </w:tc>
      </w:tr>
      <w:tr w:rsidR="00B574F2" w:rsidRPr="00FC2211" w14:paraId="5102252C" w14:textId="77777777" w:rsidTr="00820355">
        <w:trPr>
          <w:trHeight w:val="276"/>
          <w:jc w:val="center"/>
        </w:trPr>
        <w:tc>
          <w:tcPr>
            <w:tcW w:w="4780" w:type="dxa"/>
            <w:tcBorders>
              <w:top w:val="nil"/>
              <w:left w:val="nil"/>
              <w:bottom w:val="nil"/>
              <w:right w:val="nil"/>
            </w:tcBorders>
            <w:shd w:val="clear" w:color="auto" w:fill="auto"/>
            <w:noWrap/>
            <w:vAlign w:val="center"/>
            <w:hideMark/>
          </w:tcPr>
          <w:p w14:paraId="34468D4D" w14:textId="77777777" w:rsidR="00B574F2" w:rsidRPr="00FC2211" w:rsidRDefault="00B574F2" w:rsidP="00B574F2">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Sales</w:t>
            </w:r>
          </w:p>
        </w:tc>
        <w:tc>
          <w:tcPr>
            <w:tcW w:w="1177" w:type="dxa"/>
            <w:tcBorders>
              <w:top w:val="nil"/>
              <w:left w:val="nil"/>
              <w:bottom w:val="nil"/>
              <w:right w:val="nil"/>
            </w:tcBorders>
            <w:shd w:val="clear" w:color="auto" w:fill="auto"/>
            <w:noWrap/>
            <w:vAlign w:val="center"/>
            <w:hideMark/>
          </w:tcPr>
          <w:p w14:paraId="11A7891C" w14:textId="77777777" w:rsidR="00B574F2" w:rsidRPr="00FC2211" w:rsidRDefault="00B574F2" w:rsidP="00B574F2">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22</w:t>
            </w:r>
          </w:p>
        </w:tc>
        <w:tc>
          <w:tcPr>
            <w:tcW w:w="1273" w:type="dxa"/>
            <w:tcBorders>
              <w:top w:val="nil"/>
              <w:left w:val="nil"/>
              <w:bottom w:val="nil"/>
              <w:right w:val="nil"/>
            </w:tcBorders>
            <w:shd w:val="clear" w:color="auto" w:fill="auto"/>
            <w:noWrap/>
            <w:vAlign w:val="bottom"/>
            <w:hideMark/>
          </w:tcPr>
          <w:p w14:paraId="6343AB3F" w14:textId="61EFC950" w:rsidR="00B574F2" w:rsidRPr="00FC2211" w:rsidRDefault="00B574F2" w:rsidP="00B574F2">
            <w:pPr>
              <w:jc w:val="right"/>
              <w:rPr>
                <w:rFonts w:ascii="Calibri" w:hAnsi="Calibri" w:cs="Calibri"/>
                <w:b/>
                <w:bCs/>
                <w:color w:val="000000"/>
                <w:szCs w:val="20"/>
                <w:lang w:val="en-CA" w:eastAsia="en-CA"/>
              </w:rPr>
            </w:pPr>
            <w:r w:rsidRPr="00FC2211">
              <w:rPr>
                <w:rFonts w:ascii="Calibri" w:hAnsi="Calibri" w:cs="Calibri"/>
                <w:color w:val="000000"/>
                <w:szCs w:val="20"/>
                <w:lang w:val="en-CA" w:eastAsia="en-CA"/>
              </w:rPr>
              <w:t>$</w:t>
            </w:r>
            <w:r w:rsidRPr="00FC2211">
              <w:rPr>
                <w:rFonts w:ascii="Calibri" w:hAnsi="Calibri" w:cs="Calibri"/>
                <w:b/>
                <w:bCs/>
                <w:color w:val="000000"/>
                <w:szCs w:val="20"/>
                <w:lang w:val="en-CA" w:eastAsia="en-CA"/>
              </w:rPr>
              <w:t xml:space="preserve">     519,619 </w:t>
            </w:r>
          </w:p>
        </w:tc>
        <w:tc>
          <w:tcPr>
            <w:tcW w:w="1480" w:type="dxa"/>
            <w:tcBorders>
              <w:top w:val="nil"/>
              <w:left w:val="nil"/>
              <w:bottom w:val="nil"/>
              <w:right w:val="nil"/>
            </w:tcBorders>
            <w:shd w:val="clear" w:color="auto" w:fill="auto"/>
            <w:noWrap/>
            <w:vAlign w:val="center"/>
            <w:hideMark/>
          </w:tcPr>
          <w:p w14:paraId="360D72F1" w14:textId="3584666D" w:rsidR="00B574F2" w:rsidRPr="00FC2211" w:rsidRDefault="00B574F2" w:rsidP="00B574F2">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386,425 </w:t>
            </w:r>
          </w:p>
        </w:tc>
        <w:tc>
          <w:tcPr>
            <w:tcW w:w="1400" w:type="dxa"/>
            <w:tcBorders>
              <w:top w:val="nil"/>
              <w:left w:val="nil"/>
              <w:bottom w:val="nil"/>
              <w:right w:val="nil"/>
            </w:tcBorders>
            <w:shd w:val="clear" w:color="auto" w:fill="auto"/>
            <w:noWrap/>
            <w:vAlign w:val="center"/>
            <w:hideMark/>
          </w:tcPr>
          <w:p w14:paraId="3CFF6656" w14:textId="3AE2E5B9" w:rsidR="00B574F2" w:rsidRPr="00FC2211" w:rsidRDefault="00B574F2" w:rsidP="00B574F2">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A92A8A" w:rsidRPr="00FC2211">
              <w:rPr>
                <w:rFonts w:ascii="Calibri" w:hAnsi="Calibri" w:cs="Calibri"/>
                <w:b/>
                <w:bCs/>
                <w:color w:val="000000"/>
                <w:szCs w:val="20"/>
                <w:lang w:val="en-CA" w:eastAsia="en-CA"/>
              </w:rPr>
              <w:t xml:space="preserve"> </w:t>
            </w:r>
            <w:r w:rsidRPr="00FC2211">
              <w:rPr>
                <w:rFonts w:ascii="Calibri" w:hAnsi="Calibri" w:cs="Calibri"/>
                <w:b/>
                <w:bCs/>
                <w:color w:val="000000"/>
                <w:szCs w:val="20"/>
                <w:lang w:val="en-CA" w:eastAsia="en-CA"/>
              </w:rPr>
              <w:t xml:space="preserve">     885,550 </w:t>
            </w:r>
          </w:p>
        </w:tc>
        <w:tc>
          <w:tcPr>
            <w:tcW w:w="1400" w:type="dxa"/>
            <w:tcBorders>
              <w:top w:val="nil"/>
              <w:left w:val="nil"/>
              <w:bottom w:val="nil"/>
              <w:right w:val="nil"/>
            </w:tcBorders>
            <w:shd w:val="clear" w:color="auto" w:fill="auto"/>
            <w:noWrap/>
            <w:vAlign w:val="center"/>
            <w:hideMark/>
          </w:tcPr>
          <w:p w14:paraId="2D05C277" w14:textId="50F7FE6F" w:rsidR="00B574F2" w:rsidRPr="00FC2211" w:rsidRDefault="00B574F2" w:rsidP="00B574F2">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r w:rsidR="00AE12A1" w:rsidRPr="00FC2211">
              <w:rPr>
                <w:rFonts w:ascii="Calibri" w:hAnsi="Calibri" w:cs="Calibri"/>
                <w:color w:val="000000"/>
                <w:szCs w:val="20"/>
                <w:lang w:val="en-CA" w:eastAsia="en-CA"/>
              </w:rPr>
              <w:t xml:space="preserve"> </w:t>
            </w:r>
            <w:r w:rsidRPr="00FC2211">
              <w:rPr>
                <w:rFonts w:ascii="Calibri" w:hAnsi="Calibri" w:cs="Calibri"/>
                <w:color w:val="000000"/>
                <w:szCs w:val="20"/>
                <w:lang w:val="en-CA" w:eastAsia="en-CA"/>
              </w:rPr>
              <w:t xml:space="preserve">   802,511 </w:t>
            </w:r>
          </w:p>
        </w:tc>
      </w:tr>
      <w:tr w:rsidR="00B574F2" w:rsidRPr="00FC2211" w14:paraId="559AF9E1" w14:textId="77777777" w:rsidTr="00820355">
        <w:trPr>
          <w:trHeight w:val="288"/>
          <w:jc w:val="center"/>
        </w:trPr>
        <w:tc>
          <w:tcPr>
            <w:tcW w:w="4780" w:type="dxa"/>
            <w:tcBorders>
              <w:top w:val="nil"/>
              <w:left w:val="nil"/>
              <w:bottom w:val="single" w:sz="8" w:space="0" w:color="auto"/>
              <w:right w:val="nil"/>
            </w:tcBorders>
            <w:shd w:val="clear" w:color="auto" w:fill="auto"/>
            <w:noWrap/>
            <w:vAlign w:val="center"/>
            <w:hideMark/>
          </w:tcPr>
          <w:p w14:paraId="5A58EFEF" w14:textId="77777777" w:rsidR="00B574F2" w:rsidRPr="00FC2211" w:rsidRDefault="00B574F2" w:rsidP="00B574F2">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Cost of Sales</w:t>
            </w:r>
          </w:p>
        </w:tc>
        <w:tc>
          <w:tcPr>
            <w:tcW w:w="1177" w:type="dxa"/>
            <w:tcBorders>
              <w:top w:val="nil"/>
              <w:left w:val="nil"/>
              <w:bottom w:val="single" w:sz="8" w:space="0" w:color="auto"/>
              <w:right w:val="nil"/>
            </w:tcBorders>
            <w:shd w:val="clear" w:color="auto" w:fill="auto"/>
            <w:noWrap/>
            <w:vAlign w:val="center"/>
            <w:hideMark/>
          </w:tcPr>
          <w:p w14:paraId="20F993B2" w14:textId="77777777" w:rsidR="00B574F2" w:rsidRPr="00FC2211" w:rsidRDefault="00B574F2" w:rsidP="00B574F2">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22</w:t>
            </w:r>
          </w:p>
        </w:tc>
        <w:tc>
          <w:tcPr>
            <w:tcW w:w="1273" w:type="dxa"/>
            <w:tcBorders>
              <w:top w:val="nil"/>
              <w:left w:val="nil"/>
              <w:bottom w:val="nil"/>
              <w:right w:val="nil"/>
            </w:tcBorders>
            <w:shd w:val="clear" w:color="auto" w:fill="auto"/>
            <w:noWrap/>
            <w:vAlign w:val="center"/>
            <w:hideMark/>
          </w:tcPr>
          <w:p w14:paraId="21A3CE69" w14:textId="1813A9E9" w:rsidR="00B574F2" w:rsidRPr="00FC2211" w:rsidRDefault="00B574F2" w:rsidP="00E71032">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5D6E40" w:rsidRPr="00FC2211">
              <w:rPr>
                <w:rFonts w:ascii="Calibri" w:hAnsi="Calibri" w:cs="Calibri"/>
                <w:b/>
                <w:bCs/>
                <w:color w:val="000000"/>
                <w:szCs w:val="20"/>
                <w:lang w:val="en-CA" w:eastAsia="en-CA"/>
              </w:rPr>
              <w:t>331,096</w:t>
            </w:r>
            <w:r w:rsidRPr="00FC2211">
              <w:rPr>
                <w:rFonts w:ascii="Calibri" w:hAnsi="Calibri" w:cs="Calibri"/>
                <w:b/>
                <w:bCs/>
                <w:color w:val="000000"/>
                <w:szCs w:val="20"/>
                <w:lang w:val="en-CA" w:eastAsia="en-CA"/>
              </w:rPr>
              <w:t>)</w:t>
            </w:r>
          </w:p>
        </w:tc>
        <w:tc>
          <w:tcPr>
            <w:tcW w:w="1480" w:type="dxa"/>
            <w:tcBorders>
              <w:top w:val="nil"/>
              <w:left w:val="nil"/>
              <w:bottom w:val="nil"/>
              <w:right w:val="nil"/>
            </w:tcBorders>
            <w:shd w:val="clear" w:color="auto" w:fill="auto"/>
            <w:noWrap/>
            <w:vAlign w:val="center"/>
            <w:hideMark/>
          </w:tcPr>
          <w:p w14:paraId="24325535" w14:textId="1CEC8EF1" w:rsidR="00B574F2" w:rsidRPr="00FC2211" w:rsidRDefault="00B574F2" w:rsidP="00E71032">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(205,215)</w:t>
            </w:r>
          </w:p>
        </w:tc>
        <w:tc>
          <w:tcPr>
            <w:tcW w:w="1400" w:type="dxa"/>
            <w:tcBorders>
              <w:top w:val="nil"/>
              <w:left w:val="nil"/>
              <w:bottom w:val="nil"/>
              <w:right w:val="nil"/>
            </w:tcBorders>
            <w:shd w:val="clear" w:color="auto" w:fill="auto"/>
            <w:noWrap/>
            <w:vAlign w:val="center"/>
            <w:hideMark/>
          </w:tcPr>
          <w:p w14:paraId="39FB9B89" w14:textId="1543E52C" w:rsidR="00B574F2" w:rsidRPr="00FC2211" w:rsidRDefault="00B574F2" w:rsidP="00E71032">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(55</w:t>
            </w:r>
            <w:r w:rsidR="00DB79BB" w:rsidRPr="00FC2211">
              <w:rPr>
                <w:rFonts w:ascii="Calibri" w:hAnsi="Calibri" w:cs="Calibri"/>
                <w:b/>
                <w:bCs/>
                <w:color w:val="000000"/>
                <w:szCs w:val="20"/>
                <w:lang w:val="en-CA" w:eastAsia="en-CA"/>
              </w:rPr>
              <w:t>3,292</w:t>
            </w:r>
            <w:r w:rsidRPr="00FC2211">
              <w:rPr>
                <w:rFonts w:ascii="Calibri" w:hAnsi="Calibri" w:cs="Calibri"/>
                <w:b/>
                <w:bCs/>
                <w:color w:val="000000"/>
                <w:szCs w:val="20"/>
                <w:lang w:val="en-CA" w:eastAsia="en-CA"/>
              </w:rPr>
              <w:t>)</w:t>
            </w:r>
          </w:p>
        </w:tc>
        <w:tc>
          <w:tcPr>
            <w:tcW w:w="1400" w:type="dxa"/>
            <w:tcBorders>
              <w:top w:val="nil"/>
              <w:left w:val="nil"/>
              <w:bottom w:val="nil"/>
              <w:right w:val="nil"/>
            </w:tcBorders>
            <w:shd w:val="clear" w:color="auto" w:fill="auto"/>
            <w:noWrap/>
            <w:vAlign w:val="center"/>
            <w:hideMark/>
          </w:tcPr>
          <w:p w14:paraId="048AA2FA" w14:textId="7C3F2147" w:rsidR="00B574F2" w:rsidRPr="00FC2211" w:rsidRDefault="00B574F2" w:rsidP="00E71032">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(413,655)</w:t>
            </w:r>
          </w:p>
        </w:tc>
      </w:tr>
      <w:tr w:rsidR="00B574F2" w:rsidRPr="00FC2211" w14:paraId="46781754" w14:textId="77777777" w:rsidTr="00820355">
        <w:trPr>
          <w:trHeight w:val="288"/>
          <w:jc w:val="center"/>
        </w:trPr>
        <w:tc>
          <w:tcPr>
            <w:tcW w:w="4780" w:type="dxa"/>
            <w:tcBorders>
              <w:top w:val="nil"/>
              <w:left w:val="nil"/>
              <w:bottom w:val="single" w:sz="8" w:space="0" w:color="auto"/>
              <w:right w:val="nil"/>
            </w:tcBorders>
            <w:shd w:val="clear" w:color="auto" w:fill="auto"/>
            <w:noWrap/>
            <w:vAlign w:val="center"/>
            <w:hideMark/>
          </w:tcPr>
          <w:p w14:paraId="35711B42" w14:textId="77777777" w:rsidR="00B574F2" w:rsidRPr="00FC2211" w:rsidRDefault="00B574F2" w:rsidP="00B574F2">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Gross Profit</w:t>
            </w:r>
          </w:p>
        </w:tc>
        <w:tc>
          <w:tcPr>
            <w:tcW w:w="1177" w:type="dxa"/>
            <w:tcBorders>
              <w:top w:val="nil"/>
              <w:left w:val="nil"/>
              <w:bottom w:val="single" w:sz="8" w:space="0" w:color="auto"/>
              <w:right w:val="nil"/>
            </w:tcBorders>
            <w:shd w:val="clear" w:color="auto" w:fill="auto"/>
            <w:noWrap/>
            <w:vAlign w:val="center"/>
            <w:hideMark/>
          </w:tcPr>
          <w:p w14:paraId="4F2F89BE" w14:textId="77777777" w:rsidR="00B574F2" w:rsidRPr="00FC2211" w:rsidRDefault="00B574F2" w:rsidP="00B574F2">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 </w:t>
            </w:r>
          </w:p>
        </w:tc>
        <w:tc>
          <w:tcPr>
            <w:tcW w:w="1273" w:type="dxa"/>
            <w:tcBorders>
              <w:top w:val="single" w:sz="8" w:space="0" w:color="auto"/>
              <w:left w:val="nil"/>
              <w:bottom w:val="single" w:sz="8" w:space="0" w:color="auto"/>
              <w:right w:val="nil"/>
            </w:tcBorders>
            <w:shd w:val="clear" w:color="auto" w:fill="auto"/>
            <w:noWrap/>
            <w:vAlign w:val="center"/>
            <w:hideMark/>
          </w:tcPr>
          <w:p w14:paraId="6DC424E6" w14:textId="523E744E" w:rsidR="00B574F2" w:rsidRPr="00FC2211" w:rsidRDefault="00B574F2" w:rsidP="00B574F2">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5D6E40" w:rsidRPr="00FC2211">
              <w:rPr>
                <w:rFonts w:ascii="Calibri" w:hAnsi="Calibri" w:cs="Calibri"/>
                <w:b/>
                <w:bCs/>
                <w:color w:val="000000"/>
                <w:szCs w:val="20"/>
                <w:lang w:val="en-CA" w:eastAsia="en-CA"/>
              </w:rPr>
              <w:t>188,523</w:t>
            </w:r>
            <w:r w:rsidRPr="00FC2211">
              <w:rPr>
                <w:rFonts w:ascii="Calibri" w:hAnsi="Calibri" w:cs="Calibri"/>
                <w:b/>
                <w:bCs/>
                <w:color w:val="000000"/>
                <w:szCs w:val="20"/>
                <w:lang w:val="en-CA" w:eastAsia="en-CA"/>
              </w:rPr>
              <w:t xml:space="preserve"> </w:t>
            </w:r>
          </w:p>
        </w:tc>
        <w:tc>
          <w:tcPr>
            <w:tcW w:w="1480" w:type="dxa"/>
            <w:tcBorders>
              <w:top w:val="single" w:sz="8" w:space="0" w:color="auto"/>
              <w:left w:val="nil"/>
              <w:bottom w:val="single" w:sz="8" w:space="0" w:color="auto"/>
              <w:right w:val="nil"/>
            </w:tcBorders>
            <w:shd w:val="clear" w:color="auto" w:fill="auto"/>
            <w:noWrap/>
            <w:vAlign w:val="center"/>
            <w:hideMark/>
          </w:tcPr>
          <w:p w14:paraId="18C87475" w14:textId="3A3467A0" w:rsidR="00B574F2" w:rsidRPr="00FC2211" w:rsidRDefault="00B574F2" w:rsidP="00B574F2">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181,210 </w:t>
            </w:r>
          </w:p>
        </w:tc>
        <w:tc>
          <w:tcPr>
            <w:tcW w:w="1400" w:type="dxa"/>
            <w:tcBorders>
              <w:top w:val="single" w:sz="8" w:space="0" w:color="auto"/>
              <w:left w:val="nil"/>
              <w:bottom w:val="single" w:sz="8" w:space="0" w:color="auto"/>
              <w:right w:val="nil"/>
            </w:tcBorders>
            <w:shd w:val="clear" w:color="auto" w:fill="auto"/>
            <w:noWrap/>
            <w:vAlign w:val="center"/>
            <w:hideMark/>
          </w:tcPr>
          <w:p w14:paraId="5D286B5E" w14:textId="487C1A81" w:rsidR="00B574F2" w:rsidRPr="00FC2211" w:rsidRDefault="00B574F2" w:rsidP="00B574F2">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332,</w:t>
            </w:r>
            <w:r w:rsidR="00DB79BB" w:rsidRPr="00FC2211">
              <w:rPr>
                <w:rFonts w:ascii="Calibri" w:hAnsi="Calibri" w:cs="Calibri"/>
                <w:b/>
                <w:bCs/>
                <w:color w:val="000000"/>
                <w:szCs w:val="20"/>
                <w:lang w:val="en-CA" w:eastAsia="en-CA"/>
              </w:rPr>
              <w:t>258</w:t>
            </w:r>
            <w:r w:rsidRPr="00FC2211">
              <w:rPr>
                <w:rFonts w:ascii="Calibri" w:hAnsi="Calibri" w:cs="Calibri"/>
                <w:b/>
                <w:bCs/>
                <w:color w:val="000000"/>
                <w:szCs w:val="20"/>
                <w:lang w:val="en-CA" w:eastAsia="en-CA"/>
              </w:rPr>
              <w:t xml:space="preserve"> </w:t>
            </w:r>
          </w:p>
        </w:tc>
        <w:tc>
          <w:tcPr>
            <w:tcW w:w="1400" w:type="dxa"/>
            <w:tcBorders>
              <w:top w:val="single" w:sz="8" w:space="0" w:color="auto"/>
              <w:left w:val="nil"/>
              <w:bottom w:val="single" w:sz="8" w:space="0" w:color="auto"/>
              <w:right w:val="nil"/>
            </w:tcBorders>
            <w:shd w:val="clear" w:color="auto" w:fill="auto"/>
            <w:noWrap/>
            <w:vAlign w:val="center"/>
            <w:hideMark/>
          </w:tcPr>
          <w:p w14:paraId="72ABDE32" w14:textId="7BF6F75C" w:rsidR="00B574F2" w:rsidRPr="00FC2211" w:rsidRDefault="00B574F2" w:rsidP="00B574F2">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388,856 </w:t>
            </w:r>
          </w:p>
        </w:tc>
      </w:tr>
      <w:tr w:rsidR="00B574F2" w:rsidRPr="00FC2211" w14:paraId="687162A6" w14:textId="77777777" w:rsidTr="00820355">
        <w:trPr>
          <w:trHeight w:val="276"/>
          <w:jc w:val="center"/>
        </w:trPr>
        <w:tc>
          <w:tcPr>
            <w:tcW w:w="4780" w:type="dxa"/>
            <w:tcBorders>
              <w:top w:val="nil"/>
              <w:left w:val="nil"/>
              <w:bottom w:val="nil"/>
              <w:right w:val="nil"/>
            </w:tcBorders>
            <w:shd w:val="clear" w:color="auto" w:fill="auto"/>
            <w:noWrap/>
            <w:vAlign w:val="center"/>
            <w:hideMark/>
          </w:tcPr>
          <w:p w14:paraId="0823D267" w14:textId="77777777" w:rsidR="00B574F2" w:rsidRPr="00FC2211" w:rsidRDefault="00B574F2" w:rsidP="00B574F2">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Expenses</w:t>
            </w:r>
          </w:p>
        </w:tc>
        <w:tc>
          <w:tcPr>
            <w:tcW w:w="1177" w:type="dxa"/>
            <w:tcBorders>
              <w:top w:val="nil"/>
              <w:left w:val="nil"/>
              <w:bottom w:val="nil"/>
              <w:right w:val="nil"/>
            </w:tcBorders>
            <w:shd w:val="clear" w:color="auto" w:fill="auto"/>
            <w:noWrap/>
            <w:vAlign w:val="center"/>
            <w:hideMark/>
          </w:tcPr>
          <w:p w14:paraId="614B6792" w14:textId="77777777" w:rsidR="00B574F2" w:rsidRPr="00FC2211" w:rsidRDefault="00B574F2" w:rsidP="00B574F2">
            <w:pPr>
              <w:rPr>
                <w:rFonts w:ascii="Calibri" w:hAnsi="Calibri" w:cs="Calibri"/>
                <w:b/>
                <w:bCs/>
                <w:color w:val="000000"/>
                <w:szCs w:val="20"/>
                <w:lang w:val="en-CA" w:eastAsia="en-CA"/>
              </w:rPr>
            </w:pPr>
          </w:p>
        </w:tc>
        <w:tc>
          <w:tcPr>
            <w:tcW w:w="1273" w:type="dxa"/>
            <w:tcBorders>
              <w:top w:val="nil"/>
              <w:left w:val="nil"/>
              <w:bottom w:val="nil"/>
              <w:right w:val="nil"/>
            </w:tcBorders>
            <w:shd w:val="clear" w:color="auto" w:fill="auto"/>
            <w:noWrap/>
            <w:vAlign w:val="center"/>
            <w:hideMark/>
          </w:tcPr>
          <w:p w14:paraId="24D1480C" w14:textId="77777777" w:rsidR="00B574F2" w:rsidRPr="00FC2211" w:rsidRDefault="00B574F2" w:rsidP="00B574F2">
            <w:pPr>
              <w:jc w:val="right"/>
              <w:rPr>
                <w:rFonts w:ascii="Times New Roman" w:hAnsi="Times New Roman"/>
                <w:szCs w:val="20"/>
                <w:lang w:val="en-CA" w:eastAsia="en-CA"/>
              </w:rPr>
            </w:pPr>
          </w:p>
        </w:tc>
        <w:tc>
          <w:tcPr>
            <w:tcW w:w="1480" w:type="dxa"/>
            <w:tcBorders>
              <w:top w:val="nil"/>
              <w:left w:val="nil"/>
              <w:bottom w:val="nil"/>
              <w:right w:val="nil"/>
            </w:tcBorders>
            <w:shd w:val="clear" w:color="auto" w:fill="auto"/>
            <w:noWrap/>
            <w:vAlign w:val="center"/>
            <w:hideMark/>
          </w:tcPr>
          <w:p w14:paraId="0BC5BF71" w14:textId="77777777" w:rsidR="00B574F2" w:rsidRPr="00FC2211" w:rsidRDefault="00B574F2" w:rsidP="00B574F2">
            <w:pPr>
              <w:jc w:val="right"/>
              <w:rPr>
                <w:rFonts w:ascii="Times New Roman" w:hAnsi="Times New Roman"/>
                <w:szCs w:val="20"/>
                <w:lang w:val="en-CA" w:eastAsia="en-CA"/>
              </w:rPr>
            </w:pPr>
          </w:p>
        </w:tc>
        <w:tc>
          <w:tcPr>
            <w:tcW w:w="1400" w:type="dxa"/>
            <w:tcBorders>
              <w:top w:val="nil"/>
              <w:left w:val="nil"/>
              <w:bottom w:val="nil"/>
              <w:right w:val="nil"/>
            </w:tcBorders>
            <w:shd w:val="clear" w:color="auto" w:fill="auto"/>
            <w:noWrap/>
            <w:vAlign w:val="center"/>
            <w:hideMark/>
          </w:tcPr>
          <w:p w14:paraId="3C4E05AD" w14:textId="77777777" w:rsidR="00B574F2" w:rsidRPr="00FC2211" w:rsidRDefault="00B574F2" w:rsidP="00B574F2">
            <w:pPr>
              <w:jc w:val="right"/>
              <w:rPr>
                <w:rFonts w:ascii="Times New Roman" w:hAnsi="Times New Roman"/>
                <w:szCs w:val="20"/>
                <w:lang w:val="en-CA" w:eastAsia="en-CA"/>
              </w:rPr>
            </w:pPr>
          </w:p>
        </w:tc>
        <w:tc>
          <w:tcPr>
            <w:tcW w:w="1400" w:type="dxa"/>
            <w:tcBorders>
              <w:top w:val="nil"/>
              <w:left w:val="nil"/>
              <w:bottom w:val="nil"/>
              <w:right w:val="nil"/>
            </w:tcBorders>
            <w:shd w:val="clear" w:color="auto" w:fill="auto"/>
            <w:noWrap/>
            <w:vAlign w:val="center"/>
            <w:hideMark/>
          </w:tcPr>
          <w:p w14:paraId="183C9D75" w14:textId="77777777" w:rsidR="00B574F2" w:rsidRPr="00FC2211" w:rsidRDefault="00B574F2" w:rsidP="00B574F2">
            <w:pPr>
              <w:jc w:val="right"/>
              <w:rPr>
                <w:rFonts w:ascii="Times New Roman" w:hAnsi="Times New Roman"/>
                <w:szCs w:val="20"/>
                <w:lang w:val="en-CA" w:eastAsia="en-CA"/>
              </w:rPr>
            </w:pPr>
          </w:p>
        </w:tc>
      </w:tr>
      <w:tr w:rsidR="00B574F2" w:rsidRPr="00FC2211" w14:paraId="2C43C88C" w14:textId="77777777" w:rsidTr="00820355">
        <w:trPr>
          <w:trHeight w:val="276"/>
          <w:jc w:val="center"/>
        </w:trPr>
        <w:tc>
          <w:tcPr>
            <w:tcW w:w="4780" w:type="dxa"/>
            <w:tcBorders>
              <w:top w:val="nil"/>
              <w:left w:val="nil"/>
              <w:bottom w:val="nil"/>
              <w:right w:val="nil"/>
            </w:tcBorders>
            <w:shd w:val="clear" w:color="auto" w:fill="auto"/>
            <w:noWrap/>
            <w:vAlign w:val="center"/>
            <w:hideMark/>
          </w:tcPr>
          <w:p w14:paraId="60E26FA4" w14:textId="77777777" w:rsidR="00B574F2" w:rsidRPr="00FC2211" w:rsidRDefault="00B574F2" w:rsidP="00B574F2">
            <w:pPr>
              <w:rPr>
                <w:rFonts w:ascii="Calibri" w:hAnsi="Calibri" w:cs="Calibri"/>
                <w:color w:val="000000"/>
                <w:szCs w:val="20"/>
                <w:lang w:val="en-CA" w:eastAsia="en-CA"/>
              </w:rPr>
            </w:pPr>
            <w:r w:rsidRPr="00FC2211">
              <w:rPr>
                <w:rFonts w:ascii="Calibri" w:hAnsi="Calibri" w:cs="Calibri"/>
                <w:color w:val="000000"/>
                <w:szCs w:val="20"/>
                <w:lang w:val="en-CA" w:eastAsia="en-CA"/>
              </w:rPr>
              <w:t>General and administrative expenses</w:t>
            </w:r>
          </w:p>
        </w:tc>
        <w:tc>
          <w:tcPr>
            <w:tcW w:w="1177" w:type="dxa"/>
            <w:tcBorders>
              <w:top w:val="nil"/>
              <w:left w:val="nil"/>
              <w:bottom w:val="nil"/>
              <w:right w:val="nil"/>
            </w:tcBorders>
            <w:shd w:val="clear" w:color="auto" w:fill="auto"/>
            <w:noWrap/>
            <w:vAlign w:val="center"/>
            <w:hideMark/>
          </w:tcPr>
          <w:p w14:paraId="69E1D1A6" w14:textId="77777777" w:rsidR="00B574F2" w:rsidRPr="00FC2211" w:rsidRDefault="00B574F2" w:rsidP="00B574F2">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16</w:t>
            </w:r>
          </w:p>
        </w:tc>
        <w:tc>
          <w:tcPr>
            <w:tcW w:w="1273" w:type="dxa"/>
            <w:tcBorders>
              <w:top w:val="nil"/>
              <w:left w:val="nil"/>
              <w:bottom w:val="nil"/>
              <w:right w:val="nil"/>
            </w:tcBorders>
            <w:shd w:val="clear" w:color="auto" w:fill="auto"/>
            <w:noWrap/>
            <w:vAlign w:val="bottom"/>
            <w:hideMark/>
          </w:tcPr>
          <w:p w14:paraId="1734BCCD" w14:textId="50A87738" w:rsidR="00B574F2" w:rsidRPr="00FC2211" w:rsidRDefault="00B574F2" w:rsidP="00B574F2">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422,40</w:t>
            </w:r>
            <w:r w:rsidR="005D6E40" w:rsidRPr="00FC2211">
              <w:rPr>
                <w:rFonts w:ascii="Calibri" w:hAnsi="Calibri" w:cs="Calibri"/>
                <w:b/>
                <w:bCs/>
                <w:color w:val="000000"/>
                <w:szCs w:val="20"/>
                <w:lang w:val="en-CA" w:eastAsia="en-CA"/>
              </w:rPr>
              <w:t>2</w:t>
            </w:r>
            <w:r w:rsidRPr="00FC2211">
              <w:rPr>
                <w:rFonts w:ascii="Calibri" w:hAnsi="Calibri" w:cs="Calibri"/>
                <w:b/>
                <w:bCs/>
                <w:color w:val="000000"/>
                <w:szCs w:val="20"/>
                <w:lang w:val="en-CA" w:eastAsia="en-CA"/>
              </w:rPr>
              <w:t xml:space="preserve"> </w:t>
            </w:r>
          </w:p>
        </w:tc>
        <w:tc>
          <w:tcPr>
            <w:tcW w:w="1480" w:type="dxa"/>
            <w:tcBorders>
              <w:top w:val="nil"/>
              <w:left w:val="nil"/>
              <w:bottom w:val="nil"/>
              <w:right w:val="nil"/>
            </w:tcBorders>
            <w:shd w:val="clear" w:color="auto" w:fill="auto"/>
            <w:noWrap/>
            <w:vAlign w:val="center"/>
            <w:hideMark/>
          </w:tcPr>
          <w:p w14:paraId="5D3BC2BD" w14:textId="3D8B0A0C" w:rsidR="00B574F2" w:rsidRPr="00FC2211" w:rsidRDefault="00B574F2" w:rsidP="00B574F2">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491,486 </w:t>
            </w:r>
          </w:p>
        </w:tc>
        <w:tc>
          <w:tcPr>
            <w:tcW w:w="1400" w:type="dxa"/>
            <w:tcBorders>
              <w:top w:val="nil"/>
              <w:left w:val="nil"/>
              <w:bottom w:val="nil"/>
              <w:right w:val="nil"/>
            </w:tcBorders>
            <w:shd w:val="clear" w:color="auto" w:fill="auto"/>
            <w:noWrap/>
            <w:vAlign w:val="center"/>
            <w:hideMark/>
          </w:tcPr>
          <w:p w14:paraId="58AAA453" w14:textId="51145D3F" w:rsidR="00B574F2" w:rsidRPr="00FC2211" w:rsidRDefault="00B574F2" w:rsidP="00B574F2">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859,929 </w:t>
            </w:r>
          </w:p>
        </w:tc>
        <w:tc>
          <w:tcPr>
            <w:tcW w:w="1400" w:type="dxa"/>
            <w:tcBorders>
              <w:top w:val="nil"/>
              <w:left w:val="nil"/>
              <w:bottom w:val="nil"/>
              <w:right w:val="nil"/>
            </w:tcBorders>
            <w:shd w:val="clear" w:color="auto" w:fill="auto"/>
            <w:noWrap/>
            <w:vAlign w:val="center"/>
            <w:hideMark/>
          </w:tcPr>
          <w:p w14:paraId="256EF1ED" w14:textId="51875D55" w:rsidR="00B574F2" w:rsidRPr="00FC2211" w:rsidRDefault="00B574F2" w:rsidP="00B574F2">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830,573 </w:t>
            </w:r>
          </w:p>
        </w:tc>
      </w:tr>
      <w:tr w:rsidR="00B574F2" w:rsidRPr="00FC2211" w14:paraId="4733C797" w14:textId="77777777" w:rsidTr="00820355">
        <w:trPr>
          <w:trHeight w:val="276"/>
          <w:jc w:val="center"/>
        </w:trPr>
        <w:tc>
          <w:tcPr>
            <w:tcW w:w="4780" w:type="dxa"/>
            <w:tcBorders>
              <w:top w:val="nil"/>
              <w:left w:val="nil"/>
              <w:bottom w:val="nil"/>
              <w:right w:val="nil"/>
            </w:tcBorders>
            <w:shd w:val="clear" w:color="auto" w:fill="auto"/>
            <w:noWrap/>
            <w:vAlign w:val="center"/>
            <w:hideMark/>
          </w:tcPr>
          <w:p w14:paraId="3F716638" w14:textId="77777777" w:rsidR="00B574F2" w:rsidRPr="00FC2211" w:rsidRDefault="00B574F2" w:rsidP="00B574F2">
            <w:pPr>
              <w:rPr>
                <w:rFonts w:ascii="Calibri" w:hAnsi="Calibri" w:cs="Calibri"/>
                <w:color w:val="000000"/>
                <w:szCs w:val="20"/>
                <w:lang w:val="en-CA" w:eastAsia="en-CA"/>
              </w:rPr>
            </w:pPr>
            <w:r w:rsidRPr="00FC2211">
              <w:rPr>
                <w:rFonts w:ascii="Calibri" w:hAnsi="Calibri" w:cs="Calibri"/>
                <w:color w:val="000000"/>
                <w:szCs w:val="20"/>
                <w:lang w:val="en-CA" w:eastAsia="en-CA"/>
              </w:rPr>
              <w:t>Selling</w:t>
            </w:r>
          </w:p>
        </w:tc>
        <w:tc>
          <w:tcPr>
            <w:tcW w:w="1177" w:type="dxa"/>
            <w:tcBorders>
              <w:top w:val="nil"/>
              <w:left w:val="nil"/>
              <w:bottom w:val="nil"/>
              <w:right w:val="nil"/>
            </w:tcBorders>
            <w:shd w:val="clear" w:color="auto" w:fill="auto"/>
            <w:noWrap/>
            <w:vAlign w:val="bottom"/>
            <w:hideMark/>
          </w:tcPr>
          <w:p w14:paraId="7C6B577E" w14:textId="77777777" w:rsidR="00B574F2" w:rsidRPr="00FC2211" w:rsidRDefault="00B574F2" w:rsidP="00B574F2">
            <w:pPr>
              <w:rPr>
                <w:rFonts w:ascii="Calibri" w:hAnsi="Calibri" w:cs="Calibri"/>
                <w:color w:val="000000"/>
                <w:szCs w:val="20"/>
                <w:lang w:val="en-CA" w:eastAsia="en-CA"/>
              </w:rPr>
            </w:pPr>
          </w:p>
        </w:tc>
        <w:tc>
          <w:tcPr>
            <w:tcW w:w="1273" w:type="dxa"/>
            <w:tcBorders>
              <w:top w:val="nil"/>
              <w:left w:val="nil"/>
              <w:bottom w:val="nil"/>
              <w:right w:val="nil"/>
            </w:tcBorders>
            <w:shd w:val="clear" w:color="auto" w:fill="auto"/>
            <w:noWrap/>
            <w:vAlign w:val="bottom"/>
            <w:hideMark/>
          </w:tcPr>
          <w:p w14:paraId="3D088538" w14:textId="1C3C0860" w:rsidR="00B574F2" w:rsidRPr="00FC2211" w:rsidRDefault="00B574F2" w:rsidP="00B574F2">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862E9E" w:rsidRPr="00FC2211">
              <w:rPr>
                <w:rFonts w:ascii="Calibri" w:hAnsi="Calibri" w:cs="Calibri"/>
                <w:b/>
                <w:bCs/>
                <w:color w:val="000000"/>
                <w:szCs w:val="20"/>
                <w:lang w:val="en-CA" w:eastAsia="en-CA"/>
              </w:rPr>
              <w:t>160,237</w:t>
            </w:r>
            <w:r w:rsidRPr="00FC2211">
              <w:rPr>
                <w:rFonts w:ascii="Calibri" w:hAnsi="Calibri" w:cs="Calibri"/>
                <w:b/>
                <w:bCs/>
                <w:color w:val="000000"/>
                <w:szCs w:val="20"/>
                <w:lang w:val="en-CA" w:eastAsia="en-CA"/>
              </w:rPr>
              <w:t xml:space="preserve"> </w:t>
            </w:r>
          </w:p>
        </w:tc>
        <w:tc>
          <w:tcPr>
            <w:tcW w:w="1480" w:type="dxa"/>
            <w:tcBorders>
              <w:top w:val="nil"/>
              <w:left w:val="nil"/>
              <w:bottom w:val="nil"/>
              <w:right w:val="nil"/>
            </w:tcBorders>
            <w:shd w:val="clear" w:color="auto" w:fill="auto"/>
            <w:noWrap/>
            <w:vAlign w:val="center"/>
            <w:hideMark/>
          </w:tcPr>
          <w:p w14:paraId="0AEB8658" w14:textId="1A0D419B" w:rsidR="00B574F2" w:rsidRPr="00FC2211" w:rsidRDefault="00B574F2" w:rsidP="00B574F2">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441,279 </w:t>
            </w:r>
          </w:p>
        </w:tc>
        <w:tc>
          <w:tcPr>
            <w:tcW w:w="1400" w:type="dxa"/>
            <w:tcBorders>
              <w:top w:val="nil"/>
              <w:left w:val="nil"/>
              <w:bottom w:val="nil"/>
              <w:right w:val="nil"/>
            </w:tcBorders>
            <w:shd w:val="clear" w:color="auto" w:fill="auto"/>
            <w:noWrap/>
            <w:vAlign w:val="center"/>
            <w:hideMark/>
          </w:tcPr>
          <w:p w14:paraId="088D9F03" w14:textId="156736C6" w:rsidR="00B574F2" w:rsidRPr="00FC2211" w:rsidRDefault="00B574F2" w:rsidP="00B574F2">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E45C64" w:rsidRPr="00FC2211">
              <w:rPr>
                <w:rFonts w:ascii="Calibri" w:hAnsi="Calibri" w:cs="Calibri"/>
                <w:b/>
                <w:bCs/>
                <w:color w:val="000000"/>
                <w:szCs w:val="20"/>
                <w:lang w:val="en-CA" w:eastAsia="en-CA"/>
              </w:rPr>
              <w:t>363,</w:t>
            </w:r>
            <w:r w:rsidR="006B7D5A">
              <w:rPr>
                <w:rFonts w:ascii="Calibri" w:hAnsi="Calibri" w:cs="Calibri"/>
                <w:b/>
                <w:bCs/>
                <w:color w:val="000000"/>
                <w:szCs w:val="20"/>
                <w:lang w:val="en-CA" w:eastAsia="en-CA"/>
              </w:rPr>
              <w:t>72</w:t>
            </w:r>
            <w:r w:rsidR="00E45C64" w:rsidRPr="00FC2211">
              <w:rPr>
                <w:rFonts w:ascii="Calibri" w:hAnsi="Calibri" w:cs="Calibri"/>
                <w:b/>
                <w:bCs/>
                <w:color w:val="000000"/>
                <w:szCs w:val="20"/>
                <w:lang w:val="en-CA" w:eastAsia="en-CA"/>
              </w:rPr>
              <w:t>4</w:t>
            </w:r>
            <w:r w:rsidRPr="00FC2211">
              <w:rPr>
                <w:rFonts w:ascii="Calibri" w:hAnsi="Calibri" w:cs="Calibri"/>
                <w:b/>
                <w:bCs/>
                <w:color w:val="000000"/>
                <w:szCs w:val="20"/>
                <w:lang w:val="en-CA" w:eastAsia="en-CA"/>
              </w:rPr>
              <w:t xml:space="preserve"> </w:t>
            </w:r>
          </w:p>
        </w:tc>
        <w:tc>
          <w:tcPr>
            <w:tcW w:w="1400" w:type="dxa"/>
            <w:tcBorders>
              <w:top w:val="nil"/>
              <w:left w:val="nil"/>
              <w:bottom w:val="nil"/>
              <w:right w:val="nil"/>
            </w:tcBorders>
            <w:shd w:val="clear" w:color="auto" w:fill="auto"/>
            <w:noWrap/>
            <w:vAlign w:val="center"/>
            <w:hideMark/>
          </w:tcPr>
          <w:p w14:paraId="3C19DCAE" w14:textId="4207B08E" w:rsidR="00B574F2" w:rsidRPr="00FC2211" w:rsidRDefault="00B574F2" w:rsidP="00B574F2">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719,330 </w:t>
            </w:r>
          </w:p>
        </w:tc>
      </w:tr>
      <w:tr w:rsidR="00B574F2" w:rsidRPr="00FC2211" w14:paraId="7B6A7B42" w14:textId="77777777" w:rsidTr="00820355">
        <w:trPr>
          <w:trHeight w:val="288"/>
          <w:jc w:val="center"/>
        </w:trPr>
        <w:tc>
          <w:tcPr>
            <w:tcW w:w="4780" w:type="dxa"/>
            <w:tcBorders>
              <w:top w:val="nil"/>
              <w:left w:val="nil"/>
              <w:bottom w:val="nil"/>
              <w:right w:val="nil"/>
            </w:tcBorders>
            <w:shd w:val="clear" w:color="auto" w:fill="auto"/>
            <w:noWrap/>
            <w:vAlign w:val="center"/>
            <w:hideMark/>
          </w:tcPr>
          <w:p w14:paraId="287CD787" w14:textId="77777777" w:rsidR="00B574F2" w:rsidRPr="00FC2211" w:rsidRDefault="00B574F2" w:rsidP="00B574F2">
            <w:pPr>
              <w:rPr>
                <w:rFonts w:ascii="Calibri" w:hAnsi="Calibri" w:cs="Calibri"/>
                <w:color w:val="000000"/>
                <w:szCs w:val="20"/>
                <w:lang w:val="en-CA" w:eastAsia="en-CA"/>
              </w:rPr>
            </w:pPr>
            <w:r w:rsidRPr="00FC2211">
              <w:rPr>
                <w:rFonts w:ascii="Calibri" w:hAnsi="Calibri" w:cs="Calibri"/>
                <w:color w:val="000000"/>
                <w:szCs w:val="20"/>
                <w:lang w:val="en-CA" w:eastAsia="en-CA"/>
              </w:rPr>
              <w:t>Research and development</w:t>
            </w:r>
          </w:p>
        </w:tc>
        <w:tc>
          <w:tcPr>
            <w:tcW w:w="1177" w:type="dxa"/>
            <w:tcBorders>
              <w:top w:val="nil"/>
              <w:left w:val="nil"/>
              <w:bottom w:val="nil"/>
              <w:right w:val="nil"/>
            </w:tcBorders>
            <w:shd w:val="clear" w:color="auto" w:fill="auto"/>
            <w:noWrap/>
            <w:vAlign w:val="bottom"/>
            <w:hideMark/>
          </w:tcPr>
          <w:p w14:paraId="5865308E" w14:textId="77777777" w:rsidR="00B574F2" w:rsidRPr="00FC2211" w:rsidRDefault="00B574F2" w:rsidP="00B574F2">
            <w:pPr>
              <w:rPr>
                <w:rFonts w:ascii="Calibri" w:hAnsi="Calibri" w:cs="Calibri"/>
                <w:color w:val="000000"/>
                <w:szCs w:val="20"/>
                <w:lang w:val="en-CA" w:eastAsia="en-CA"/>
              </w:rPr>
            </w:pPr>
          </w:p>
        </w:tc>
        <w:tc>
          <w:tcPr>
            <w:tcW w:w="1273" w:type="dxa"/>
            <w:tcBorders>
              <w:top w:val="nil"/>
              <w:left w:val="nil"/>
              <w:bottom w:val="nil"/>
              <w:right w:val="nil"/>
            </w:tcBorders>
            <w:shd w:val="clear" w:color="auto" w:fill="auto"/>
            <w:noWrap/>
            <w:vAlign w:val="bottom"/>
            <w:hideMark/>
          </w:tcPr>
          <w:p w14:paraId="3D04A19C" w14:textId="3C0D007E" w:rsidR="00B574F2" w:rsidRPr="00FC2211" w:rsidRDefault="00B574F2" w:rsidP="00B574F2">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179,114 </w:t>
            </w:r>
          </w:p>
        </w:tc>
        <w:tc>
          <w:tcPr>
            <w:tcW w:w="1480" w:type="dxa"/>
            <w:tcBorders>
              <w:top w:val="nil"/>
              <w:left w:val="nil"/>
              <w:bottom w:val="nil"/>
              <w:right w:val="nil"/>
            </w:tcBorders>
            <w:shd w:val="clear" w:color="auto" w:fill="auto"/>
            <w:noWrap/>
            <w:vAlign w:val="center"/>
            <w:hideMark/>
          </w:tcPr>
          <w:p w14:paraId="75B8B855" w14:textId="313D0B75" w:rsidR="00B574F2" w:rsidRPr="00FC2211" w:rsidRDefault="00B574F2" w:rsidP="00B574F2">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197,000 </w:t>
            </w:r>
          </w:p>
        </w:tc>
        <w:tc>
          <w:tcPr>
            <w:tcW w:w="1400" w:type="dxa"/>
            <w:tcBorders>
              <w:top w:val="nil"/>
              <w:left w:val="nil"/>
              <w:bottom w:val="nil"/>
              <w:right w:val="nil"/>
            </w:tcBorders>
            <w:shd w:val="clear" w:color="auto" w:fill="auto"/>
            <w:noWrap/>
            <w:vAlign w:val="center"/>
            <w:hideMark/>
          </w:tcPr>
          <w:p w14:paraId="4A848CD7" w14:textId="78D8D3AA" w:rsidR="00B574F2" w:rsidRPr="00FC2211" w:rsidRDefault="00B574F2" w:rsidP="00B574F2">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377,458 </w:t>
            </w:r>
          </w:p>
        </w:tc>
        <w:tc>
          <w:tcPr>
            <w:tcW w:w="1400" w:type="dxa"/>
            <w:tcBorders>
              <w:top w:val="nil"/>
              <w:left w:val="nil"/>
              <w:bottom w:val="nil"/>
              <w:right w:val="nil"/>
            </w:tcBorders>
            <w:shd w:val="clear" w:color="auto" w:fill="auto"/>
            <w:noWrap/>
            <w:vAlign w:val="center"/>
            <w:hideMark/>
          </w:tcPr>
          <w:p w14:paraId="5A1BE69A" w14:textId="7B8CEEA7" w:rsidR="00B574F2" w:rsidRPr="00FC2211" w:rsidRDefault="00B574F2" w:rsidP="00B574F2">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384,686 </w:t>
            </w:r>
          </w:p>
        </w:tc>
      </w:tr>
      <w:tr w:rsidR="00B574F2" w:rsidRPr="00FC2211" w14:paraId="2657E457" w14:textId="77777777" w:rsidTr="00820355">
        <w:trPr>
          <w:trHeight w:val="276"/>
          <w:jc w:val="center"/>
        </w:trPr>
        <w:tc>
          <w:tcPr>
            <w:tcW w:w="4780" w:type="dxa"/>
            <w:tcBorders>
              <w:top w:val="single" w:sz="8" w:space="0" w:color="auto"/>
              <w:left w:val="nil"/>
              <w:bottom w:val="nil"/>
              <w:right w:val="nil"/>
            </w:tcBorders>
            <w:shd w:val="clear" w:color="auto" w:fill="auto"/>
            <w:noWrap/>
            <w:vAlign w:val="center"/>
            <w:hideMark/>
          </w:tcPr>
          <w:p w14:paraId="3F078099" w14:textId="77777777" w:rsidR="00B574F2" w:rsidRPr="00FC2211" w:rsidRDefault="00B574F2" w:rsidP="00B574F2">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w:t>
            </w:r>
          </w:p>
        </w:tc>
        <w:tc>
          <w:tcPr>
            <w:tcW w:w="1177" w:type="dxa"/>
            <w:tcBorders>
              <w:top w:val="single" w:sz="8" w:space="0" w:color="auto"/>
              <w:left w:val="nil"/>
              <w:bottom w:val="nil"/>
              <w:right w:val="nil"/>
            </w:tcBorders>
            <w:shd w:val="clear" w:color="auto" w:fill="auto"/>
            <w:noWrap/>
            <w:vAlign w:val="center"/>
            <w:hideMark/>
          </w:tcPr>
          <w:p w14:paraId="1DDD3D88" w14:textId="77777777" w:rsidR="00B574F2" w:rsidRPr="00FC2211" w:rsidRDefault="00B574F2" w:rsidP="00B574F2">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 </w:t>
            </w:r>
          </w:p>
        </w:tc>
        <w:tc>
          <w:tcPr>
            <w:tcW w:w="1273" w:type="dxa"/>
            <w:tcBorders>
              <w:top w:val="single" w:sz="8" w:space="0" w:color="auto"/>
              <w:left w:val="nil"/>
              <w:bottom w:val="nil"/>
              <w:right w:val="nil"/>
            </w:tcBorders>
            <w:shd w:val="clear" w:color="auto" w:fill="auto"/>
            <w:noWrap/>
            <w:vAlign w:val="center"/>
            <w:hideMark/>
          </w:tcPr>
          <w:p w14:paraId="4B8E5CFA" w14:textId="37CB9482" w:rsidR="00B574F2" w:rsidRPr="00FC2211" w:rsidRDefault="00B574F2" w:rsidP="00B574F2">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761,</w:t>
            </w:r>
            <w:r w:rsidR="00E45C64" w:rsidRPr="00FC2211">
              <w:rPr>
                <w:rFonts w:ascii="Calibri" w:hAnsi="Calibri" w:cs="Calibri"/>
                <w:b/>
                <w:bCs/>
                <w:color w:val="000000"/>
                <w:szCs w:val="20"/>
                <w:lang w:val="en-CA" w:eastAsia="en-CA"/>
              </w:rPr>
              <w:t>753</w:t>
            </w:r>
            <w:r w:rsidRPr="00FC2211">
              <w:rPr>
                <w:rFonts w:ascii="Calibri" w:hAnsi="Calibri" w:cs="Calibri"/>
                <w:b/>
                <w:bCs/>
                <w:color w:val="000000"/>
                <w:szCs w:val="20"/>
                <w:lang w:val="en-CA" w:eastAsia="en-CA"/>
              </w:rPr>
              <w:t xml:space="preserve"> </w:t>
            </w:r>
          </w:p>
        </w:tc>
        <w:tc>
          <w:tcPr>
            <w:tcW w:w="1480" w:type="dxa"/>
            <w:tcBorders>
              <w:top w:val="single" w:sz="8" w:space="0" w:color="auto"/>
              <w:left w:val="nil"/>
              <w:bottom w:val="nil"/>
              <w:right w:val="nil"/>
            </w:tcBorders>
            <w:shd w:val="clear" w:color="auto" w:fill="auto"/>
            <w:noWrap/>
            <w:vAlign w:val="center"/>
            <w:hideMark/>
          </w:tcPr>
          <w:p w14:paraId="2F91C31B" w14:textId="6267A753" w:rsidR="00B574F2" w:rsidRPr="00FC2211" w:rsidRDefault="00B574F2" w:rsidP="00B574F2">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1,129,765 </w:t>
            </w:r>
          </w:p>
        </w:tc>
        <w:tc>
          <w:tcPr>
            <w:tcW w:w="1400" w:type="dxa"/>
            <w:tcBorders>
              <w:top w:val="single" w:sz="8" w:space="0" w:color="auto"/>
              <w:left w:val="nil"/>
              <w:bottom w:val="nil"/>
              <w:right w:val="nil"/>
            </w:tcBorders>
            <w:shd w:val="clear" w:color="auto" w:fill="auto"/>
            <w:noWrap/>
            <w:vAlign w:val="center"/>
            <w:hideMark/>
          </w:tcPr>
          <w:p w14:paraId="05F6A5F3" w14:textId="549BA66B" w:rsidR="00B574F2" w:rsidRPr="00FC2211" w:rsidRDefault="00B574F2" w:rsidP="00B574F2">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1,60</w:t>
            </w:r>
            <w:r w:rsidR="00E45C64" w:rsidRPr="00FC2211">
              <w:rPr>
                <w:rFonts w:ascii="Calibri" w:hAnsi="Calibri" w:cs="Calibri"/>
                <w:b/>
                <w:bCs/>
                <w:color w:val="000000"/>
                <w:szCs w:val="20"/>
                <w:lang w:val="en-CA" w:eastAsia="en-CA"/>
              </w:rPr>
              <w:t>1,111</w:t>
            </w:r>
            <w:r w:rsidRPr="00FC2211">
              <w:rPr>
                <w:rFonts w:ascii="Calibri" w:hAnsi="Calibri" w:cs="Calibri"/>
                <w:b/>
                <w:bCs/>
                <w:color w:val="000000"/>
                <w:szCs w:val="20"/>
                <w:lang w:val="en-CA" w:eastAsia="en-CA"/>
              </w:rPr>
              <w:t xml:space="preserve"> </w:t>
            </w:r>
          </w:p>
        </w:tc>
        <w:tc>
          <w:tcPr>
            <w:tcW w:w="1400" w:type="dxa"/>
            <w:tcBorders>
              <w:top w:val="single" w:sz="8" w:space="0" w:color="auto"/>
              <w:left w:val="nil"/>
              <w:bottom w:val="nil"/>
              <w:right w:val="nil"/>
            </w:tcBorders>
            <w:shd w:val="clear" w:color="auto" w:fill="auto"/>
            <w:noWrap/>
            <w:vAlign w:val="center"/>
            <w:hideMark/>
          </w:tcPr>
          <w:p w14:paraId="62490529" w14:textId="0D687D8B" w:rsidR="00B574F2" w:rsidRPr="00FC2211" w:rsidRDefault="00B574F2" w:rsidP="00B574F2">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1,934,589 </w:t>
            </w:r>
          </w:p>
        </w:tc>
      </w:tr>
      <w:tr w:rsidR="00B574F2" w:rsidRPr="00FC2211" w14:paraId="3415FDAF" w14:textId="77777777" w:rsidTr="00820355">
        <w:trPr>
          <w:trHeight w:val="273"/>
          <w:jc w:val="center"/>
        </w:trPr>
        <w:tc>
          <w:tcPr>
            <w:tcW w:w="4780" w:type="dxa"/>
            <w:tcBorders>
              <w:top w:val="nil"/>
              <w:left w:val="nil"/>
              <w:bottom w:val="single" w:sz="8" w:space="0" w:color="auto"/>
              <w:right w:val="nil"/>
            </w:tcBorders>
            <w:shd w:val="clear" w:color="auto" w:fill="auto"/>
            <w:noWrap/>
            <w:vAlign w:val="center"/>
            <w:hideMark/>
          </w:tcPr>
          <w:p w14:paraId="14DFAD68" w14:textId="54721962" w:rsidR="00B574F2" w:rsidRPr="00FC2211" w:rsidRDefault="00B574F2" w:rsidP="00B574F2">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Net loss</w:t>
            </w:r>
            <w:r w:rsidR="00EB513C" w:rsidRPr="00FC2211">
              <w:rPr>
                <w:rFonts w:ascii="Calibri" w:hAnsi="Calibri" w:cs="Calibri"/>
                <w:b/>
                <w:bCs/>
                <w:color w:val="000000"/>
                <w:szCs w:val="20"/>
                <w:lang w:val="en-CA" w:eastAsia="en-CA"/>
              </w:rPr>
              <w:t xml:space="preserve"> </w:t>
            </w:r>
            <w:r w:rsidRPr="00FC2211">
              <w:rPr>
                <w:rFonts w:ascii="Calibri" w:hAnsi="Calibri" w:cs="Calibri"/>
                <w:b/>
                <w:bCs/>
                <w:color w:val="000000"/>
                <w:szCs w:val="20"/>
                <w:lang w:val="en-CA" w:eastAsia="en-CA"/>
              </w:rPr>
              <w:t>before other income (expenses)</w:t>
            </w:r>
          </w:p>
        </w:tc>
        <w:tc>
          <w:tcPr>
            <w:tcW w:w="1177" w:type="dxa"/>
            <w:tcBorders>
              <w:top w:val="nil"/>
              <w:left w:val="nil"/>
              <w:bottom w:val="single" w:sz="8" w:space="0" w:color="auto"/>
              <w:right w:val="nil"/>
            </w:tcBorders>
            <w:shd w:val="clear" w:color="auto" w:fill="auto"/>
            <w:noWrap/>
            <w:vAlign w:val="center"/>
            <w:hideMark/>
          </w:tcPr>
          <w:p w14:paraId="640C336A" w14:textId="77777777" w:rsidR="00B574F2" w:rsidRPr="00FC2211" w:rsidRDefault="00B574F2" w:rsidP="00B574F2">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 </w:t>
            </w:r>
          </w:p>
        </w:tc>
        <w:tc>
          <w:tcPr>
            <w:tcW w:w="1273" w:type="dxa"/>
            <w:tcBorders>
              <w:top w:val="nil"/>
              <w:left w:val="nil"/>
              <w:bottom w:val="single" w:sz="8" w:space="0" w:color="auto"/>
              <w:right w:val="nil"/>
            </w:tcBorders>
            <w:shd w:val="clear" w:color="auto" w:fill="auto"/>
            <w:noWrap/>
            <w:vAlign w:val="center"/>
            <w:hideMark/>
          </w:tcPr>
          <w:p w14:paraId="431D5208" w14:textId="77021D42" w:rsidR="00B574F2" w:rsidRPr="00FC2211" w:rsidRDefault="00B574F2" w:rsidP="00E71032">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(57</w:t>
            </w:r>
            <w:r w:rsidR="00E45C64" w:rsidRPr="00FC2211">
              <w:rPr>
                <w:rFonts w:ascii="Calibri" w:hAnsi="Calibri" w:cs="Calibri"/>
                <w:b/>
                <w:bCs/>
                <w:color w:val="000000"/>
                <w:szCs w:val="20"/>
                <w:lang w:val="en-CA" w:eastAsia="en-CA"/>
              </w:rPr>
              <w:t>3,230</w:t>
            </w:r>
            <w:r w:rsidRPr="00FC2211">
              <w:rPr>
                <w:rFonts w:ascii="Calibri" w:hAnsi="Calibri" w:cs="Calibri"/>
                <w:b/>
                <w:bCs/>
                <w:color w:val="000000"/>
                <w:szCs w:val="20"/>
                <w:lang w:val="en-CA" w:eastAsia="en-CA"/>
              </w:rPr>
              <w:t>)</w:t>
            </w:r>
          </w:p>
        </w:tc>
        <w:tc>
          <w:tcPr>
            <w:tcW w:w="1480" w:type="dxa"/>
            <w:tcBorders>
              <w:top w:val="nil"/>
              <w:left w:val="nil"/>
              <w:bottom w:val="single" w:sz="8" w:space="0" w:color="auto"/>
              <w:right w:val="nil"/>
            </w:tcBorders>
            <w:shd w:val="clear" w:color="auto" w:fill="auto"/>
            <w:noWrap/>
            <w:vAlign w:val="center"/>
            <w:hideMark/>
          </w:tcPr>
          <w:p w14:paraId="56E0E5A8" w14:textId="0D2BBFBF" w:rsidR="00B574F2" w:rsidRPr="00FC2211" w:rsidRDefault="00B574F2" w:rsidP="00E71032">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(948,555)</w:t>
            </w:r>
          </w:p>
        </w:tc>
        <w:tc>
          <w:tcPr>
            <w:tcW w:w="1400" w:type="dxa"/>
            <w:tcBorders>
              <w:top w:val="nil"/>
              <w:left w:val="nil"/>
              <w:bottom w:val="single" w:sz="8" w:space="0" w:color="auto"/>
              <w:right w:val="nil"/>
            </w:tcBorders>
            <w:shd w:val="clear" w:color="auto" w:fill="auto"/>
            <w:noWrap/>
            <w:vAlign w:val="center"/>
            <w:hideMark/>
          </w:tcPr>
          <w:p w14:paraId="0CD73553" w14:textId="26CDFD76" w:rsidR="00B574F2" w:rsidRPr="00FC2211" w:rsidRDefault="00B574F2" w:rsidP="00E71032">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(1,268,</w:t>
            </w:r>
            <w:r w:rsidR="00E45C64" w:rsidRPr="00FC2211">
              <w:rPr>
                <w:rFonts w:ascii="Calibri" w:hAnsi="Calibri" w:cs="Calibri"/>
                <w:b/>
                <w:bCs/>
                <w:color w:val="000000"/>
                <w:szCs w:val="20"/>
                <w:lang w:val="en-CA" w:eastAsia="en-CA"/>
              </w:rPr>
              <w:t>853</w:t>
            </w:r>
            <w:r w:rsidRPr="00FC2211">
              <w:rPr>
                <w:rFonts w:ascii="Calibri" w:hAnsi="Calibri" w:cs="Calibri"/>
                <w:b/>
                <w:bCs/>
                <w:color w:val="000000"/>
                <w:szCs w:val="20"/>
                <w:lang w:val="en-CA" w:eastAsia="en-CA"/>
              </w:rPr>
              <w:t>)</w:t>
            </w:r>
          </w:p>
        </w:tc>
        <w:tc>
          <w:tcPr>
            <w:tcW w:w="1400" w:type="dxa"/>
            <w:tcBorders>
              <w:top w:val="nil"/>
              <w:left w:val="nil"/>
              <w:bottom w:val="single" w:sz="8" w:space="0" w:color="auto"/>
              <w:right w:val="nil"/>
            </w:tcBorders>
            <w:shd w:val="clear" w:color="auto" w:fill="auto"/>
            <w:noWrap/>
            <w:vAlign w:val="center"/>
            <w:hideMark/>
          </w:tcPr>
          <w:p w14:paraId="37257C15" w14:textId="59285781" w:rsidR="00B574F2" w:rsidRPr="00FC2211" w:rsidRDefault="00B574F2" w:rsidP="00E71032">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(1,545,733)</w:t>
            </w:r>
          </w:p>
        </w:tc>
      </w:tr>
      <w:tr w:rsidR="00B574F2" w:rsidRPr="00FC2211" w14:paraId="6E04DC66" w14:textId="77777777" w:rsidTr="00820355">
        <w:trPr>
          <w:trHeight w:val="108"/>
          <w:jc w:val="center"/>
        </w:trPr>
        <w:tc>
          <w:tcPr>
            <w:tcW w:w="4780" w:type="dxa"/>
            <w:tcBorders>
              <w:top w:val="nil"/>
              <w:left w:val="nil"/>
              <w:bottom w:val="nil"/>
              <w:right w:val="nil"/>
            </w:tcBorders>
            <w:shd w:val="clear" w:color="auto" w:fill="auto"/>
            <w:noWrap/>
            <w:vAlign w:val="center"/>
            <w:hideMark/>
          </w:tcPr>
          <w:p w14:paraId="4AB1E410" w14:textId="77777777" w:rsidR="00B574F2" w:rsidRPr="00FC2211" w:rsidRDefault="00B574F2" w:rsidP="00B574F2">
            <w:pPr>
              <w:jc w:val="right"/>
              <w:rPr>
                <w:rFonts w:ascii="Calibri" w:hAnsi="Calibri" w:cs="Calibri"/>
                <w:color w:val="000000"/>
                <w:szCs w:val="20"/>
                <w:lang w:val="en-CA" w:eastAsia="en-CA"/>
              </w:rPr>
            </w:pPr>
          </w:p>
        </w:tc>
        <w:tc>
          <w:tcPr>
            <w:tcW w:w="1177" w:type="dxa"/>
            <w:tcBorders>
              <w:top w:val="nil"/>
              <w:left w:val="nil"/>
              <w:bottom w:val="nil"/>
              <w:right w:val="nil"/>
            </w:tcBorders>
            <w:shd w:val="clear" w:color="auto" w:fill="auto"/>
            <w:noWrap/>
            <w:vAlign w:val="center"/>
            <w:hideMark/>
          </w:tcPr>
          <w:p w14:paraId="25870A36" w14:textId="77777777" w:rsidR="00B574F2" w:rsidRPr="00FC2211" w:rsidRDefault="00B574F2" w:rsidP="00B574F2">
            <w:pPr>
              <w:rPr>
                <w:rFonts w:ascii="Times New Roman" w:hAnsi="Times New Roman"/>
                <w:szCs w:val="20"/>
                <w:lang w:val="en-CA" w:eastAsia="en-CA"/>
              </w:rPr>
            </w:pPr>
          </w:p>
        </w:tc>
        <w:tc>
          <w:tcPr>
            <w:tcW w:w="1273" w:type="dxa"/>
            <w:tcBorders>
              <w:top w:val="nil"/>
              <w:left w:val="nil"/>
              <w:bottom w:val="nil"/>
              <w:right w:val="nil"/>
            </w:tcBorders>
            <w:shd w:val="clear" w:color="auto" w:fill="auto"/>
            <w:noWrap/>
            <w:vAlign w:val="center"/>
            <w:hideMark/>
          </w:tcPr>
          <w:p w14:paraId="489F8FA2" w14:textId="77777777" w:rsidR="00B574F2" w:rsidRPr="00FC2211" w:rsidRDefault="00B574F2" w:rsidP="00B574F2">
            <w:pPr>
              <w:jc w:val="right"/>
              <w:rPr>
                <w:rFonts w:ascii="Times New Roman" w:hAnsi="Times New Roman"/>
                <w:szCs w:val="20"/>
                <w:lang w:val="en-CA" w:eastAsia="en-CA"/>
              </w:rPr>
            </w:pPr>
          </w:p>
        </w:tc>
        <w:tc>
          <w:tcPr>
            <w:tcW w:w="1480" w:type="dxa"/>
            <w:tcBorders>
              <w:top w:val="nil"/>
              <w:left w:val="nil"/>
              <w:bottom w:val="nil"/>
              <w:right w:val="nil"/>
            </w:tcBorders>
            <w:shd w:val="clear" w:color="auto" w:fill="auto"/>
            <w:noWrap/>
            <w:vAlign w:val="center"/>
            <w:hideMark/>
          </w:tcPr>
          <w:p w14:paraId="2C5627C6" w14:textId="77777777" w:rsidR="00B574F2" w:rsidRPr="00FC2211" w:rsidRDefault="00B574F2" w:rsidP="00B574F2">
            <w:pPr>
              <w:jc w:val="right"/>
              <w:rPr>
                <w:rFonts w:ascii="Times New Roman" w:hAnsi="Times New Roman"/>
                <w:szCs w:val="20"/>
                <w:lang w:val="en-CA" w:eastAsia="en-CA"/>
              </w:rPr>
            </w:pPr>
          </w:p>
        </w:tc>
        <w:tc>
          <w:tcPr>
            <w:tcW w:w="1400" w:type="dxa"/>
            <w:tcBorders>
              <w:top w:val="nil"/>
              <w:left w:val="nil"/>
              <w:bottom w:val="nil"/>
              <w:right w:val="nil"/>
            </w:tcBorders>
            <w:shd w:val="clear" w:color="auto" w:fill="auto"/>
            <w:noWrap/>
            <w:vAlign w:val="center"/>
            <w:hideMark/>
          </w:tcPr>
          <w:p w14:paraId="00409C51" w14:textId="77777777" w:rsidR="00B574F2" w:rsidRPr="00FC2211" w:rsidRDefault="00B574F2" w:rsidP="00B574F2">
            <w:pPr>
              <w:jc w:val="right"/>
              <w:rPr>
                <w:rFonts w:ascii="Times New Roman" w:hAnsi="Times New Roman"/>
                <w:szCs w:val="20"/>
                <w:lang w:val="en-CA" w:eastAsia="en-CA"/>
              </w:rPr>
            </w:pPr>
          </w:p>
        </w:tc>
        <w:tc>
          <w:tcPr>
            <w:tcW w:w="1400" w:type="dxa"/>
            <w:tcBorders>
              <w:top w:val="nil"/>
              <w:left w:val="nil"/>
              <w:bottom w:val="nil"/>
              <w:right w:val="nil"/>
            </w:tcBorders>
            <w:shd w:val="clear" w:color="auto" w:fill="auto"/>
            <w:noWrap/>
            <w:vAlign w:val="center"/>
            <w:hideMark/>
          </w:tcPr>
          <w:p w14:paraId="49B98A8B" w14:textId="77777777" w:rsidR="00B574F2" w:rsidRPr="00FC2211" w:rsidRDefault="00B574F2" w:rsidP="00B574F2">
            <w:pPr>
              <w:jc w:val="right"/>
              <w:rPr>
                <w:rFonts w:ascii="Times New Roman" w:hAnsi="Times New Roman"/>
                <w:szCs w:val="20"/>
                <w:lang w:val="en-CA" w:eastAsia="en-CA"/>
              </w:rPr>
            </w:pPr>
          </w:p>
        </w:tc>
      </w:tr>
      <w:tr w:rsidR="00B574F2" w:rsidRPr="00FC2211" w14:paraId="1A71EFA5" w14:textId="77777777" w:rsidTr="00820355">
        <w:trPr>
          <w:trHeight w:val="276"/>
          <w:jc w:val="center"/>
        </w:trPr>
        <w:tc>
          <w:tcPr>
            <w:tcW w:w="4780" w:type="dxa"/>
            <w:tcBorders>
              <w:top w:val="nil"/>
              <w:left w:val="nil"/>
              <w:bottom w:val="nil"/>
              <w:right w:val="nil"/>
            </w:tcBorders>
            <w:shd w:val="clear" w:color="auto" w:fill="auto"/>
            <w:noWrap/>
            <w:vAlign w:val="center"/>
            <w:hideMark/>
          </w:tcPr>
          <w:p w14:paraId="4B881E7A" w14:textId="34F29FE2" w:rsidR="00B574F2" w:rsidRPr="00FC2211" w:rsidRDefault="00B574F2" w:rsidP="00B574F2">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Other </w:t>
            </w:r>
            <w:r w:rsidR="00EB513C" w:rsidRPr="00FC2211">
              <w:rPr>
                <w:rFonts w:ascii="Calibri" w:hAnsi="Calibri" w:cs="Calibri"/>
                <w:b/>
                <w:bCs/>
                <w:color w:val="000000"/>
                <w:szCs w:val="20"/>
                <w:lang w:val="en-CA" w:eastAsia="en-CA"/>
              </w:rPr>
              <w:t>i</w:t>
            </w:r>
            <w:r w:rsidRPr="00FC2211">
              <w:rPr>
                <w:rFonts w:ascii="Calibri" w:hAnsi="Calibri" w:cs="Calibri"/>
                <w:b/>
                <w:bCs/>
                <w:color w:val="000000"/>
                <w:szCs w:val="20"/>
                <w:lang w:val="en-CA" w:eastAsia="en-CA"/>
              </w:rPr>
              <w:t>ncome (</w:t>
            </w:r>
            <w:r w:rsidR="00EB513C" w:rsidRPr="00FC2211">
              <w:rPr>
                <w:rFonts w:ascii="Calibri" w:hAnsi="Calibri" w:cs="Calibri"/>
                <w:b/>
                <w:bCs/>
                <w:color w:val="000000"/>
                <w:szCs w:val="20"/>
                <w:lang w:val="en-CA" w:eastAsia="en-CA"/>
              </w:rPr>
              <w:t>e</w:t>
            </w:r>
            <w:r w:rsidRPr="00FC2211">
              <w:rPr>
                <w:rFonts w:ascii="Calibri" w:hAnsi="Calibri" w:cs="Calibri"/>
                <w:b/>
                <w:bCs/>
                <w:color w:val="000000"/>
                <w:szCs w:val="20"/>
                <w:lang w:val="en-CA" w:eastAsia="en-CA"/>
              </w:rPr>
              <w:t>xpenses)</w:t>
            </w:r>
          </w:p>
        </w:tc>
        <w:tc>
          <w:tcPr>
            <w:tcW w:w="1177" w:type="dxa"/>
            <w:tcBorders>
              <w:top w:val="nil"/>
              <w:left w:val="nil"/>
              <w:bottom w:val="nil"/>
              <w:right w:val="nil"/>
            </w:tcBorders>
            <w:shd w:val="clear" w:color="auto" w:fill="auto"/>
            <w:noWrap/>
            <w:vAlign w:val="center"/>
            <w:hideMark/>
          </w:tcPr>
          <w:p w14:paraId="40061E0A" w14:textId="77777777" w:rsidR="00B574F2" w:rsidRPr="00FC2211" w:rsidRDefault="00B574F2" w:rsidP="00B574F2">
            <w:pPr>
              <w:rPr>
                <w:rFonts w:ascii="Calibri" w:hAnsi="Calibri" w:cs="Calibri"/>
                <w:b/>
                <w:bCs/>
                <w:color w:val="000000"/>
                <w:szCs w:val="20"/>
                <w:lang w:val="en-CA" w:eastAsia="en-CA"/>
              </w:rPr>
            </w:pPr>
          </w:p>
        </w:tc>
        <w:tc>
          <w:tcPr>
            <w:tcW w:w="1273" w:type="dxa"/>
            <w:tcBorders>
              <w:top w:val="nil"/>
              <w:left w:val="nil"/>
              <w:bottom w:val="nil"/>
              <w:right w:val="nil"/>
            </w:tcBorders>
            <w:shd w:val="clear" w:color="auto" w:fill="auto"/>
            <w:noWrap/>
            <w:vAlign w:val="center"/>
            <w:hideMark/>
          </w:tcPr>
          <w:p w14:paraId="45BB38CE" w14:textId="77777777" w:rsidR="00B574F2" w:rsidRPr="00FC2211" w:rsidRDefault="00B574F2" w:rsidP="00B574F2">
            <w:pPr>
              <w:jc w:val="right"/>
              <w:rPr>
                <w:rFonts w:ascii="Times New Roman" w:hAnsi="Times New Roman"/>
                <w:szCs w:val="20"/>
                <w:lang w:val="en-CA" w:eastAsia="en-CA"/>
              </w:rPr>
            </w:pPr>
          </w:p>
        </w:tc>
        <w:tc>
          <w:tcPr>
            <w:tcW w:w="1480" w:type="dxa"/>
            <w:tcBorders>
              <w:top w:val="nil"/>
              <w:left w:val="nil"/>
              <w:bottom w:val="nil"/>
              <w:right w:val="nil"/>
            </w:tcBorders>
            <w:shd w:val="clear" w:color="auto" w:fill="auto"/>
            <w:noWrap/>
            <w:vAlign w:val="center"/>
            <w:hideMark/>
          </w:tcPr>
          <w:p w14:paraId="3A7F0224" w14:textId="77777777" w:rsidR="00B574F2" w:rsidRPr="00FC2211" w:rsidRDefault="00B574F2" w:rsidP="00B574F2">
            <w:pPr>
              <w:jc w:val="right"/>
              <w:rPr>
                <w:rFonts w:ascii="Times New Roman" w:hAnsi="Times New Roman"/>
                <w:szCs w:val="20"/>
                <w:lang w:val="en-CA" w:eastAsia="en-CA"/>
              </w:rPr>
            </w:pPr>
          </w:p>
        </w:tc>
        <w:tc>
          <w:tcPr>
            <w:tcW w:w="1400" w:type="dxa"/>
            <w:tcBorders>
              <w:top w:val="nil"/>
              <w:left w:val="nil"/>
              <w:bottom w:val="nil"/>
              <w:right w:val="nil"/>
            </w:tcBorders>
            <w:shd w:val="clear" w:color="auto" w:fill="auto"/>
            <w:noWrap/>
            <w:vAlign w:val="center"/>
            <w:hideMark/>
          </w:tcPr>
          <w:p w14:paraId="3581E79C" w14:textId="77777777" w:rsidR="00B574F2" w:rsidRPr="00FC2211" w:rsidRDefault="00B574F2" w:rsidP="00B574F2">
            <w:pPr>
              <w:jc w:val="right"/>
              <w:rPr>
                <w:rFonts w:ascii="Times New Roman" w:hAnsi="Times New Roman"/>
                <w:szCs w:val="20"/>
                <w:lang w:val="en-CA" w:eastAsia="en-CA"/>
              </w:rPr>
            </w:pPr>
          </w:p>
        </w:tc>
        <w:tc>
          <w:tcPr>
            <w:tcW w:w="1400" w:type="dxa"/>
            <w:tcBorders>
              <w:top w:val="nil"/>
              <w:left w:val="nil"/>
              <w:bottom w:val="nil"/>
              <w:right w:val="nil"/>
            </w:tcBorders>
            <w:shd w:val="clear" w:color="auto" w:fill="auto"/>
            <w:noWrap/>
            <w:vAlign w:val="center"/>
            <w:hideMark/>
          </w:tcPr>
          <w:p w14:paraId="539F1EEB" w14:textId="77777777" w:rsidR="00B574F2" w:rsidRPr="00FC2211" w:rsidRDefault="00B574F2" w:rsidP="00B574F2">
            <w:pPr>
              <w:jc w:val="right"/>
              <w:rPr>
                <w:rFonts w:ascii="Times New Roman" w:hAnsi="Times New Roman"/>
                <w:szCs w:val="20"/>
                <w:lang w:val="en-CA" w:eastAsia="en-CA"/>
              </w:rPr>
            </w:pPr>
          </w:p>
        </w:tc>
      </w:tr>
      <w:tr w:rsidR="00B574F2" w:rsidRPr="00FC2211" w14:paraId="5463E59A" w14:textId="77777777" w:rsidTr="00820355">
        <w:trPr>
          <w:trHeight w:val="276"/>
          <w:jc w:val="center"/>
        </w:trPr>
        <w:tc>
          <w:tcPr>
            <w:tcW w:w="4780" w:type="dxa"/>
            <w:tcBorders>
              <w:top w:val="nil"/>
              <w:left w:val="nil"/>
              <w:bottom w:val="nil"/>
              <w:right w:val="nil"/>
            </w:tcBorders>
            <w:shd w:val="clear" w:color="auto" w:fill="auto"/>
            <w:vAlign w:val="center"/>
            <w:hideMark/>
          </w:tcPr>
          <w:p w14:paraId="2003515A" w14:textId="77777777" w:rsidR="00B574F2" w:rsidRPr="00FC2211" w:rsidRDefault="00B574F2" w:rsidP="00B574F2">
            <w:pPr>
              <w:rPr>
                <w:rFonts w:ascii="Calibri" w:hAnsi="Calibri" w:cs="Calibri"/>
                <w:color w:val="000000"/>
                <w:szCs w:val="20"/>
                <w:lang w:val="en-CA" w:eastAsia="en-CA"/>
              </w:rPr>
            </w:pPr>
            <w:r w:rsidRPr="00FC2211">
              <w:rPr>
                <w:rFonts w:ascii="Calibri" w:hAnsi="Calibri" w:cs="Calibri"/>
                <w:color w:val="000000"/>
                <w:szCs w:val="20"/>
                <w:lang w:val="en-CA" w:eastAsia="en-CA"/>
              </w:rPr>
              <w:t>Other income, net</w:t>
            </w:r>
          </w:p>
        </w:tc>
        <w:tc>
          <w:tcPr>
            <w:tcW w:w="1177" w:type="dxa"/>
            <w:tcBorders>
              <w:top w:val="nil"/>
              <w:left w:val="nil"/>
              <w:bottom w:val="nil"/>
              <w:right w:val="nil"/>
            </w:tcBorders>
            <w:shd w:val="clear" w:color="auto" w:fill="auto"/>
            <w:noWrap/>
            <w:vAlign w:val="bottom"/>
            <w:hideMark/>
          </w:tcPr>
          <w:p w14:paraId="3A54BD51" w14:textId="77777777" w:rsidR="00B574F2" w:rsidRPr="00FC2211" w:rsidRDefault="00B574F2" w:rsidP="00B574F2">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8</w:t>
            </w:r>
          </w:p>
        </w:tc>
        <w:tc>
          <w:tcPr>
            <w:tcW w:w="1273" w:type="dxa"/>
            <w:tcBorders>
              <w:top w:val="nil"/>
              <w:left w:val="nil"/>
              <w:bottom w:val="nil"/>
              <w:right w:val="nil"/>
            </w:tcBorders>
            <w:shd w:val="clear" w:color="auto" w:fill="auto"/>
            <w:noWrap/>
            <w:vAlign w:val="bottom"/>
            <w:hideMark/>
          </w:tcPr>
          <w:p w14:paraId="5FEF9B2C" w14:textId="6D90EB90" w:rsidR="00B574F2" w:rsidRPr="00FC2211" w:rsidRDefault="00B574F2" w:rsidP="005D6E40">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5D6E40" w:rsidRPr="00FC2211">
              <w:rPr>
                <w:rFonts w:ascii="Calibri" w:hAnsi="Calibri" w:cs="Calibri"/>
                <w:b/>
                <w:bCs/>
                <w:color w:val="000000"/>
                <w:szCs w:val="20"/>
                <w:lang w:val="en-CA" w:eastAsia="en-CA"/>
              </w:rPr>
              <w:t>(</w:t>
            </w:r>
            <w:r w:rsidR="00E45C64" w:rsidRPr="00FC2211">
              <w:rPr>
                <w:rFonts w:ascii="Calibri" w:hAnsi="Calibri" w:cs="Calibri"/>
                <w:b/>
                <w:bCs/>
                <w:color w:val="000000"/>
                <w:szCs w:val="20"/>
                <w:lang w:val="en-CA" w:eastAsia="en-CA"/>
              </w:rPr>
              <w:t>206</w:t>
            </w:r>
            <w:r w:rsidR="005D6E40" w:rsidRPr="00FC2211">
              <w:rPr>
                <w:rFonts w:ascii="Calibri" w:hAnsi="Calibri" w:cs="Calibri"/>
                <w:b/>
                <w:bCs/>
                <w:color w:val="000000"/>
                <w:szCs w:val="20"/>
                <w:lang w:val="en-CA" w:eastAsia="en-CA"/>
              </w:rPr>
              <w:t>)</w:t>
            </w:r>
            <w:r w:rsidRPr="00FC2211">
              <w:rPr>
                <w:rFonts w:ascii="Calibri" w:hAnsi="Calibri" w:cs="Calibri"/>
                <w:b/>
                <w:bCs/>
                <w:color w:val="000000"/>
                <w:szCs w:val="20"/>
                <w:lang w:val="en-CA" w:eastAsia="en-CA"/>
              </w:rPr>
              <w:t xml:space="preserve"> </w:t>
            </w:r>
          </w:p>
        </w:tc>
        <w:tc>
          <w:tcPr>
            <w:tcW w:w="1480" w:type="dxa"/>
            <w:tcBorders>
              <w:top w:val="nil"/>
              <w:left w:val="nil"/>
              <w:bottom w:val="nil"/>
              <w:right w:val="nil"/>
            </w:tcBorders>
            <w:shd w:val="clear" w:color="auto" w:fill="auto"/>
            <w:noWrap/>
            <w:vAlign w:val="center"/>
            <w:hideMark/>
          </w:tcPr>
          <w:p w14:paraId="0620E385" w14:textId="1941A19D" w:rsidR="00B574F2" w:rsidRPr="00FC2211" w:rsidRDefault="00B574F2" w:rsidP="00A559A4">
            <w:pPr>
              <w:ind w:right="153"/>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400" w:type="dxa"/>
            <w:tcBorders>
              <w:top w:val="nil"/>
              <w:left w:val="nil"/>
              <w:bottom w:val="nil"/>
              <w:right w:val="nil"/>
            </w:tcBorders>
            <w:shd w:val="clear" w:color="auto" w:fill="auto"/>
            <w:noWrap/>
            <w:vAlign w:val="center"/>
            <w:hideMark/>
          </w:tcPr>
          <w:p w14:paraId="36C51472" w14:textId="700A16A1" w:rsidR="00B574F2" w:rsidRPr="00FC2211" w:rsidRDefault="00B574F2" w:rsidP="00B574F2">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E45C64" w:rsidRPr="00FC2211">
              <w:rPr>
                <w:rFonts w:ascii="Calibri" w:hAnsi="Calibri" w:cs="Calibri"/>
                <w:b/>
                <w:bCs/>
                <w:color w:val="000000"/>
                <w:szCs w:val="20"/>
                <w:lang w:val="en-CA" w:eastAsia="en-CA"/>
              </w:rPr>
              <w:t>54</w:t>
            </w:r>
            <w:r w:rsidRPr="00FC2211">
              <w:rPr>
                <w:rFonts w:ascii="Calibri" w:hAnsi="Calibri" w:cs="Calibri"/>
                <w:b/>
                <w:bCs/>
                <w:color w:val="000000"/>
                <w:szCs w:val="20"/>
                <w:lang w:val="en-CA" w:eastAsia="en-CA"/>
              </w:rPr>
              <w:t xml:space="preserve">2 </w:t>
            </w:r>
          </w:p>
        </w:tc>
        <w:tc>
          <w:tcPr>
            <w:tcW w:w="1400" w:type="dxa"/>
            <w:tcBorders>
              <w:top w:val="nil"/>
              <w:left w:val="nil"/>
              <w:bottom w:val="nil"/>
              <w:right w:val="nil"/>
            </w:tcBorders>
            <w:shd w:val="clear" w:color="auto" w:fill="auto"/>
            <w:noWrap/>
            <w:vAlign w:val="center"/>
            <w:hideMark/>
          </w:tcPr>
          <w:p w14:paraId="41AE3CEB" w14:textId="43EFF8B9" w:rsidR="00B574F2" w:rsidRPr="00FC2211" w:rsidRDefault="00B574F2" w:rsidP="00A559A4">
            <w:pPr>
              <w:ind w:right="123"/>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r>
      <w:tr w:rsidR="00B574F2" w:rsidRPr="00FC2211" w14:paraId="2F4663F7" w14:textId="77777777" w:rsidTr="00820355">
        <w:trPr>
          <w:trHeight w:val="276"/>
          <w:jc w:val="center"/>
        </w:trPr>
        <w:tc>
          <w:tcPr>
            <w:tcW w:w="4780" w:type="dxa"/>
            <w:tcBorders>
              <w:top w:val="nil"/>
              <w:left w:val="nil"/>
              <w:bottom w:val="nil"/>
              <w:right w:val="nil"/>
            </w:tcBorders>
            <w:shd w:val="clear" w:color="auto" w:fill="auto"/>
            <w:noWrap/>
            <w:vAlign w:val="center"/>
            <w:hideMark/>
          </w:tcPr>
          <w:p w14:paraId="176C23CF" w14:textId="77777777" w:rsidR="00B574F2" w:rsidRPr="00FC2211" w:rsidRDefault="00B574F2" w:rsidP="00B574F2">
            <w:pPr>
              <w:rPr>
                <w:rFonts w:ascii="Calibri" w:hAnsi="Calibri" w:cs="Calibri"/>
                <w:color w:val="000000"/>
                <w:szCs w:val="20"/>
                <w:lang w:val="en-CA" w:eastAsia="en-CA"/>
              </w:rPr>
            </w:pPr>
            <w:r w:rsidRPr="00FC2211">
              <w:rPr>
                <w:rFonts w:ascii="Calibri" w:hAnsi="Calibri" w:cs="Calibri"/>
                <w:color w:val="000000"/>
                <w:szCs w:val="20"/>
                <w:lang w:val="en-CA" w:eastAsia="en-CA"/>
              </w:rPr>
              <w:t>Foreign exchange gain (loss)</w:t>
            </w:r>
          </w:p>
        </w:tc>
        <w:tc>
          <w:tcPr>
            <w:tcW w:w="1177" w:type="dxa"/>
            <w:tcBorders>
              <w:top w:val="nil"/>
              <w:left w:val="nil"/>
              <w:bottom w:val="nil"/>
              <w:right w:val="nil"/>
            </w:tcBorders>
            <w:shd w:val="clear" w:color="auto" w:fill="auto"/>
            <w:noWrap/>
            <w:vAlign w:val="center"/>
            <w:hideMark/>
          </w:tcPr>
          <w:p w14:paraId="2AA66E07" w14:textId="77777777" w:rsidR="00B574F2" w:rsidRPr="00FC2211" w:rsidRDefault="00B574F2" w:rsidP="00B574F2">
            <w:pPr>
              <w:rPr>
                <w:rFonts w:ascii="Calibri" w:hAnsi="Calibri" w:cs="Calibri"/>
                <w:color w:val="000000"/>
                <w:szCs w:val="20"/>
                <w:lang w:val="en-CA" w:eastAsia="en-CA"/>
              </w:rPr>
            </w:pPr>
          </w:p>
        </w:tc>
        <w:tc>
          <w:tcPr>
            <w:tcW w:w="1273" w:type="dxa"/>
            <w:tcBorders>
              <w:top w:val="nil"/>
              <w:left w:val="nil"/>
              <w:bottom w:val="nil"/>
              <w:right w:val="nil"/>
            </w:tcBorders>
            <w:shd w:val="clear" w:color="auto" w:fill="auto"/>
            <w:noWrap/>
            <w:vAlign w:val="center"/>
            <w:hideMark/>
          </w:tcPr>
          <w:p w14:paraId="4DD7D45D" w14:textId="79588131" w:rsidR="00B574F2" w:rsidRPr="00FC2211" w:rsidRDefault="00B574F2" w:rsidP="00E71032">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5D6E40" w:rsidRPr="00FC2211">
              <w:rPr>
                <w:rFonts w:ascii="Calibri" w:hAnsi="Calibri" w:cs="Calibri"/>
                <w:b/>
                <w:bCs/>
                <w:color w:val="000000"/>
                <w:szCs w:val="20"/>
                <w:lang w:val="en-CA" w:eastAsia="en-CA"/>
              </w:rPr>
              <w:t>6,625</w:t>
            </w:r>
            <w:r w:rsidRPr="00FC2211">
              <w:rPr>
                <w:rFonts w:ascii="Calibri" w:hAnsi="Calibri" w:cs="Calibri"/>
                <w:b/>
                <w:bCs/>
                <w:color w:val="000000"/>
                <w:szCs w:val="20"/>
                <w:lang w:val="en-CA" w:eastAsia="en-CA"/>
              </w:rPr>
              <w:t>)</w:t>
            </w:r>
          </w:p>
        </w:tc>
        <w:tc>
          <w:tcPr>
            <w:tcW w:w="1480" w:type="dxa"/>
            <w:tcBorders>
              <w:top w:val="nil"/>
              <w:left w:val="nil"/>
              <w:bottom w:val="nil"/>
              <w:right w:val="nil"/>
            </w:tcBorders>
            <w:shd w:val="clear" w:color="auto" w:fill="auto"/>
            <w:noWrap/>
            <w:vAlign w:val="center"/>
            <w:hideMark/>
          </w:tcPr>
          <w:p w14:paraId="6BFADB1C" w14:textId="6A5CDE84" w:rsidR="00B574F2" w:rsidRPr="00FC2211" w:rsidRDefault="00B574F2" w:rsidP="008162D3">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(5,480)</w:t>
            </w:r>
          </w:p>
        </w:tc>
        <w:tc>
          <w:tcPr>
            <w:tcW w:w="1400" w:type="dxa"/>
            <w:tcBorders>
              <w:top w:val="nil"/>
              <w:left w:val="nil"/>
              <w:bottom w:val="nil"/>
              <w:right w:val="nil"/>
            </w:tcBorders>
            <w:shd w:val="clear" w:color="auto" w:fill="auto"/>
            <w:noWrap/>
            <w:vAlign w:val="center"/>
            <w:hideMark/>
          </w:tcPr>
          <w:p w14:paraId="11B4AD85" w14:textId="489F4215" w:rsidR="00B574F2" w:rsidRPr="00FC2211" w:rsidRDefault="00B574F2" w:rsidP="008162D3">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2F2EAA">
              <w:rPr>
                <w:rFonts w:ascii="Calibri" w:hAnsi="Calibri" w:cs="Calibri"/>
                <w:b/>
                <w:bCs/>
                <w:color w:val="000000"/>
                <w:szCs w:val="20"/>
                <w:lang w:val="en-CA" w:eastAsia="en-CA"/>
              </w:rPr>
              <w:t>9,924</w:t>
            </w:r>
            <w:r w:rsidRPr="00FC2211">
              <w:rPr>
                <w:rFonts w:ascii="Calibri" w:hAnsi="Calibri" w:cs="Calibri"/>
                <w:b/>
                <w:bCs/>
                <w:color w:val="000000"/>
                <w:szCs w:val="20"/>
                <w:lang w:val="en-CA" w:eastAsia="en-CA"/>
              </w:rPr>
              <w:t>)</w:t>
            </w:r>
          </w:p>
        </w:tc>
        <w:tc>
          <w:tcPr>
            <w:tcW w:w="1400" w:type="dxa"/>
            <w:tcBorders>
              <w:top w:val="nil"/>
              <w:left w:val="nil"/>
              <w:bottom w:val="nil"/>
              <w:right w:val="nil"/>
            </w:tcBorders>
            <w:shd w:val="clear" w:color="auto" w:fill="auto"/>
            <w:noWrap/>
            <w:vAlign w:val="center"/>
            <w:hideMark/>
          </w:tcPr>
          <w:p w14:paraId="5B7193F7" w14:textId="68259876" w:rsidR="00B574F2" w:rsidRPr="00FC2211" w:rsidRDefault="00B574F2" w:rsidP="00B574F2">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8,439 </w:t>
            </w:r>
          </w:p>
        </w:tc>
      </w:tr>
      <w:tr w:rsidR="00B574F2" w:rsidRPr="00FC2211" w14:paraId="6F84E229" w14:textId="77777777" w:rsidTr="00820355">
        <w:trPr>
          <w:trHeight w:val="288"/>
          <w:jc w:val="center"/>
        </w:trPr>
        <w:tc>
          <w:tcPr>
            <w:tcW w:w="4780" w:type="dxa"/>
            <w:tcBorders>
              <w:top w:val="nil"/>
              <w:left w:val="nil"/>
              <w:bottom w:val="nil"/>
              <w:right w:val="nil"/>
            </w:tcBorders>
            <w:shd w:val="clear" w:color="auto" w:fill="auto"/>
            <w:noWrap/>
            <w:vAlign w:val="center"/>
            <w:hideMark/>
          </w:tcPr>
          <w:p w14:paraId="3A75D086" w14:textId="77777777" w:rsidR="00B574F2" w:rsidRPr="00FC2211" w:rsidRDefault="00B574F2" w:rsidP="00B574F2">
            <w:pPr>
              <w:rPr>
                <w:rFonts w:ascii="Calibri" w:hAnsi="Calibri" w:cs="Calibri"/>
                <w:color w:val="000000"/>
                <w:szCs w:val="20"/>
                <w:lang w:val="en-CA" w:eastAsia="en-CA"/>
              </w:rPr>
            </w:pPr>
            <w:r w:rsidRPr="00FC2211">
              <w:rPr>
                <w:rFonts w:ascii="Calibri" w:hAnsi="Calibri" w:cs="Calibri"/>
                <w:color w:val="000000"/>
                <w:szCs w:val="20"/>
                <w:lang w:val="en-CA" w:eastAsia="en-CA"/>
              </w:rPr>
              <w:t>Interest expense, net</w:t>
            </w:r>
          </w:p>
        </w:tc>
        <w:tc>
          <w:tcPr>
            <w:tcW w:w="1177" w:type="dxa"/>
            <w:tcBorders>
              <w:top w:val="nil"/>
              <w:left w:val="nil"/>
              <w:bottom w:val="nil"/>
              <w:right w:val="nil"/>
            </w:tcBorders>
            <w:shd w:val="clear" w:color="auto" w:fill="auto"/>
            <w:noWrap/>
            <w:vAlign w:val="center"/>
            <w:hideMark/>
          </w:tcPr>
          <w:p w14:paraId="54CD7DB2" w14:textId="77777777" w:rsidR="00B574F2" w:rsidRPr="00FC2211" w:rsidRDefault="00B574F2" w:rsidP="00B574F2">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11,12,13,14</w:t>
            </w:r>
          </w:p>
        </w:tc>
        <w:tc>
          <w:tcPr>
            <w:tcW w:w="1273" w:type="dxa"/>
            <w:tcBorders>
              <w:top w:val="nil"/>
              <w:left w:val="nil"/>
              <w:bottom w:val="nil"/>
              <w:right w:val="nil"/>
            </w:tcBorders>
            <w:shd w:val="clear" w:color="auto" w:fill="auto"/>
            <w:noWrap/>
            <w:vAlign w:val="center"/>
            <w:hideMark/>
          </w:tcPr>
          <w:p w14:paraId="6A5BE769" w14:textId="4F8D8FE3" w:rsidR="00B574F2" w:rsidRPr="00FC2211" w:rsidRDefault="00B574F2" w:rsidP="008162D3">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(6</w:t>
            </w:r>
            <w:r w:rsidR="00DB79BB" w:rsidRPr="00FC2211">
              <w:rPr>
                <w:rFonts w:ascii="Calibri" w:hAnsi="Calibri" w:cs="Calibri"/>
                <w:b/>
                <w:bCs/>
                <w:color w:val="000000"/>
                <w:szCs w:val="20"/>
                <w:lang w:val="en-CA" w:eastAsia="en-CA"/>
              </w:rPr>
              <w:t>3,274</w:t>
            </w:r>
            <w:r w:rsidRPr="00FC2211">
              <w:rPr>
                <w:rFonts w:ascii="Calibri" w:hAnsi="Calibri" w:cs="Calibri"/>
                <w:b/>
                <w:bCs/>
                <w:color w:val="000000"/>
                <w:szCs w:val="20"/>
                <w:lang w:val="en-CA" w:eastAsia="en-CA"/>
              </w:rPr>
              <w:t>)</w:t>
            </w:r>
          </w:p>
        </w:tc>
        <w:tc>
          <w:tcPr>
            <w:tcW w:w="1480" w:type="dxa"/>
            <w:tcBorders>
              <w:top w:val="nil"/>
              <w:left w:val="nil"/>
              <w:bottom w:val="nil"/>
              <w:right w:val="nil"/>
            </w:tcBorders>
            <w:shd w:val="clear" w:color="auto" w:fill="auto"/>
            <w:noWrap/>
            <w:vAlign w:val="center"/>
            <w:hideMark/>
          </w:tcPr>
          <w:p w14:paraId="62C98780" w14:textId="6E8B39C6" w:rsidR="00B574F2" w:rsidRPr="00FC2211" w:rsidRDefault="00B574F2" w:rsidP="008162D3">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(27,672)</w:t>
            </w:r>
          </w:p>
        </w:tc>
        <w:tc>
          <w:tcPr>
            <w:tcW w:w="1400" w:type="dxa"/>
            <w:tcBorders>
              <w:top w:val="nil"/>
              <w:left w:val="nil"/>
              <w:bottom w:val="nil"/>
              <w:right w:val="nil"/>
            </w:tcBorders>
            <w:shd w:val="clear" w:color="auto" w:fill="auto"/>
            <w:noWrap/>
            <w:vAlign w:val="center"/>
            <w:hideMark/>
          </w:tcPr>
          <w:p w14:paraId="686029F7" w14:textId="5C455787" w:rsidR="00B574F2" w:rsidRPr="00FC2211" w:rsidRDefault="00B574F2" w:rsidP="008162D3">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(115,640)</w:t>
            </w:r>
          </w:p>
        </w:tc>
        <w:tc>
          <w:tcPr>
            <w:tcW w:w="1400" w:type="dxa"/>
            <w:tcBorders>
              <w:top w:val="nil"/>
              <w:left w:val="nil"/>
              <w:bottom w:val="nil"/>
              <w:right w:val="nil"/>
            </w:tcBorders>
            <w:shd w:val="clear" w:color="auto" w:fill="auto"/>
            <w:noWrap/>
            <w:vAlign w:val="center"/>
            <w:hideMark/>
          </w:tcPr>
          <w:p w14:paraId="4C36DB38" w14:textId="77AC665D" w:rsidR="00B574F2" w:rsidRPr="00FC2211" w:rsidRDefault="00B574F2" w:rsidP="008162D3">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(35,027)</w:t>
            </w:r>
          </w:p>
        </w:tc>
      </w:tr>
      <w:tr w:rsidR="00B574F2" w:rsidRPr="00FC2211" w14:paraId="43982B8B" w14:textId="77777777" w:rsidTr="00820355">
        <w:trPr>
          <w:trHeight w:val="288"/>
          <w:jc w:val="center"/>
        </w:trPr>
        <w:tc>
          <w:tcPr>
            <w:tcW w:w="4780" w:type="dxa"/>
            <w:tcBorders>
              <w:top w:val="single" w:sz="8" w:space="0" w:color="auto"/>
              <w:left w:val="nil"/>
              <w:bottom w:val="nil"/>
              <w:right w:val="nil"/>
            </w:tcBorders>
            <w:shd w:val="clear" w:color="auto" w:fill="auto"/>
            <w:noWrap/>
            <w:vAlign w:val="center"/>
            <w:hideMark/>
          </w:tcPr>
          <w:p w14:paraId="57E53189" w14:textId="77777777" w:rsidR="00B574F2" w:rsidRPr="00FC2211" w:rsidRDefault="00B574F2" w:rsidP="00B574F2">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177" w:type="dxa"/>
            <w:tcBorders>
              <w:top w:val="single" w:sz="8" w:space="0" w:color="auto"/>
              <w:left w:val="nil"/>
              <w:bottom w:val="nil"/>
              <w:right w:val="nil"/>
            </w:tcBorders>
            <w:shd w:val="clear" w:color="auto" w:fill="auto"/>
            <w:noWrap/>
            <w:vAlign w:val="center"/>
            <w:hideMark/>
          </w:tcPr>
          <w:p w14:paraId="0EAA2B51" w14:textId="77777777" w:rsidR="00B574F2" w:rsidRPr="00FC2211" w:rsidRDefault="00B574F2" w:rsidP="00B574F2">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 </w:t>
            </w:r>
          </w:p>
        </w:tc>
        <w:tc>
          <w:tcPr>
            <w:tcW w:w="1273" w:type="dxa"/>
            <w:tcBorders>
              <w:top w:val="single" w:sz="8" w:space="0" w:color="auto"/>
              <w:left w:val="nil"/>
              <w:bottom w:val="nil"/>
              <w:right w:val="nil"/>
            </w:tcBorders>
            <w:shd w:val="clear" w:color="auto" w:fill="auto"/>
            <w:noWrap/>
            <w:vAlign w:val="center"/>
            <w:hideMark/>
          </w:tcPr>
          <w:p w14:paraId="314C6E09" w14:textId="7120D875" w:rsidR="00B574F2" w:rsidRPr="00FC2211" w:rsidRDefault="00B574F2" w:rsidP="008162D3">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(70,</w:t>
            </w:r>
            <w:r w:rsidR="00E45C64" w:rsidRPr="00FC2211">
              <w:rPr>
                <w:rFonts w:ascii="Calibri" w:hAnsi="Calibri" w:cs="Calibri"/>
                <w:b/>
                <w:bCs/>
                <w:color w:val="000000"/>
                <w:szCs w:val="20"/>
                <w:lang w:val="en-CA" w:eastAsia="en-CA"/>
              </w:rPr>
              <w:t>105</w:t>
            </w:r>
            <w:r w:rsidRPr="00FC2211">
              <w:rPr>
                <w:rFonts w:ascii="Calibri" w:hAnsi="Calibri" w:cs="Calibri"/>
                <w:b/>
                <w:bCs/>
                <w:color w:val="000000"/>
                <w:szCs w:val="20"/>
                <w:lang w:val="en-CA" w:eastAsia="en-CA"/>
              </w:rPr>
              <w:t>)</w:t>
            </w:r>
          </w:p>
        </w:tc>
        <w:tc>
          <w:tcPr>
            <w:tcW w:w="1480" w:type="dxa"/>
            <w:tcBorders>
              <w:top w:val="single" w:sz="8" w:space="0" w:color="auto"/>
              <w:left w:val="nil"/>
              <w:bottom w:val="nil"/>
              <w:right w:val="nil"/>
            </w:tcBorders>
            <w:shd w:val="clear" w:color="auto" w:fill="auto"/>
            <w:noWrap/>
            <w:vAlign w:val="center"/>
            <w:hideMark/>
          </w:tcPr>
          <w:p w14:paraId="5C261E2B" w14:textId="369E8C95" w:rsidR="00B574F2" w:rsidRPr="00FC2211" w:rsidRDefault="00B574F2" w:rsidP="008162D3">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(33,152)</w:t>
            </w:r>
          </w:p>
        </w:tc>
        <w:tc>
          <w:tcPr>
            <w:tcW w:w="1400" w:type="dxa"/>
            <w:tcBorders>
              <w:top w:val="single" w:sz="8" w:space="0" w:color="auto"/>
              <w:left w:val="nil"/>
              <w:bottom w:val="nil"/>
              <w:right w:val="nil"/>
            </w:tcBorders>
            <w:shd w:val="clear" w:color="auto" w:fill="auto"/>
            <w:noWrap/>
            <w:vAlign w:val="center"/>
            <w:hideMark/>
          </w:tcPr>
          <w:p w14:paraId="3D603BBA" w14:textId="139193DB" w:rsidR="00B574F2" w:rsidRPr="00FC2211" w:rsidRDefault="00B574F2" w:rsidP="008162D3">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(125,</w:t>
            </w:r>
            <w:r w:rsidR="00E45C64" w:rsidRPr="00FC2211">
              <w:rPr>
                <w:rFonts w:ascii="Calibri" w:hAnsi="Calibri" w:cs="Calibri"/>
                <w:b/>
                <w:bCs/>
                <w:color w:val="000000"/>
                <w:szCs w:val="20"/>
                <w:lang w:val="en-CA" w:eastAsia="en-CA"/>
              </w:rPr>
              <w:t>022</w:t>
            </w:r>
            <w:r w:rsidRPr="00FC2211">
              <w:rPr>
                <w:rFonts w:ascii="Calibri" w:hAnsi="Calibri" w:cs="Calibri"/>
                <w:b/>
                <w:bCs/>
                <w:color w:val="000000"/>
                <w:szCs w:val="20"/>
                <w:lang w:val="en-CA" w:eastAsia="en-CA"/>
              </w:rPr>
              <w:t>)</w:t>
            </w:r>
          </w:p>
        </w:tc>
        <w:tc>
          <w:tcPr>
            <w:tcW w:w="1400" w:type="dxa"/>
            <w:tcBorders>
              <w:top w:val="single" w:sz="8" w:space="0" w:color="auto"/>
              <w:left w:val="nil"/>
              <w:bottom w:val="nil"/>
              <w:right w:val="nil"/>
            </w:tcBorders>
            <w:shd w:val="clear" w:color="auto" w:fill="auto"/>
            <w:noWrap/>
            <w:vAlign w:val="center"/>
            <w:hideMark/>
          </w:tcPr>
          <w:p w14:paraId="2FE01BD3" w14:textId="042BFD7D" w:rsidR="00B574F2" w:rsidRPr="00FC2211" w:rsidRDefault="00B574F2" w:rsidP="008162D3">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(26,588)</w:t>
            </w:r>
          </w:p>
        </w:tc>
      </w:tr>
      <w:tr w:rsidR="00B574F2" w:rsidRPr="00FC2211" w14:paraId="75F9085E" w14:textId="77777777" w:rsidTr="00820355">
        <w:trPr>
          <w:trHeight w:val="288"/>
          <w:jc w:val="center"/>
        </w:trPr>
        <w:tc>
          <w:tcPr>
            <w:tcW w:w="4780" w:type="dxa"/>
            <w:tcBorders>
              <w:top w:val="single" w:sz="8" w:space="0" w:color="auto"/>
              <w:left w:val="nil"/>
              <w:bottom w:val="single" w:sz="8" w:space="0" w:color="auto"/>
              <w:right w:val="nil"/>
            </w:tcBorders>
            <w:shd w:val="clear" w:color="auto" w:fill="auto"/>
            <w:noWrap/>
            <w:vAlign w:val="center"/>
            <w:hideMark/>
          </w:tcPr>
          <w:p w14:paraId="3FCB4EAF" w14:textId="77777777" w:rsidR="00B574F2" w:rsidRPr="00FC2211" w:rsidRDefault="00B574F2" w:rsidP="00B574F2">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Loss and comprehensive loss</w:t>
            </w:r>
          </w:p>
        </w:tc>
        <w:tc>
          <w:tcPr>
            <w:tcW w:w="1177" w:type="dxa"/>
            <w:tcBorders>
              <w:top w:val="single" w:sz="8" w:space="0" w:color="auto"/>
              <w:left w:val="nil"/>
              <w:bottom w:val="single" w:sz="8" w:space="0" w:color="auto"/>
              <w:right w:val="nil"/>
            </w:tcBorders>
            <w:shd w:val="clear" w:color="auto" w:fill="auto"/>
            <w:noWrap/>
            <w:vAlign w:val="center"/>
            <w:hideMark/>
          </w:tcPr>
          <w:p w14:paraId="75966B95" w14:textId="77777777" w:rsidR="00B574F2" w:rsidRPr="00FC2211" w:rsidRDefault="00B574F2" w:rsidP="00B574F2">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 </w:t>
            </w:r>
          </w:p>
        </w:tc>
        <w:tc>
          <w:tcPr>
            <w:tcW w:w="1273" w:type="dxa"/>
            <w:tcBorders>
              <w:top w:val="single" w:sz="8" w:space="0" w:color="auto"/>
              <w:left w:val="nil"/>
              <w:bottom w:val="single" w:sz="8" w:space="0" w:color="auto"/>
              <w:right w:val="nil"/>
            </w:tcBorders>
            <w:shd w:val="clear" w:color="auto" w:fill="auto"/>
            <w:noWrap/>
            <w:vAlign w:val="center"/>
            <w:hideMark/>
          </w:tcPr>
          <w:p w14:paraId="26AA356E" w14:textId="330AE70B" w:rsidR="00B574F2" w:rsidRPr="00FC2211" w:rsidRDefault="00B574F2" w:rsidP="008162D3">
            <w:pPr>
              <w:ind w:right="-62"/>
              <w:jc w:val="right"/>
              <w:rPr>
                <w:rFonts w:ascii="Calibri" w:hAnsi="Calibri" w:cs="Calibri"/>
                <w:b/>
                <w:bCs/>
                <w:szCs w:val="20"/>
                <w:lang w:val="en-CA" w:eastAsia="en-CA"/>
              </w:rPr>
            </w:pPr>
            <w:r w:rsidRPr="00FC2211">
              <w:rPr>
                <w:rFonts w:ascii="Calibri" w:hAnsi="Calibri" w:cs="Calibri"/>
                <w:b/>
                <w:bCs/>
                <w:szCs w:val="20"/>
                <w:lang w:val="en-CA" w:eastAsia="en-CA"/>
              </w:rPr>
              <w:t xml:space="preserve"> $    (64</w:t>
            </w:r>
            <w:r w:rsidR="00DB79BB" w:rsidRPr="00FC2211">
              <w:rPr>
                <w:rFonts w:ascii="Calibri" w:hAnsi="Calibri" w:cs="Calibri"/>
                <w:b/>
                <w:bCs/>
                <w:szCs w:val="20"/>
                <w:lang w:val="en-CA" w:eastAsia="en-CA"/>
              </w:rPr>
              <w:t>3,33</w:t>
            </w:r>
            <w:r w:rsidR="00E45C64" w:rsidRPr="00FC2211">
              <w:rPr>
                <w:rFonts w:ascii="Calibri" w:hAnsi="Calibri" w:cs="Calibri"/>
                <w:b/>
                <w:bCs/>
                <w:szCs w:val="20"/>
                <w:lang w:val="en-CA" w:eastAsia="en-CA"/>
              </w:rPr>
              <w:t>5</w:t>
            </w:r>
            <w:r w:rsidRPr="00FC2211">
              <w:rPr>
                <w:rFonts w:ascii="Calibri" w:hAnsi="Calibri" w:cs="Calibri"/>
                <w:b/>
                <w:bCs/>
                <w:szCs w:val="20"/>
                <w:lang w:val="en-CA" w:eastAsia="en-CA"/>
              </w:rPr>
              <w:t>)</w:t>
            </w:r>
          </w:p>
        </w:tc>
        <w:tc>
          <w:tcPr>
            <w:tcW w:w="1480" w:type="dxa"/>
            <w:tcBorders>
              <w:top w:val="single" w:sz="8" w:space="0" w:color="auto"/>
              <w:left w:val="nil"/>
              <w:bottom w:val="single" w:sz="8" w:space="0" w:color="auto"/>
              <w:right w:val="nil"/>
            </w:tcBorders>
            <w:shd w:val="clear" w:color="auto" w:fill="auto"/>
            <w:noWrap/>
            <w:vAlign w:val="center"/>
            <w:hideMark/>
          </w:tcPr>
          <w:p w14:paraId="6AD09201" w14:textId="15DCF5C5" w:rsidR="00B574F2" w:rsidRPr="00FC2211" w:rsidRDefault="00B574F2" w:rsidP="008162D3">
            <w:pPr>
              <w:ind w:right="-62"/>
              <w:jc w:val="right"/>
              <w:rPr>
                <w:rFonts w:ascii="Calibri" w:hAnsi="Calibri" w:cs="Calibri"/>
                <w:szCs w:val="20"/>
                <w:lang w:val="en-CA" w:eastAsia="en-CA"/>
              </w:rPr>
            </w:pPr>
            <w:r w:rsidRPr="00FC2211">
              <w:rPr>
                <w:rFonts w:ascii="Calibri" w:hAnsi="Calibri" w:cs="Calibri"/>
                <w:szCs w:val="20"/>
                <w:lang w:val="en-CA" w:eastAsia="en-CA"/>
              </w:rPr>
              <w:t xml:space="preserve"> $</w:t>
            </w:r>
            <w:r w:rsidR="00600237" w:rsidRPr="00FC2211">
              <w:rPr>
                <w:rFonts w:ascii="Calibri" w:hAnsi="Calibri" w:cs="Calibri"/>
                <w:szCs w:val="20"/>
                <w:lang w:val="en-CA" w:eastAsia="en-CA"/>
              </w:rPr>
              <w:t xml:space="preserve"> </w:t>
            </w:r>
            <w:r w:rsidRPr="00FC2211">
              <w:rPr>
                <w:rFonts w:ascii="Calibri" w:hAnsi="Calibri" w:cs="Calibri"/>
                <w:szCs w:val="20"/>
                <w:lang w:val="en-CA" w:eastAsia="en-CA"/>
              </w:rPr>
              <w:t xml:space="preserve">  (981,707)</w:t>
            </w:r>
          </w:p>
        </w:tc>
        <w:tc>
          <w:tcPr>
            <w:tcW w:w="1400" w:type="dxa"/>
            <w:tcBorders>
              <w:top w:val="single" w:sz="8" w:space="0" w:color="auto"/>
              <w:left w:val="nil"/>
              <w:bottom w:val="single" w:sz="8" w:space="0" w:color="auto"/>
              <w:right w:val="nil"/>
            </w:tcBorders>
            <w:shd w:val="clear" w:color="auto" w:fill="auto"/>
            <w:noWrap/>
            <w:vAlign w:val="center"/>
            <w:hideMark/>
          </w:tcPr>
          <w:p w14:paraId="5E7E106B" w14:textId="777CDCF7" w:rsidR="00B574F2" w:rsidRPr="00FC2211" w:rsidRDefault="00B574F2" w:rsidP="008162D3">
            <w:pPr>
              <w:ind w:right="-62"/>
              <w:jc w:val="right"/>
              <w:rPr>
                <w:rFonts w:ascii="Calibri" w:hAnsi="Calibri" w:cs="Calibri"/>
                <w:b/>
                <w:bCs/>
                <w:szCs w:val="20"/>
                <w:lang w:val="en-CA" w:eastAsia="en-CA"/>
              </w:rPr>
            </w:pPr>
            <w:r w:rsidRPr="00FC2211">
              <w:rPr>
                <w:rFonts w:ascii="Calibri" w:hAnsi="Calibri" w:cs="Calibri"/>
                <w:b/>
                <w:bCs/>
                <w:szCs w:val="20"/>
                <w:lang w:val="en-CA" w:eastAsia="en-CA"/>
              </w:rPr>
              <w:t xml:space="preserve"> $ (1,393,</w:t>
            </w:r>
            <w:r w:rsidR="00EB513C" w:rsidRPr="00FC2211">
              <w:rPr>
                <w:rFonts w:ascii="Calibri" w:hAnsi="Calibri" w:cs="Calibri"/>
                <w:b/>
                <w:bCs/>
                <w:szCs w:val="20"/>
                <w:lang w:val="en-CA" w:eastAsia="en-CA"/>
              </w:rPr>
              <w:t>875</w:t>
            </w:r>
            <w:r w:rsidRPr="00FC2211">
              <w:rPr>
                <w:rFonts w:ascii="Calibri" w:hAnsi="Calibri" w:cs="Calibri"/>
                <w:b/>
                <w:bCs/>
                <w:szCs w:val="20"/>
                <w:lang w:val="en-CA" w:eastAsia="en-CA"/>
              </w:rPr>
              <w:t>)</w:t>
            </w:r>
          </w:p>
        </w:tc>
        <w:tc>
          <w:tcPr>
            <w:tcW w:w="1400" w:type="dxa"/>
            <w:tcBorders>
              <w:top w:val="single" w:sz="8" w:space="0" w:color="auto"/>
              <w:left w:val="nil"/>
              <w:bottom w:val="single" w:sz="8" w:space="0" w:color="auto"/>
              <w:right w:val="nil"/>
            </w:tcBorders>
            <w:shd w:val="clear" w:color="auto" w:fill="auto"/>
            <w:noWrap/>
            <w:vAlign w:val="center"/>
            <w:hideMark/>
          </w:tcPr>
          <w:p w14:paraId="2548D3FB" w14:textId="52710B49" w:rsidR="00B574F2" w:rsidRPr="00FC2211" w:rsidRDefault="00B574F2" w:rsidP="008162D3">
            <w:pPr>
              <w:ind w:right="-62"/>
              <w:jc w:val="right"/>
              <w:rPr>
                <w:rFonts w:ascii="Calibri" w:hAnsi="Calibri" w:cs="Calibri"/>
                <w:szCs w:val="20"/>
                <w:lang w:val="en-CA" w:eastAsia="en-CA"/>
              </w:rPr>
            </w:pPr>
            <w:r w:rsidRPr="00FC2211">
              <w:rPr>
                <w:rFonts w:ascii="Calibri" w:hAnsi="Calibri" w:cs="Calibri"/>
                <w:szCs w:val="20"/>
                <w:lang w:val="en-CA" w:eastAsia="en-CA"/>
              </w:rPr>
              <w:t xml:space="preserve"> $ (1,572,321)</w:t>
            </w:r>
          </w:p>
        </w:tc>
      </w:tr>
      <w:tr w:rsidR="00B574F2" w:rsidRPr="00FC2211" w14:paraId="72FB4144" w14:textId="77777777" w:rsidTr="00820355">
        <w:trPr>
          <w:trHeight w:val="564"/>
          <w:jc w:val="center"/>
        </w:trPr>
        <w:tc>
          <w:tcPr>
            <w:tcW w:w="4780" w:type="dxa"/>
            <w:tcBorders>
              <w:top w:val="nil"/>
              <w:left w:val="nil"/>
              <w:bottom w:val="single" w:sz="8" w:space="0" w:color="auto"/>
              <w:right w:val="nil"/>
            </w:tcBorders>
            <w:shd w:val="clear" w:color="auto" w:fill="auto"/>
            <w:vAlign w:val="center"/>
            <w:hideMark/>
          </w:tcPr>
          <w:p w14:paraId="6DC2E339" w14:textId="77777777" w:rsidR="00B574F2" w:rsidRPr="00FC2211" w:rsidRDefault="00B574F2" w:rsidP="00B574F2">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Weighted average number of common shares outstanding  - basic and diluted</w:t>
            </w:r>
          </w:p>
        </w:tc>
        <w:tc>
          <w:tcPr>
            <w:tcW w:w="1177" w:type="dxa"/>
            <w:tcBorders>
              <w:top w:val="nil"/>
              <w:left w:val="nil"/>
              <w:bottom w:val="single" w:sz="8" w:space="0" w:color="auto"/>
              <w:right w:val="nil"/>
            </w:tcBorders>
            <w:shd w:val="clear" w:color="auto" w:fill="auto"/>
            <w:noWrap/>
            <w:vAlign w:val="center"/>
            <w:hideMark/>
          </w:tcPr>
          <w:p w14:paraId="68940342" w14:textId="77777777" w:rsidR="00B574F2" w:rsidRPr="00FC2211" w:rsidRDefault="00B574F2" w:rsidP="00B574F2">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 </w:t>
            </w:r>
          </w:p>
        </w:tc>
        <w:tc>
          <w:tcPr>
            <w:tcW w:w="1273" w:type="dxa"/>
            <w:tcBorders>
              <w:top w:val="nil"/>
              <w:left w:val="nil"/>
              <w:bottom w:val="single" w:sz="8" w:space="0" w:color="auto"/>
              <w:right w:val="nil"/>
            </w:tcBorders>
            <w:shd w:val="clear" w:color="auto" w:fill="auto"/>
            <w:noWrap/>
            <w:vAlign w:val="center"/>
            <w:hideMark/>
          </w:tcPr>
          <w:p w14:paraId="114DD711" w14:textId="1C4B0558" w:rsidR="00B574F2" w:rsidRPr="00FC2211" w:rsidRDefault="00B574F2" w:rsidP="00B574F2">
            <w:pPr>
              <w:jc w:val="right"/>
              <w:rPr>
                <w:rFonts w:ascii="Calibri" w:hAnsi="Calibri" w:cs="Calibri"/>
                <w:b/>
                <w:bCs/>
                <w:szCs w:val="20"/>
                <w:lang w:val="en-CA" w:eastAsia="en-CA"/>
              </w:rPr>
            </w:pPr>
            <w:r w:rsidRPr="00FC2211">
              <w:rPr>
                <w:rFonts w:ascii="Calibri" w:hAnsi="Calibri" w:cs="Calibri"/>
                <w:b/>
                <w:bCs/>
                <w:szCs w:val="20"/>
                <w:lang w:val="en-CA" w:eastAsia="en-CA"/>
              </w:rPr>
              <w:t xml:space="preserve">  76,143,709 </w:t>
            </w:r>
          </w:p>
        </w:tc>
        <w:tc>
          <w:tcPr>
            <w:tcW w:w="1480" w:type="dxa"/>
            <w:tcBorders>
              <w:top w:val="nil"/>
              <w:left w:val="nil"/>
              <w:bottom w:val="single" w:sz="8" w:space="0" w:color="auto"/>
              <w:right w:val="nil"/>
            </w:tcBorders>
            <w:shd w:val="clear" w:color="auto" w:fill="auto"/>
            <w:noWrap/>
            <w:vAlign w:val="center"/>
            <w:hideMark/>
          </w:tcPr>
          <w:p w14:paraId="724063B7" w14:textId="1B4AAC13" w:rsidR="00B574F2" w:rsidRPr="00FC2211" w:rsidRDefault="00B574F2" w:rsidP="00B574F2">
            <w:pPr>
              <w:jc w:val="right"/>
              <w:rPr>
                <w:rFonts w:ascii="Calibri" w:hAnsi="Calibri" w:cs="Calibri"/>
                <w:szCs w:val="20"/>
                <w:lang w:val="en-CA" w:eastAsia="en-CA"/>
              </w:rPr>
            </w:pPr>
            <w:r w:rsidRPr="00FC2211">
              <w:rPr>
                <w:rFonts w:ascii="Calibri" w:hAnsi="Calibri" w:cs="Calibri"/>
                <w:szCs w:val="20"/>
                <w:lang w:val="en-CA" w:eastAsia="en-CA"/>
              </w:rPr>
              <w:t xml:space="preserve">  67,820,107 </w:t>
            </w:r>
          </w:p>
        </w:tc>
        <w:tc>
          <w:tcPr>
            <w:tcW w:w="1400" w:type="dxa"/>
            <w:tcBorders>
              <w:top w:val="nil"/>
              <w:left w:val="nil"/>
              <w:bottom w:val="single" w:sz="8" w:space="0" w:color="auto"/>
              <w:right w:val="nil"/>
            </w:tcBorders>
            <w:shd w:val="clear" w:color="auto" w:fill="auto"/>
            <w:noWrap/>
            <w:vAlign w:val="center"/>
            <w:hideMark/>
          </w:tcPr>
          <w:p w14:paraId="2B3E5AB1" w14:textId="640009E1" w:rsidR="00B574F2" w:rsidRPr="00FC2211" w:rsidRDefault="00B574F2" w:rsidP="00B574F2">
            <w:pPr>
              <w:jc w:val="right"/>
              <w:rPr>
                <w:rFonts w:ascii="Calibri" w:hAnsi="Calibri" w:cs="Calibri"/>
                <w:b/>
                <w:bCs/>
                <w:szCs w:val="20"/>
                <w:lang w:val="en-CA" w:eastAsia="en-CA"/>
              </w:rPr>
            </w:pPr>
            <w:r w:rsidRPr="00FC2211">
              <w:rPr>
                <w:rFonts w:ascii="Calibri" w:hAnsi="Calibri" w:cs="Calibri"/>
                <w:b/>
                <w:bCs/>
                <w:szCs w:val="20"/>
                <w:lang w:val="en-CA" w:eastAsia="en-CA"/>
              </w:rPr>
              <w:t xml:space="preserve">  76,143,709 </w:t>
            </w:r>
          </w:p>
        </w:tc>
        <w:tc>
          <w:tcPr>
            <w:tcW w:w="1400" w:type="dxa"/>
            <w:tcBorders>
              <w:top w:val="nil"/>
              <w:left w:val="nil"/>
              <w:bottom w:val="single" w:sz="8" w:space="0" w:color="auto"/>
              <w:right w:val="nil"/>
            </w:tcBorders>
            <w:shd w:val="clear" w:color="auto" w:fill="auto"/>
            <w:noWrap/>
            <w:vAlign w:val="center"/>
            <w:hideMark/>
          </w:tcPr>
          <w:p w14:paraId="122A11D8" w14:textId="1BB71D57" w:rsidR="00B574F2" w:rsidRPr="00FC2211" w:rsidRDefault="00B574F2" w:rsidP="00B574F2">
            <w:pPr>
              <w:jc w:val="right"/>
              <w:rPr>
                <w:rFonts w:ascii="Calibri" w:hAnsi="Calibri" w:cs="Calibri"/>
                <w:szCs w:val="20"/>
                <w:lang w:val="en-CA" w:eastAsia="en-CA"/>
              </w:rPr>
            </w:pPr>
            <w:r w:rsidRPr="00FC2211">
              <w:rPr>
                <w:rFonts w:ascii="Calibri" w:hAnsi="Calibri" w:cs="Calibri"/>
                <w:szCs w:val="20"/>
                <w:lang w:val="en-CA" w:eastAsia="en-CA"/>
              </w:rPr>
              <w:t xml:space="preserve">  64,005,122 </w:t>
            </w:r>
          </w:p>
        </w:tc>
      </w:tr>
      <w:tr w:rsidR="00B574F2" w:rsidRPr="00FC2211" w14:paraId="598BA2AB" w14:textId="77777777" w:rsidTr="00820355">
        <w:trPr>
          <w:trHeight w:val="288"/>
          <w:jc w:val="center"/>
        </w:trPr>
        <w:tc>
          <w:tcPr>
            <w:tcW w:w="4780" w:type="dxa"/>
            <w:tcBorders>
              <w:top w:val="nil"/>
              <w:left w:val="nil"/>
              <w:bottom w:val="single" w:sz="8" w:space="0" w:color="auto"/>
              <w:right w:val="nil"/>
            </w:tcBorders>
            <w:shd w:val="clear" w:color="auto" w:fill="auto"/>
            <w:noWrap/>
            <w:vAlign w:val="center"/>
            <w:hideMark/>
          </w:tcPr>
          <w:p w14:paraId="2C03B794" w14:textId="77777777" w:rsidR="00B574F2" w:rsidRPr="00FC2211" w:rsidRDefault="00B574F2" w:rsidP="00B574F2">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Basic and diluted loss per share</w:t>
            </w:r>
          </w:p>
        </w:tc>
        <w:tc>
          <w:tcPr>
            <w:tcW w:w="1177" w:type="dxa"/>
            <w:tcBorders>
              <w:top w:val="nil"/>
              <w:left w:val="nil"/>
              <w:bottom w:val="single" w:sz="8" w:space="0" w:color="auto"/>
              <w:right w:val="nil"/>
            </w:tcBorders>
            <w:shd w:val="clear" w:color="auto" w:fill="auto"/>
            <w:noWrap/>
            <w:vAlign w:val="center"/>
            <w:hideMark/>
          </w:tcPr>
          <w:p w14:paraId="25A67592" w14:textId="77777777" w:rsidR="00B574F2" w:rsidRPr="00FC2211" w:rsidRDefault="00B574F2" w:rsidP="00B574F2">
            <w:pPr>
              <w:jc w:val="cente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273" w:type="dxa"/>
            <w:tcBorders>
              <w:top w:val="nil"/>
              <w:left w:val="nil"/>
              <w:bottom w:val="single" w:sz="8" w:space="0" w:color="auto"/>
              <w:right w:val="nil"/>
            </w:tcBorders>
            <w:shd w:val="clear" w:color="auto" w:fill="auto"/>
            <w:noWrap/>
            <w:vAlign w:val="center"/>
            <w:hideMark/>
          </w:tcPr>
          <w:p w14:paraId="7DF91C7B" w14:textId="4507D738" w:rsidR="00B574F2" w:rsidRPr="00FC2211" w:rsidRDefault="00B574F2" w:rsidP="008162D3">
            <w:pPr>
              <w:ind w:right="-62"/>
              <w:jc w:val="right"/>
              <w:rPr>
                <w:rFonts w:ascii="Calibri" w:hAnsi="Calibri" w:cs="Calibri"/>
                <w:b/>
                <w:bCs/>
                <w:szCs w:val="20"/>
                <w:lang w:val="en-CA" w:eastAsia="en-CA"/>
              </w:rPr>
            </w:pPr>
            <w:r w:rsidRPr="00FC2211">
              <w:rPr>
                <w:rFonts w:ascii="Calibri" w:hAnsi="Calibri" w:cs="Calibri"/>
                <w:b/>
                <w:bCs/>
                <w:szCs w:val="20"/>
                <w:lang w:val="en-CA" w:eastAsia="en-CA"/>
              </w:rPr>
              <w:t xml:space="preserve">      (0.01)</w:t>
            </w:r>
          </w:p>
        </w:tc>
        <w:tc>
          <w:tcPr>
            <w:tcW w:w="1480" w:type="dxa"/>
            <w:tcBorders>
              <w:top w:val="nil"/>
              <w:left w:val="nil"/>
              <w:bottom w:val="single" w:sz="8" w:space="0" w:color="auto"/>
              <w:right w:val="nil"/>
            </w:tcBorders>
            <w:shd w:val="clear" w:color="auto" w:fill="auto"/>
            <w:noWrap/>
            <w:vAlign w:val="center"/>
            <w:hideMark/>
          </w:tcPr>
          <w:p w14:paraId="58C68E99" w14:textId="1EAA7860" w:rsidR="00B574F2" w:rsidRPr="00FC2211" w:rsidRDefault="00B574F2" w:rsidP="008162D3">
            <w:pPr>
              <w:ind w:right="-62"/>
              <w:jc w:val="right"/>
              <w:rPr>
                <w:rFonts w:ascii="Calibri" w:hAnsi="Calibri" w:cs="Calibri"/>
                <w:szCs w:val="20"/>
                <w:lang w:val="en-CA" w:eastAsia="en-CA"/>
              </w:rPr>
            </w:pPr>
            <w:r w:rsidRPr="00FC2211">
              <w:rPr>
                <w:rFonts w:ascii="Calibri" w:hAnsi="Calibri" w:cs="Calibri"/>
                <w:szCs w:val="20"/>
                <w:lang w:val="en-CA" w:eastAsia="en-CA"/>
              </w:rPr>
              <w:t xml:space="preserve">          (0.01)</w:t>
            </w:r>
          </w:p>
        </w:tc>
        <w:tc>
          <w:tcPr>
            <w:tcW w:w="1400" w:type="dxa"/>
            <w:tcBorders>
              <w:top w:val="nil"/>
              <w:left w:val="nil"/>
              <w:bottom w:val="single" w:sz="8" w:space="0" w:color="auto"/>
              <w:right w:val="nil"/>
            </w:tcBorders>
            <w:shd w:val="clear" w:color="auto" w:fill="auto"/>
            <w:noWrap/>
            <w:vAlign w:val="center"/>
            <w:hideMark/>
          </w:tcPr>
          <w:p w14:paraId="54595D6C" w14:textId="7E5B02A4" w:rsidR="00B574F2" w:rsidRPr="00FC2211" w:rsidRDefault="00B574F2" w:rsidP="008162D3">
            <w:pPr>
              <w:ind w:right="-62"/>
              <w:jc w:val="right"/>
              <w:rPr>
                <w:rFonts w:ascii="Calibri" w:hAnsi="Calibri" w:cs="Calibri"/>
                <w:b/>
                <w:bCs/>
                <w:szCs w:val="20"/>
                <w:lang w:val="en-CA" w:eastAsia="en-CA"/>
              </w:rPr>
            </w:pPr>
            <w:r w:rsidRPr="00FC2211">
              <w:rPr>
                <w:rFonts w:ascii="Calibri" w:hAnsi="Calibri" w:cs="Calibri"/>
                <w:b/>
                <w:bCs/>
                <w:szCs w:val="20"/>
                <w:lang w:val="en-CA" w:eastAsia="en-CA"/>
              </w:rPr>
              <w:t xml:space="preserve">         (0.02)</w:t>
            </w:r>
          </w:p>
        </w:tc>
        <w:tc>
          <w:tcPr>
            <w:tcW w:w="1400" w:type="dxa"/>
            <w:tcBorders>
              <w:top w:val="nil"/>
              <w:left w:val="nil"/>
              <w:bottom w:val="single" w:sz="8" w:space="0" w:color="auto"/>
              <w:right w:val="nil"/>
            </w:tcBorders>
            <w:shd w:val="clear" w:color="auto" w:fill="auto"/>
            <w:noWrap/>
            <w:vAlign w:val="center"/>
            <w:hideMark/>
          </w:tcPr>
          <w:p w14:paraId="0361C9E9" w14:textId="7B80943B" w:rsidR="00B574F2" w:rsidRPr="00FC2211" w:rsidRDefault="00B574F2" w:rsidP="008162D3">
            <w:pPr>
              <w:ind w:right="-62"/>
              <w:jc w:val="right"/>
              <w:rPr>
                <w:rFonts w:ascii="Calibri" w:hAnsi="Calibri" w:cs="Calibri"/>
                <w:szCs w:val="20"/>
                <w:lang w:val="en-CA" w:eastAsia="en-CA"/>
              </w:rPr>
            </w:pPr>
            <w:r w:rsidRPr="00FC2211">
              <w:rPr>
                <w:rFonts w:ascii="Calibri" w:hAnsi="Calibri" w:cs="Calibri"/>
                <w:szCs w:val="20"/>
                <w:lang w:val="en-CA" w:eastAsia="en-CA"/>
              </w:rPr>
              <w:t xml:space="preserve">      (0.02)</w:t>
            </w:r>
          </w:p>
        </w:tc>
      </w:tr>
    </w:tbl>
    <w:p w14:paraId="00160F15" w14:textId="77777777" w:rsidR="00075FA9" w:rsidRPr="00FC2211" w:rsidRDefault="00075FA9" w:rsidP="00075FA9">
      <w:pPr>
        <w:jc w:val="center"/>
        <w:rPr>
          <w:rFonts w:cstheme="minorHAnsi"/>
          <w:szCs w:val="20"/>
        </w:rPr>
      </w:pPr>
    </w:p>
    <w:p w14:paraId="694D47AF" w14:textId="77777777" w:rsidR="000B5BA7" w:rsidRPr="00FC2211" w:rsidRDefault="000B5BA7" w:rsidP="00075FA9">
      <w:pPr>
        <w:jc w:val="center"/>
        <w:rPr>
          <w:rFonts w:cstheme="minorHAnsi"/>
          <w:szCs w:val="20"/>
        </w:rPr>
      </w:pPr>
    </w:p>
    <w:p w14:paraId="6CB4DDD0" w14:textId="77777777" w:rsidR="0035128F" w:rsidRPr="00FC2211" w:rsidRDefault="0035128F" w:rsidP="0035128F">
      <w:pPr>
        <w:jc w:val="center"/>
        <w:rPr>
          <w:rFonts w:cstheme="minorHAnsi"/>
          <w:szCs w:val="20"/>
        </w:rPr>
      </w:pPr>
      <w:r w:rsidRPr="00FC2211">
        <w:rPr>
          <w:rFonts w:cstheme="minorHAnsi"/>
          <w:szCs w:val="20"/>
        </w:rPr>
        <w:t>The accompanying notes are an integral part of these unaudited interim condensed consolidated financial statements.</w:t>
      </w:r>
    </w:p>
    <w:p w14:paraId="71AE70F1" w14:textId="77777777" w:rsidR="0035128F" w:rsidRPr="00FC2211" w:rsidRDefault="0035128F" w:rsidP="0035128F">
      <w:pPr>
        <w:jc w:val="center"/>
        <w:rPr>
          <w:rFonts w:cstheme="minorHAnsi"/>
          <w:szCs w:val="20"/>
        </w:rPr>
      </w:pPr>
    </w:p>
    <w:p w14:paraId="54C3E11C" w14:textId="35753667" w:rsidR="000B5BA7" w:rsidRPr="00FC2211" w:rsidRDefault="00537F43" w:rsidP="00075FA9">
      <w:pPr>
        <w:jc w:val="center"/>
        <w:rPr>
          <w:rFonts w:cstheme="minorHAnsi"/>
          <w:szCs w:val="20"/>
        </w:rPr>
        <w:sectPr w:rsidR="000B5BA7" w:rsidRPr="00FC2211" w:rsidSect="0081636B">
          <w:headerReference w:type="default" r:id="rId22"/>
          <w:pgSz w:w="15840" w:h="12240" w:orient="landscape" w:code="1"/>
          <w:pgMar w:top="907" w:right="1440" w:bottom="1440" w:left="1440" w:header="720" w:footer="1021" w:gutter="0"/>
          <w:cols w:space="720"/>
          <w:docGrid w:linePitch="360"/>
        </w:sectPr>
      </w:pPr>
      <w:r w:rsidRPr="00FC2211">
        <w:rPr>
          <w:rFonts w:cstheme="minorHAnsi"/>
          <w:szCs w:val="20"/>
        </w:rPr>
        <w:t>.</w:t>
      </w:r>
    </w:p>
    <w:tbl>
      <w:tblPr>
        <w:tblW w:w="12333" w:type="dxa"/>
        <w:tblLook w:val="04A0" w:firstRow="1" w:lastRow="0" w:firstColumn="1" w:lastColumn="0" w:noHBand="0" w:noVBand="1"/>
      </w:tblPr>
      <w:tblGrid>
        <w:gridCol w:w="3828"/>
        <w:gridCol w:w="850"/>
        <w:gridCol w:w="1559"/>
        <w:gridCol w:w="1418"/>
        <w:gridCol w:w="1416"/>
        <w:gridCol w:w="1561"/>
        <w:gridCol w:w="1701"/>
      </w:tblGrid>
      <w:tr w:rsidR="00A97E89" w:rsidRPr="00FC2211" w14:paraId="1B87EBC9" w14:textId="77777777" w:rsidTr="00A97E89">
        <w:trPr>
          <w:trHeight w:val="564"/>
        </w:trPr>
        <w:tc>
          <w:tcPr>
            <w:tcW w:w="3828" w:type="dxa"/>
            <w:tcBorders>
              <w:top w:val="nil"/>
              <w:left w:val="nil"/>
              <w:bottom w:val="nil"/>
              <w:right w:val="nil"/>
            </w:tcBorders>
            <w:shd w:val="clear" w:color="auto" w:fill="auto"/>
            <w:noWrap/>
            <w:vAlign w:val="center"/>
            <w:hideMark/>
          </w:tcPr>
          <w:p w14:paraId="59BEE9C1" w14:textId="77777777" w:rsidR="00A97E89" w:rsidRPr="00FC2211" w:rsidRDefault="00A97E89" w:rsidP="00BF7E68">
            <w:pPr>
              <w:rPr>
                <w:rFonts w:ascii="Times New Roman" w:hAnsi="Times New Roman"/>
                <w:sz w:val="24"/>
                <w:szCs w:val="20"/>
                <w:lang w:val="en-CA" w:eastAsia="en-CA"/>
              </w:rPr>
            </w:pPr>
          </w:p>
        </w:tc>
        <w:tc>
          <w:tcPr>
            <w:tcW w:w="850" w:type="dxa"/>
            <w:tcBorders>
              <w:top w:val="nil"/>
              <w:left w:val="nil"/>
              <w:bottom w:val="nil"/>
              <w:right w:val="nil"/>
            </w:tcBorders>
            <w:shd w:val="clear" w:color="auto" w:fill="auto"/>
            <w:noWrap/>
            <w:vAlign w:val="center"/>
            <w:hideMark/>
          </w:tcPr>
          <w:p w14:paraId="0C1A63FD" w14:textId="77777777" w:rsidR="00A97E89" w:rsidRPr="00FC2211" w:rsidRDefault="00A97E89" w:rsidP="00BF7E68">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Notes </w:t>
            </w:r>
          </w:p>
        </w:tc>
        <w:tc>
          <w:tcPr>
            <w:tcW w:w="1559" w:type="dxa"/>
            <w:tcBorders>
              <w:top w:val="nil"/>
              <w:left w:val="nil"/>
              <w:bottom w:val="nil"/>
              <w:right w:val="nil"/>
            </w:tcBorders>
            <w:shd w:val="clear" w:color="auto" w:fill="auto"/>
            <w:vAlign w:val="center"/>
            <w:hideMark/>
          </w:tcPr>
          <w:p w14:paraId="6B7A9056" w14:textId="77777777" w:rsidR="00A97E89" w:rsidRPr="00FC2211" w:rsidRDefault="00A97E89" w:rsidP="00BF7E68">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Number of shares </w:t>
            </w:r>
          </w:p>
        </w:tc>
        <w:tc>
          <w:tcPr>
            <w:tcW w:w="1418" w:type="dxa"/>
            <w:tcBorders>
              <w:top w:val="nil"/>
              <w:left w:val="nil"/>
              <w:bottom w:val="nil"/>
              <w:right w:val="nil"/>
            </w:tcBorders>
            <w:shd w:val="clear" w:color="auto" w:fill="auto"/>
            <w:noWrap/>
            <w:vAlign w:val="center"/>
            <w:hideMark/>
          </w:tcPr>
          <w:p w14:paraId="5800329E" w14:textId="77777777" w:rsidR="00A97E89" w:rsidRPr="00FC2211" w:rsidRDefault="00A97E89" w:rsidP="00BF7E68">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Amount </w:t>
            </w:r>
          </w:p>
        </w:tc>
        <w:tc>
          <w:tcPr>
            <w:tcW w:w="1416" w:type="dxa"/>
            <w:tcBorders>
              <w:top w:val="nil"/>
              <w:left w:val="nil"/>
              <w:bottom w:val="nil"/>
              <w:right w:val="nil"/>
            </w:tcBorders>
            <w:shd w:val="clear" w:color="auto" w:fill="auto"/>
            <w:noWrap/>
            <w:vAlign w:val="center"/>
            <w:hideMark/>
          </w:tcPr>
          <w:p w14:paraId="1AA2CF83" w14:textId="77777777" w:rsidR="00A97E89" w:rsidRPr="00FC2211" w:rsidRDefault="00A97E89" w:rsidP="00BF7E68">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Reserves </w:t>
            </w:r>
          </w:p>
        </w:tc>
        <w:tc>
          <w:tcPr>
            <w:tcW w:w="1561" w:type="dxa"/>
            <w:tcBorders>
              <w:top w:val="nil"/>
              <w:left w:val="nil"/>
              <w:bottom w:val="nil"/>
              <w:right w:val="nil"/>
            </w:tcBorders>
            <w:shd w:val="clear" w:color="auto" w:fill="auto"/>
            <w:noWrap/>
            <w:vAlign w:val="center"/>
            <w:hideMark/>
          </w:tcPr>
          <w:p w14:paraId="72FF8E95" w14:textId="77777777" w:rsidR="00A97E89" w:rsidRPr="00FC2211" w:rsidRDefault="00A97E89" w:rsidP="00BF7E68">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Deficit</w:t>
            </w:r>
          </w:p>
        </w:tc>
        <w:tc>
          <w:tcPr>
            <w:tcW w:w="1701" w:type="dxa"/>
            <w:tcBorders>
              <w:top w:val="nil"/>
              <w:left w:val="nil"/>
              <w:bottom w:val="nil"/>
              <w:right w:val="nil"/>
            </w:tcBorders>
            <w:shd w:val="clear" w:color="auto" w:fill="auto"/>
            <w:vAlign w:val="center"/>
            <w:hideMark/>
          </w:tcPr>
          <w:p w14:paraId="510DDA98" w14:textId="0973D4F2" w:rsidR="00A97E89" w:rsidRPr="00FC2211" w:rsidRDefault="00A97E89" w:rsidP="00BF7E68">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Total Shareholders' Equity</w:t>
            </w:r>
            <w:r w:rsidR="00D63E99" w:rsidRPr="00FC2211">
              <w:rPr>
                <w:rFonts w:ascii="Calibri" w:hAnsi="Calibri" w:cs="Calibri"/>
                <w:b/>
                <w:bCs/>
                <w:color w:val="000000"/>
                <w:szCs w:val="20"/>
                <w:lang w:val="en-CA" w:eastAsia="en-CA"/>
              </w:rPr>
              <w:t xml:space="preserve"> (Deficit)</w:t>
            </w:r>
            <w:r w:rsidRPr="00FC2211">
              <w:rPr>
                <w:rFonts w:ascii="Calibri" w:hAnsi="Calibri" w:cs="Calibri"/>
                <w:b/>
                <w:bCs/>
                <w:color w:val="000000"/>
                <w:szCs w:val="20"/>
                <w:lang w:val="en-CA" w:eastAsia="en-CA"/>
              </w:rPr>
              <w:t xml:space="preserve"> </w:t>
            </w:r>
          </w:p>
        </w:tc>
      </w:tr>
      <w:tr w:rsidR="00A97E89" w:rsidRPr="00FC2211" w14:paraId="7182624A" w14:textId="77777777" w:rsidTr="00A97E89">
        <w:trPr>
          <w:trHeight w:val="288"/>
        </w:trPr>
        <w:tc>
          <w:tcPr>
            <w:tcW w:w="3828" w:type="dxa"/>
            <w:tcBorders>
              <w:top w:val="single" w:sz="8" w:space="0" w:color="auto"/>
              <w:left w:val="nil"/>
              <w:bottom w:val="single" w:sz="8" w:space="0" w:color="auto"/>
              <w:right w:val="nil"/>
            </w:tcBorders>
            <w:shd w:val="clear" w:color="auto" w:fill="auto"/>
            <w:noWrap/>
            <w:vAlign w:val="center"/>
            <w:hideMark/>
          </w:tcPr>
          <w:p w14:paraId="486D4D71" w14:textId="77777777" w:rsidR="00A97E89" w:rsidRPr="00FC2211" w:rsidRDefault="00A97E89" w:rsidP="00BF7E68">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Balance, June 30,  2022 </w:t>
            </w:r>
          </w:p>
        </w:tc>
        <w:tc>
          <w:tcPr>
            <w:tcW w:w="850" w:type="dxa"/>
            <w:tcBorders>
              <w:top w:val="single" w:sz="8" w:space="0" w:color="auto"/>
              <w:left w:val="nil"/>
              <w:bottom w:val="single" w:sz="8" w:space="0" w:color="auto"/>
              <w:right w:val="nil"/>
            </w:tcBorders>
            <w:shd w:val="clear" w:color="auto" w:fill="auto"/>
            <w:noWrap/>
            <w:vAlign w:val="center"/>
            <w:hideMark/>
          </w:tcPr>
          <w:p w14:paraId="2440D692" w14:textId="77777777" w:rsidR="00A97E89" w:rsidRPr="00FC2211" w:rsidRDefault="00A97E89" w:rsidP="00BF7E68">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 </w:t>
            </w:r>
          </w:p>
        </w:tc>
        <w:tc>
          <w:tcPr>
            <w:tcW w:w="1559" w:type="dxa"/>
            <w:tcBorders>
              <w:top w:val="single" w:sz="8" w:space="0" w:color="auto"/>
              <w:left w:val="nil"/>
              <w:bottom w:val="single" w:sz="8" w:space="0" w:color="auto"/>
              <w:right w:val="nil"/>
            </w:tcBorders>
            <w:shd w:val="clear" w:color="auto" w:fill="auto"/>
            <w:noWrap/>
            <w:vAlign w:val="center"/>
            <w:hideMark/>
          </w:tcPr>
          <w:p w14:paraId="667475CE" w14:textId="6D7CA8A4" w:rsidR="00A97E89" w:rsidRPr="00FC2211" w:rsidRDefault="00A97E89"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60,190,138 </w:t>
            </w:r>
          </w:p>
        </w:tc>
        <w:tc>
          <w:tcPr>
            <w:tcW w:w="1418" w:type="dxa"/>
            <w:tcBorders>
              <w:top w:val="single" w:sz="8" w:space="0" w:color="auto"/>
              <w:left w:val="nil"/>
              <w:bottom w:val="single" w:sz="8" w:space="0" w:color="auto"/>
              <w:right w:val="nil"/>
            </w:tcBorders>
            <w:shd w:val="clear" w:color="auto" w:fill="auto"/>
            <w:noWrap/>
            <w:vAlign w:val="center"/>
            <w:hideMark/>
          </w:tcPr>
          <w:p w14:paraId="1CD846B7" w14:textId="4CE2A555" w:rsidR="00A97E89" w:rsidRPr="00FC2211" w:rsidRDefault="0046384F"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w:t>
            </w:r>
            <w:r w:rsidR="00A97E89" w:rsidRPr="00FC2211">
              <w:rPr>
                <w:rFonts w:ascii="Calibri" w:hAnsi="Calibri" w:cs="Calibri"/>
                <w:color w:val="000000"/>
                <w:szCs w:val="20"/>
                <w:lang w:val="en-CA" w:eastAsia="en-CA"/>
              </w:rPr>
              <w:t xml:space="preserve">  13,535,082 </w:t>
            </w:r>
          </w:p>
        </w:tc>
        <w:tc>
          <w:tcPr>
            <w:tcW w:w="1416" w:type="dxa"/>
            <w:tcBorders>
              <w:top w:val="single" w:sz="8" w:space="0" w:color="auto"/>
              <w:left w:val="nil"/>
              <w:bottom w:val="single" w:sz="8" w:space="0" w:color="auto"/>
              <w:right w:val="nil"/>
            </w:tcBorders>
            <w:shd w:val="clear" w:color="auto" w:fill="auto"/>
            <w:noWrap/>
            <w:vAlign w:val="center"/>
            <w:hideMark/>
          </w:tcPr>
          <w:p w14:paraId="301D9D05" w14:textId="62370B85" w:rsidR="00A97E89" w:rsidRPr="00FC2211" w:rsidRDefault="0046384F"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A97E89" w:rsidRPr="00FC2211">
              <w:rPr>
                <w:rFonts w:ascii="Calibri" w:hAnsi="Calibri" w:cs="Calibri"/>
                <w:color w:val="000000"/>
                <w:szCs w:val="20"/>
                <w:lang w:val="en-CA" w:eastAsia="en-CA"/>
              </w:rPr>
              <w:t xml:space="preserve">727,115 </w:t>
            </w:r>
          </w:p>
        </w:tc>
        <w:tc>
          <w:tcPr>
            <w:tcW w:w="1561" w:type="dxa"/>
            <w:tcBorders>
              <w:top w:val="single" w:sz="8" w:space="0" w:color="auto"/>
              <w:left w:val="nil"/>
              <w:bottom w:val="single" w:sz="8" w:space="0" w:color="auto"/>
              <w:right w:val="nil"/>
            </w:tcBorders>
            <w:shd w:val="clear" w:color="auto" w:fill="auto"/>
            <w:noWrap/>
            <w:vAlign w:val="center"/>
            <w:hideMark/>
          </w:tcPr>
          <w:p w14:paraId="7B1D87AE" w14:textId="42BD8A1C" w:rsidR="00A97E89" w:rsidRPr="00FC2211" w:rsidRDefault="0046384F"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w:t>
            </w:r>
            <w:r w:rsidR="00A97E89" w:rsidRPr="00FC2211">
              <w:rPr>
                <w:rFonts w:ascii="Calibri" w:hAnsi="Calibri" w:cs="Calibri"/>
                <w:color w:val="000000"/>
                <w:szCs w:val="20"/>
                <w:lang w:val="en-CA" w:eastAsia="en-CA"/>
              </w:rPr>
              <w:t xml:space="preserve"> (11,913,836)</w:t>
            </w:r>
          </w:p>
        </w:tc>
        <w:tc>
          <w:tcPr>
            <w:tcW w:w="1701" w:type="dxa"/>
            <w:tcBorders>
              <w:top w:val="single" w:sz="8" w:space="0" w:color="auto"/>
              <w:left w:val="nil"/>
              <w:bottom w:val="single" w:sz="8" w:space="0" w:color="auto"/>
              <w:right w:val="nil"/>
            </w:tcBorders>
            <w:shd w:val="clear" w:color="auto" w:fill="auto"/>
            <w:noWrap/>
            <w:vAlign w:val="center"/>
            <w:hideMark/>
          </w:tcPr>
          <w:p w14:paraId="36EB0743" w14:textId="09721520" w:rsidR="00A97E89" w:rsidRPr="00FC2211" w:rsidRDefault="0046384F"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w:t>
            </w:r>
            <w:r w:rsidR="00A97E89" w:rsidRPr="00FC2211">
              <w:rPr>
                <w:rFonts w:ascii="Calibri" w:hAnsi="Calibri" w:cs="Calibri"/>
                <w:color w:val="000000"/>
                <w:szCs w:val="20"/>
                <w:lang w:val="en-CA" w:eastAsia="en-CA"/>
              </w:rPr>
              <w:t xml:space="preserve">   2,348,361 </w:t>
            </w:r>
          </w:p>
        </w:tc>
      </w:tr>
      <w:tr w:rsidR="00A97E89" w:rsidRPr="00FC2211" w14:paraId="2F9E9B71" w14:textId="77777777" w:rsidTr="007A25FC">
        <w:trPr>
          <w:trHeight w:val="276"/>
        </w:trPr>
        <w:tc>
          <w:tcPr>
            <w:tcW w:w="3828" w:type="dxa"/>
            <w:tcBorders>
              <w:top w:val="nil"/>
              <w:left w:val="nil"/>
              <w:bottom w:val="nil"/>
              <w:right w:val="nil"/>
            </w:tcBorders>
            <w:shd w:val="clear" w:color="auto" w:fill="auto"/>
            <w:noWrap/>
            <w:vAlign w:val="center"/>
            <w:hideMark/>
          </w:tcPr>
          <w:p w14:paraId="32019FA1" w14:textId="77777777" w:rsidR="00A97E89" w:rsidRPr="00FC2211" w:rsidRDefault="00A97E89" w:rsidP="00BF7E68">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Share issuance during the period </w:t>
            </w:r>
          </w:p>
        </w:tc>
        <w:tc>
          <w:tcPr>
            <w:tcW w:w="850" w:type="dxa"/>
            <w:tcBorders>
              <w:top w:val="nil"/>
              <w:left w:val="nil"/>
              <w:bottom w:val="nil"/>
              <w:right w:val="nil"/>
            </w:tcBorders>
            <w:shd w:val="clear" w:color="auto" w:fill="auto"/>
            <w:noWrap/>
            <w:vAlign w:val="center"/>
            <w:hideMark/>
          </w:tcPr>
          <w:p w14:paraId="0355A8F3" w14:textId="2BEBB274" w:rsidR="00A97E89" w:rsidRPr="00FC2211" w:rsidRDefault="00A97E89" w:rsidP="00BF7E68">
            <w:pPr>
              <w:jc w:val="center"/>
              <w:rPr>
                <w:rFonts w:ascii="Calibri" w:hAnsi="Calibri" w:cs="Calibri"/>
                <w:i/>
                <w:iCs/>
                <w:color w:val="000000"/>
                <w:szCs w:val="20"/>
                <w:lang w:val="en-CA" w:eastAsia="en-CA"/>
              </w:rPr>
            </w:pPr>
          </w:p>
        </w:tc>
        <w:tc>
          <w:tcPr>
            <w:tcW w:w="1559" w:type="dxa"/>
            <w:tcBorders>
              <w:top w:val="nil"/>
              <w:left w:val="nil"/>
              <w:bottom w:val="nil"/>
              <w:right w:val="nil"/>
            </w:tcBorders>
            <w:shd w:val="clear" w:color="auto" w:fill="auto"/>
            <w:noWrap/>
            <w:vAlign w:val="center"/>
          </w:tcPr>
          <w:p w14:paraId="083F345E" w14:textId="41F778F2" w:rsidR="00A97E89" w:rsidRPr="00FC2211" w:rsidRDefault="00A97E89" w:rsidP="00BF7E68">
            <w:pPr>
              <w:jc w:val="right"/>
              <w:rPr>
                <w:rFonts w:ascii="Calibri" w:hAnsi="Calibri" w:cs="Calibri"/>
                <w:color w:val="000000"/>
                <w:szCs w:val="20"/>
                <w:lang w:val="en-CA" w:eastAsia="en-CA"/>
              </w:rPr>
            </w:pPr>
          </w:p>
        </w:tc>
        <w:tc>
          <w:tcPr>
            <w:tcW w:w="1418" w:type="dxa"/>
            <w:tcBorders>
              <w:top w:val="nil"/>
              <w:left w:val="nil"/>
              <w:bottom w:val="nil"/>
              <w:right w:val="nil"/>
            </w:tcBorders>
            <w:shd w:val="clear" w:color="auto" w:fill="auto"/>
            <w:noWrap/>
            <w:vAlign w:val="center"/>
          </w:tcPr>
          <w:p w14:paraId="7BC8B590" w14:textId="3187CE06" w:rsidR="00A97E89" w:rsidRPr="00FC2211" w:rsidRDefault="00A97E89" w:rsidP="00BF7E68">
            <w:pPr>
              <w:jc w:val="right"/>
              <w:rPr>
                <w:rFonts w:ascii="Calibri" w:hAnsi="Calibri" w:cs="Calibri"/>
                <w:color w:val="000000"/>
                <w:szCs w:val="20"/>
                <w:lang w:val="en-CA" w:eastAsia="en-CA"/>
              </w:rPr>
            </w:pPr>
          </w:p>
        </w:tc>
        <w:tc>
          <w:tcPr>
            <w:tcW w:w="1416" w:type="dxa"/>
            <w:tcBorders>
              <w:top w:val="nil"/>
              <w:left w:val="nil"/>
              <w:bottom w:val="nil"/>
              <w:right w:val="nil"/>
            </w:tcBorders>
            <w:shd w:val="clear" w:color="auto" w:fill="auto"/>
            <w:noWrap/>
            <w:vAlign w:val="center"/>
          </w:tcPr>
          <w:p w14:paraId="5DEA5716" w14:textId="3011AF88" w:rsidR="00A97E89" w:rsidRPr="00FC2211" w:rsidRDefault="00A97E89" w:rsidP="00BF7E68">
            <w:pPr>
              <w:jc w:val="right"/>
              <w:rPr>
                <w:rFonts w:ascii="Calibri" w:hAnsi="Calibri" w:cs="Calibri"/>
                <w:color w:val="000000"/>
                <w:szCs w:val="20"/>
                <w:lang w:val="en-CA" w:eastAsia="en-CA"/>
              </w:rPr>
            </w:pPr>
          </w:p>
        </w:tc>
        <w:tc>
          <w:tcPr>
            <w:tcW w:w="1561" w:type="dxa"/>
            <w:tcBorders>
              <w:top w:val="nil"/>
              <w:left w:val="nil"/>
              <w:bottom w:val="nil"/>
              <w:right w:val="nil"/>
            </w:tcBorders>
            <w:shd w:val="clear" w:color="auto" w:fill="auto"/>
            <w:noWrap/>
            <w:vAlign w:val="center"/>
          </w:tcPr>
          <w:p w14:paraId="021BD7EA" w14:textId="0D09125A" w:rsidR="00A97E89" w:rsidRPr="00FC2211" w:rsidRDefault="00A97E89" w:rsidP="00BF7E68">
            <w:pPr>
              <w:jc w:val="right"/>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tcPr>
          <w:p w14:paraId="0136D539" w14:textId="77DA4EAC" w:rsidR="00A97E89" w:rsidRPr="00FC2211" w:rsidRDefault="00A97E89" w:rsidP="00BF7E68">
            <w:pPr>
              <w:jc w:val="right"/>
              <w:rPr>
                <w:rFonts w:ascii="Calibri" w:hAnsi="Calibri" w:cs="Calibri"/>
                <w:color w:val="000000"/>
                <w:szCs w:val="20"/>
                <w:lang w:val="en-CA" w:eastAsia="en-CA"/>
              </w:rPr>
            </w:pPr>
          </w:p>
        </w:tc>
      </w:tr>
      <w:tr w:rsidR="007A25FC" w:rsidRPr="00FC2211" w14:paraId="5DF8120B" w14:textId="77777777" w:rsidTr="00A97E89">
        <w:trPr>
          <w:trHeight w:val="276"/>
        </w:trPr>
        <w:tc>
          <w:tcPr>
            <w:tcW w:w="3828" w:type="dxa"/>
            <w:tcBorders>
              <w:top w:val="nil"/>
              <w:left w:val="nil"/>
              <w:bottom w:val="nil"/>
              <w:right w:val="nil"/>
            </w:tcBorders>
            <w:shd w:val="clear" w:color="auto" w:fill="auto"/>
            <w:noWrap/>
            <w:vAlign w:val="center"/>
          </w:tcPr>
          <w:p w14:paraId="7595CD45" w14:textId="25284F39" w:rsidR="007A25FC" w:rsidRPr="00FC2211" w:rsidRDefault="007A25FC" w:rsidP="00BF7E68">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Private placement</w:t>
            </w:r>
          </w:p>
        </w:tc>
        <w:tc>
          <w:tcPr>
            <w:tcW w:w="850" w:type="dxa"/>
            <w:tcBorders>
              <w:top w:val="nil"/>
              <w:left w:val="nil"/>
              <w:bottom w:val="nil"/>
              <w:right w:val="nil"/>
            </w:tcBorders>
            <w:shd w:val="clear" w:color="auto" w:fill="auto"/>
            <w:noWrap/>
            <w:vAlign w:val="center"/>
          </w:tcPr>
          <w:p w14:paraId="0EF0BF6A" w14:textId="3E883E6F" w:rsidR="007A25FC" w:rsidRPr="00FC2211" w:rsidRDefault="007A25FC" w:rsidP="00BF7E68">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15</w:t>
            </w:r>
          </w:p>
        </w:tc>
        <w:tc>
          <w:tcPr>
            <w:tcW w:w="1559" w:type="dxa"/>
            <w:tcBorders>
              <w:top w:val="nil"/>
              <w:left w:val="nil"/>
              <w:bottom w:val="nil"/>
              <w:right w:val="nil"/>
            </w:tcBorders>
            <w:shd w:val="clear" w:color="auto" w:fill="auto"/>
            <w:noWrap/>
            <w:vAlign w:val="center"/>
          </w:tcPr>
          <w:p w14:paraId="44EBF5FD" w14:textId="37F849B1" w:rsidR="007A25FC" w:rsidRPr="00FC2211" w:rsidRDefault="007A25FC"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14,525,000</w:t>
            </w:r>
          </w:p>
        </w:tc>
        <w:tc>
          <w:tcPr>
            <w:tcW w:w="1418" w:type="dxa"/>
            <w:tcBorders>
              <w:top w:val="nil"/>
              <w:left w:val="nil"/>
              <w:bottom w:val="nil"/>
              <w:right w:val="nil"/>
            </w:tcBorders>
            <w:shd w:val="clear" w:color="auto" w:fill="auto"/>
            <w:noWrap/>
            <w:vAlign w:val="center"/>
          </w:tcPr>
          <w:p w14:paraId="2B48B265" w14:textId="34886473" w:rsidR="007A25FC" w:rsidRPr="00FC2211" w:rsidRDefault="007A25FC"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1,743,000</w:t>
            </w:r>
          </w:p>
        </w:tc>
        <w:tc>
          <w:tcPr>
            <w:tcW w:w="1416" w:type="dxa"/>
            <w:tcBorders>
              <w:top w:val="nil"/>
              <w:left w:val="nil"/>
              <w:bottom w:val="nil"/>
              <w:right w:val="nil"/>
            </w:tcBorders>
            <w:shd w:val="clear" w:color="auto" w:fill="auto"/>
            <w:noWrap/>
            <w:vAlign w:val="center"/>
          </w:tcPr>
          <w:p w14:paraId="1EF08B1C" w14:textId="7906AF68" w:rsidR="007A25FC" w:rsidRPr="00FC2211" w:rsidRDefault="007A25FC" w:rsidP="00BF7E68">
            <w:pPr>
              <w:ind w:right="181"/>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561" w:type="dxa"/>
            <w:tcBorders>
              <w:top w:val="nil"/>
              <w:left w:val="nil"/>
              <w:bottom w:val="nil"/>
              <w:right w:val="nil"/>
            </w:tcBorders>
            <w:shd w:val="clear" w:color="auto" w:fill="auto"/>
            <w:noWrap/>
            <w:vAlign w:val="center"/>
          </w:tcPr>
          <w:p w14:paraId="0D15706A" w14:textId="4B58E89C" w:rsidR="007A25FC" w:rsidRPr="00FC2211" w:rsidRDefault="007A25FC" w:rsidP="00BF7E68">
            <w:pPr>
              <w:ind w:right="18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701" w:type="dxa"/>
            <w:tcBorders>
              <w:top w:val="nil"/>
              <w:left w:val="nil"/>
              <w:bottom w:val="nil"/>
              <w:right w:val="nil"/>
            </w:tcBorders>
            <w:shd w:val="clear" w:color="auto" w:fill="auto"/>
            <w:noWrap/>
            <w:vAlign w:val="center"/>
          </w:tcPr>
          <w:p w14:paraId="0A8651AD" w14:textId="09D0E887" w:rsidR="007A25FC" w:rsidRPr="00FC2211" w:rsidRDefault="007A25FC"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1,743,000</w:t>
            </w:r>
          </w:p>
        </w:tc>
      </w:tr>
      <w:tr w:rsidR="007A25FC" w:rsidRPr="00FC2211" w14:paraId="4FFA04EA" w14:textId="77777777" w:rsidTr="00A97E89">
        <w:trPr>
          <w:trHeight w:val="276"/>
        </w:trPr>
        <w:tc>
          <w:tcPr>
            <w:tcW w:w="3828" w:type="dxa"/>
            <w:tcBorders>
              <w:top w:val="nil"/>
              <w:left w:val="nil"/>
              <w:bottom w:val="nil"/>
              <w:right w:val="nil"/>
            </w:tcBorders>
            <w:shd w:val="clear" w:color="auto" w:fill="auto"/>
            <w:noWrap/>
            <w:vAlign w:val="center"/>
          </w:tcPr>
          <w:p w14:paraId="1C3669B9" w14:textId="232C2FE5" w:rsidR="007A25FC" w:rsidRPr="00FC2211" w:rsidRDefault="007A25FC" w:rsidP="00BF7E68">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Bonus </w:t>
            </w:r>
            <w:r w:rsidR="00D63E99" w:rsidRPr="00FC2211">
              <w:rPr>
                <w:rFonts w:ascii="Calibri" w:hAnsi="Calibri" w:cs="Calibri"/>
                <w:color w:val="000000"/>
                <w:szCs w:val="20"/>
                <w:lang w:val="en-CA" w:eastAsia="en-CA"/>
              </w:rPr>
              <w:t>s</w:t>
            </w:r>
            <w:r w:rsidRPr="00FC2211">
              <w:rPr>
                <w:rFonts w:ascii="Calibri" w:hAnsi="Calibri" w:cs="Calibri"/>
                <w:color w:val="000000"/>
                <w:szCs w:val="20"/>
                <w:lang w:val="en-CA" w:eastAsia="en-CA"/>
              </w:rPr>
              <w:t>hares</w:t>
            </w:r>
          </w:p>
        </w:tc>
        <w:tc>
          <w:tcPr>
            <w:tcW w:w="850" w:type="dxa"/>
            <w:tcBorders>
              <w:top w:val="nil"/>
              <w:left w:val="nil"/>
              <w:bottom w:val="nil"/>
              <w:right w:val="nil"/>
            </w:tcBorders>
            <w:shd w:val="clear" w:color="auto" w:fill="auto"/>
            <w:noWrap/>
            <w:vAlign w:val="center"/>
          </w:tcPr>
          <w:p w14:paraId="6E828F5C" w14:textId="44D343BC" w:rsidR="007A25FC" w:rsidRPr="00FC2211" w:rsidRDefault="007A25FC" w:rsidP="00BF7E68">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15</w:t>
            </w:r>
          </w:p>
        </w:tc>
        <w:tc>
          <w:tcPr>
            <w:tcW w:w="1559" w:type="dxa"/>
            <w:tcBorders>
              <w:top w:val="nil"/>
              <w:left w:val="nil"/>
              <w:bottom w:val="nil"/>
              <w:right w:val="nil"/>
            </w:tcBorders>
            <w:shd w:val="clear" w:color="auto" w:fill="auto"/>
            <w:noWrap/>
            <w:vAlign w:val="center"/>
          </w:tcPr>
          <w:p w14:paraId="21C29C42" w14:textId="0986207F" w:rsidR="007A25FC" w:rsidRPr="00FC2211" w:rsidRDefault="007A25FC"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1,428,571</w:t>
            </w:r>
          </w:p>
        </w:tc>
        <w:tc>
          <w:tcPr>
            <w:tcW w:w="1418" w:type="dxa"/>
            <w:tcBorders>
              <w:top w:val="nil"/>
              <w:left w:val="nil"/>
              <w:bottom w:val="nil"/>
              <w:right w:val="nil"/>
            </w:tcBorders>
            <w:shd w:val="clear" w:color="auto" w:fill="auto"/>
            <w:noWrap/>
            <w:vAlign w:val="center"/>
          </w:tcPr>
          <w:p w14:paraId="41F14FBE" w14:textId="057D3453" w:rsidR="007A25FC" w:rsidRPr="00FC2211" w:rsidRDefault="007A25FC"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171,429</w:t>
            </w:r>
          </w:p>
        </w:tc>
        <w:tc>
          <w:tcPr>
            <w:tcW w:w="1416" w:type="dxa"/>
            <w:tcBorders>
              <w:top w:val="nil"/>
              <w:left w:val="nil"/>
              <w:bottom w:val="nil"/>
              <w:right w:val="nil"/>
            </w:tcBorders>
            <w:shd w:val="clear" w:color="auto" w:fill="auto"/>
            <w:noWrap/>
            <w:vAlign w:val="center"/>
          </w:tcPr>
          <w:p w14:paraId="618CF59A" w14:textId="1084180E" w:rsidR="007A25FC" w:rsidRPr="00FC2211" w:rsidRDefault="007A25FC" w:rsidP="00BF7E68">
            <w:pPr>
              <w:ind w:right="181"/>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561" w:type="dxa"/>
            <w:tcBorders>
              <w:top w:val="nil"/>
              <w:left w:val="nil"/>
              <w:bottom w:val="nil"/>
              <w:right w:val="nil"/>
            </w:tcBorders>
            <w:shd w:val="clear" w:color="auto" w:fill="auto"/>
            <w:noWrap/>
            <w:vAlign w:val="center"/>
          </w:tcPr>
          <w:p w14:paraId="77B6FD05" w14:textId="2CE09039" w:rsidR="007A25FC" w:rsidRPr="00FC2211" w:rsidRDefault="007A25FC" w:rsidP="00BF7E68">
            <w:pPr>
              <w:ind w:right="18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701" w:type="dxa"/>
            <w:tcBorders>
              <w:top w:val="nil"/>
              <w:left w:val="nil"/>
              <w:bottom w:val="nil"/>
              <w:right w:val="nil"/>
            </w:tcBorders>
            <w:shd w:val="clear" w:color="auto" w:fill="auto"/>
            <w:noWrap/>
            <w:vAlign w:val="center"/>
          </w:tcPr>
          <w:p w14:paraId="42158E1F" w14:textId="2E7542A9" w:rsidR="007A25FC" w:rsidRPr="00FC2211" w:rsidRDefault="007A25FC"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171,429</w:t>
            </w:r>
          </w:p>
        </w:tc>
      </w:tr>
      <w:tr w:rsidR="007A25FC" w:rsidRPr="00FC2211" w14:paraId="739F2BD0" w14:textId="77777777" w:rsidTr="00A97E89">
        <w:trPr>
          <w:trHeight w:val="276"/>
        </w:trPr>
        <w:tc>
          <w:tcPr>
            <w:tcW w:w="3828" w:type="dxa"/>
            <w:tcBorders>
              <w:top w:val="nil"/>
              <w:left w:val="nil"/>
              <w:bottom w:val="nil"/>
              <w:right w:val="nil"/>
            </w:tcBorders>
            <w:shd w:val="clear" w:color="auto" w:fill="auto"/>
            <w:noWrap/>
            <w:vAlign w:val="center"/>
            <w:hideMark/>
          </w:tcPr>
          <w:p w14:paraId="72BDFD35" w14:textId="77777777" w:rsidR="007A25FC" w:rsidRPr="00FC2211" w:rsidRDefault="007A25FC" w:rsidP="00BF7E68">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Stock-based compensation</w:t>
            </w:r>
          </w:p>
        </w:tc>
        <w:tc>
          <w:tcPr>
            <w:tcW w:w="850" w:type="dxa"/>
            <w:tcBorders>
              <w:top w:val="nil"/>
              <w:left w:val="nil"/>
              <w:bottom w:val="nil"/>
              <w:right w:val="nil"/>
            </w:tcBorders>
            <w:shd w:val="clear" w:color="auto" w:fill="auto"/>
            <w:noWrap/>
            <w:vAlign w:val="center"/>
            <w:hideMark/>
          </w:tcPr>
          <w:p w14:paraId="7DA7CC07" w14:textId="77777777" w:rsidR="007A25FC" w:rsidRPr="00FC2211" w:rsidRDefault="007A25FC" w:rsidP="00BF7E68">
            <w:pPr>
              <w:rPr>
                <w:rFonts w:ascii="Calibri" w:hAnsi="Calibri" w:cs="Calibri"/>
                <w:color w:val="000000"/>
                <w:szCs w:val="20"/>
                <w:lang w:val="en-CA" w:eastAsia="en-CA"/>
              </w:rPr>
            </w:pPr>
          </w:p>
        </w:tc>
        <w:tc>
          <w:tcPr>
            <w:tcW w:w="1559" w:type="dxa"/>
            <w:tcBorders>
              <w:top w:val="nil"/>
              <w:left w:val="nil"/>
              <w:bottom w:val="nil"/>
              <w:right w:val="nil"/>
            </w:tcBorders>
            <w:shd w:val="clear" w:color="auto" w:fill="auto"/>
            <w:noWrap/>
            <w:vAlign w:val="center"/>
            <w:hideMark/>
          </w:tcPr>
          <w:p w14:paraId="294B352F" w14:textId="625A3BAD" w:rsidR="007A25FC" w:rsidRPr="00FC2211" w:rsidRDefault="007A25FC" w:rsidP="00BF7E68">
            <w:pPr>
              <w:ind w:right="181"/>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418" w:type="dxa"/>
            <w:tcBorders>
              <w:top w:val="nil"/>
              <w:left w:val="nil"/>
              <w:bottom w:val="nil"/>
              <w:right w:val="nil"/>
            </w:tcBorders>
            <w:shd w:val="clear" w:color="auto" w:fill="auto"/>
            <w:noWrap/>
            <w:vAlign w:val="center"/>
            <w:hideMark/>
          </w:tcPr>
          <w:p w14:paraId="454423AA" w14:textId="3FE66D79" w:rsidR="007A25FC" w:rsidRPr="00FC2211" w:rsidRDefault="007A25FC" w:rsidP="00BF7E68">
            <w:pPr>
              <w:ind w:right="174"/>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416" w:type="dxa"/>
            <w:tcBorders>
              <w:top w:val="nil"/>
              <w:left w:val="nil"/>
              <w:bottom w:val="nil"/>
              <w:right w:val="nil"/>
            </w:tcBorders>
            <w:shd w:val="clear" w:color="auto" w:fill="auto"/>
            <w:noWrap/>
            <w:vAlign w:val="center"/>
            <w:hideMark/>
          </w:tcPr>
          <w:p w14:paraId="6219178F" w14:textId="228B4135" w:rsidR="007A25FC" w:rsidRPr="00FC2211" w:rsidRDefault="007A25FC"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156,564 </w:t>
            </w:r>
          </w:p>
        </w:tc>
        <w:tc>
          <w:tcPr>
            <w:tcW w:w="1561" w:type="dxa"/>
            <w:tcBorders>
              <w:top w:val="nil"/>
              <w:left w:val="nil"/>
              <w:bottom w:val="nil"/>
              <w:right w:val="nil"/>
            </w:tcBorders>
            <w:shd w:val="clear" w:color="auto" w:fill="auto"/>
            <w:noWrap/>
            <w:vAlign w:val="center"/>
            <w:hideMark/>
          </w:tcPr>
          <w:p w14:paraId="77A9AAE1" w14:textId="23E21831" w:rsidR="007A25FC" w:rsidRPr="00FC2211" w:rsidRDefault="007A25FC" w:rsidP="00BF7E68">
            <w:pPr>
              <w:ind w:right="18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701" w:type="dxa"/>
            <w:tcBorders>
              <w:top w:val="nil"/>
              <w:left w:val="nil"/>
              <w:bottom w:val="nil"/>
              <w:right w:val="nil"/>
            </w:tcBorders>
            <w:shd w:val="clear" w:color="auto" w:fill="auto"/>
            <w:noWrap/>
            <w:vAlign w:val="center"/>
            <w:hideMark/>
          </w:tcPr>
          <w:p w14:paraId="430D6316" w14:textId="33C6D5EF" w:rsidR="007A25FC" w:rsidRPr="00FC2211" w:rsidRDefault="007A25FC"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156,564 </w:t>
            </w:r>
          </w:p>
        </w:tc>
      </w:tr>
      <w:tr w:rsidR="007A25FC" w:rsidRPr="00FC2211" w14:paraId="3539A642" w14:textId="77777777" w:rsidTr="00A97E89">
        <w:trPr>
          <w:trHeight w:val="276"/>
        </w:trPr>
        <w:tc>
          <w:tcPr>
            <w:tcW w:w="3828" w:type="dxa"/>
            <w:tcBorders>
              <w:top w:val="nil"/>
              <w:left w:val="nil"/>
              <w:bottom w:val="nil"/>
              <w:right w:val="nil"/>
            </w:tcBorders>
            <w:shd w:val="clear" w:color="auto" w:fill="auto"/>
            <w:noWrap/>
            <w:vAlign w:val="center"/>
            <w:hideMark/>
          </w:tcPr>
          <w:p w14:paraId="3C60CF30" w14:textId="77777777" w:rsidR="007A25FC" w:rsidRPr="00FC2211" w:rsidRDefault="007A25FC" w:rsidP="00BF7E68">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Share issuance costs </w:t>
            </w:r>
          </w:p>
        </w:tc>
        <w:tc>
          <w:tcPr>
            <w:tcW w:w="850" w:type="dxa"/>
            <w:tcBorders>
              <w:top w:val="nil"/>
              <w:left w:val="nil"/>
              <w:bottom w:val="nil"/>
              <w:right w:val="nil"/>
            </w:tcBorders>
            <w:shd w:val="clear" w:color="auto" w:fill="auto"/>
            <w:noWrap/>
            <w:vAlign w:val="center"/>
            <w:hideMark/>
          </w:tcPr>
          <w:p w14:paraId="68F92B64" w14:textId="77777777" w:rsidR="007A25FC" w:rsidRPr="00FC2211" w:rsidRDefault="007A25FC" w:rsidP="00BF7E68">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15</w:t>
            </w:r>
          </w:p>
        </w:tc>
        <w:tc>
          <w:tcPr>
            <w:tcW w:w="1559" w:type="dxa"/>
            <w:tcBorders>
              <w:top w:val="nil"/>
              <w:left w:val="nil"/>
              <w:bottom w:val="nil"/>
              <w:right w:val="nil"/>
            </w:tcBorders>
            <w:shd w:val="clear" w:color="auto" w:fill="auto"/>
            <w:noWrap/>
            <w:vAlign w:val="center"/>
            <w:hideMark/>
          </w:tcPr>
          <w:p w14:paraId="3A029C0E" w14:textId="3AB03C81" w:rsidR="007A25FC" w:rsidRPr="00FC2211" w:rsidRDefault="007A25FC" w:rsidP="00BF7E68">
            <w:pPr>
              <w:ind w:right="181"/>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418" w:type="dxa"/>
            <w:tcBorders>
              <w:top w:val="nil"/>
              <w:left w:val="nil"/>
              <w:bottom w:val="nil"/>
              <w:right w:val="nil"/>
            </w:tcBorders>
            <w:shd w:val="clear" w:color="auto" w:fill="auto"/>
            <w:noWrap/>
            <w:vAlign w:val="center"/>
            <w:hideMark/>
          </w:tcPr>
          <w:p w14:paraId="1129A12D" w14:textId="06029DF1" w:rsidR="007A25FC" w:rsidRPr="00FC2211" w:rsidRDefault="007A25FC" w:rsidP="00BF7E68">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(419,029)</w:t>
            </w:r>
          </w:p>
        </w:tc>
        <w:tc>
          <w:tcPr>
            <w:tcW w:w="1416" w:type="dxa"/>
            <w:tcBorders>
              <w:top w:val="nil"/>
              <w:left w:val="nil"/>
              <w:bottom w:val="nil"/>
              <w:right w:val="nil"/>
            </w:tcBorders>
            <w:shd w:val="clear" w:color="auto" w:fill="auto"/>
            <w:noWrap/>
            <w:vAlign w:val="center"/>
            <w:hideMark/>
          </w:tcPr>
          <w:p w14:paraId="0518F7E5" w14:textId="5351434D" w:rsidR="007A25FC" w:rsidRPr="00FC2211" w:rsidRDefault="007A25FC" w:rsidP="00BF7E68">
            <w:pPr>
              <w:ind w:right="181"/>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561" w:type="dxa"/>
            <w:tcBorders>
              <w:top w:val="nil"/>
              <w:left w:val="nil"/>
              <w:bottom w:val="nil"/>
              <w:right w:val="nil"/>
            </w:tcBorders>
            <w:shd w:val="clear" w:color="auto" w:fill="auto"/>
            <w:noWrap/>
            <w:vAlign w:val="center"/>
            <w:hideMark/>
          </w:tcPr>
          <w:p w14:paraId="29EAB6AD" w14:textId="0502874A" w:rsidR="007A25FC" w:rsidRPr="00FC2211" w:rsidRDefault="007A25FC" w:rsidP="00BF7E68">
            <w:pPr>
              <w:ind w:right="18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701" w:type="dxa"/>
            <w:tcBorders>
              <w:top w:val="nil"/>
              <w:left w:val="nil"/>
              <w:bottom w:val="nil"/>
              <w:right w:val="nil"/>
            </w:tcBorders>
            <w:shd w:val="clear" w:color="auto" w:fill="auto"/>
            <w:noWrap/>
            <w:vAlign w:val="center"/>
            <w:hideMark/>
          </w:tcPr>
          <w:p w14:paraId="2C6EE450" w14:textId="6E0A0C43" w:rsidR="007A25FC" w:rsidRPr="00FC2211" w:rsidRDefault="007A25FC" w:rsidP="00BF7E68">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(419,029)</w:t>
            </w:r>
          </w:p>
        </w:tc>
      </w:tr>
      <w:tr w:rsidR="007A25FC" w:rsidRPr="00FC2211" w14:paraId="54B7C324" w14:textId="77777777" w:rsidTr="00A97E89">
        <w:trPr>
          <w:trHeight w:val="276"/>
        </w:trPr>
        <w:tc>
          <w:tcPr>
            <w:tcW w:w="3828" w:type="dxa"/>
            <w:tcBorders>
              <w:top w:val="nil"/>
              <w:left w:val="nil"/>
              <w:bottom w:val="nil"/>
              <w:right w:val="nil"/>
            </w:tcBorders>
            <w:shd w:val="clear" w:color="auto" w:fill="auto"/>
            <w:noWrap/>
            <w:vAlign w:val="center"/>
            <w:hideMark/>
          </w:tcPr>
          <w:p w14:paraId="7FABF99B" w14:textId="77777777" w:rsidR="007A25FC" w:rsidRPr="00FC2211" w:rsidRDefault="007A25FC" w:rsidP="00BF7E68">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Warrants issued for Short Form prospectus </w:t>
            </w:r>
          </w:p>
        </w:tc>
        <w:tc>
          <w:tcPr>
            <w:tcW w:w="850" w:type="dxa"/>
            <w:tcBorders>
              <w:top w:val="nil"/>
              <w:left w:val="nil"/>
              <w:bottom w:val="nil"/>
              <w:right w:val="nil"/>
            </w:tcBorders>
            <w:shd w:val="clear" w:color="auto" w:fill="auto"/>
            <w:noWrap/>
            <w:vAlign w:val="center"/>
            <w:hideMark/>
          </w:tcPr>
          <w:p w14:paraId="0393A207" w14:textId="77777777" w:rsidR="007A25FC" w:rsidRPr="00FC2211" w:rsidRDefault="007A25FC" w:rsidP="00BF7E68">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15</w:t>
            </w:r>
          </w:p>
        </w:tc>
        <w:tc>
          <w:tcPr>
            <w:tcW w:w="1559" w:type="dxa"/>
            <w:tcBorders>
              <w:top w:val="nil"/>
              <w:left w:val="nil"/>
              <w:bottom w:val="nil"/>
              <w:right w:val="nil"/>
            </w:tcBorders>
            <w:shd w:val="clear" w:color="auto" w:fill="auto"/>
            <w:noWrap/>
            <w:vAlign w:val="center"/>
            <w:hideMark/>
          </w:tcPr>
          <w:p w14:paraId="51BB9D9D" w14:textId="160E06D8" w:rsidR="007A25FC" w:rsidRPr="00FC2211" w:rsidRDefault="007A25FC" w:rsidP="00BF7E68">
            <w:pPr>
              <w:ind w:right="181"/>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418" w:type="dxa"/>
            <w:tcBorders>
              <w:top w:val="nil"/>
              <w:left w:val="nil"/>
              <w:bottom w:val="nil"/>
              <w:right w:val="nil"/>
            </w:tcBorders>
            <w:shd w:val="clear" w:color="auto" w:fill="auto"/>
            <w:noWrap/>
            <w:vAlign w:val="center"/>
            <w:hideMark/>
          </w:tcPr>
          <w:p w14:paraId="259A7D48" w14:textId="2D71D801" w:rsidR="007A25FC" w:rsidRPr="00FC2211" w:rsidRDefault="007A25FC" w:rsidP="00BF7E68">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(61,503)</w:t>
            </w:r>
          </w:p>
        </w:tc>
        <w:tc>
          <w:tcPr>
            <w:tcW w:w="1416" w:type="dxa"/>
            <w:tcBorders>
              <w:top w:val="nil"/>
              <w:left w:val="nil"/>
              <w:bottom w:val="nil"/>
              <w:right w:val="nil"/>
            </w:tcBorders>
            <w:shd w:val="clear" w:color="auto" w:fill="auto"/>
            <w:noWrap/>
            <w:vAlign w:val="center"/>
            <w:hideMark/>
          </w:tcPr>
          <w:p w14:paraId="32C5068D" w14:textId="6F8FD1E3" w:rsidR="007A25FC" w:rsidRPr="00FC2211" w:rsidRDefault="007A25FC"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61,503 </w:t>
            </w:r>
          </w:p>
        </w:tc>
        <w:tc>
          <w:tcPr>
            <w:tcW w:w="1561" w:type="dxa"/>
            <w:tcBorders>
              <w:top w:val="nil"/>
              <w:left w:val="nil"/>
              <w:bottom w:val="nil"/>
              <w:right w:val="nil"/>
            </w:tcBorders>
            <w:shd w:val="clear" w:color="auto" w:fill="auto"/>
            <w:noWrap/>
            <w:vAlign w:val="center"/>
            <w:hideMark/>
          </w:tcPr>
          <w:p w14:paraId="4B992F6E" w14:textId="4D0CC938" w:rsidR="007A25FC" w:rsidRPr="00FC2211" w:rsidRDefault="007A25FC" w:rsidP="00BF7E68">
            <w:pPr>
              <w:ind w:right="18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701" w:type="dxa"/>
            <w:tcBorders>
              <w:top w:val="nil"/>
              <w:left w:val="nil"/>
              <w:bottom w:val="nil"/>
              <w:right w:val="nil"/>
            </w:tcBorders>
            <w:shd w:val="clear" w:color="auto" w:fill="auto"/>
            <w:noWrap/>
            <w:vAlign w:val="center"/>
            <w:hideMark/>
          </w:tcPr>
          <w:p w14:paraId="4EBD717E" w14:textId="12854966" w:rsidR="007A25FC" w:rsidRPr="00FC2211" w:rsidRDefault="007A25FC" w:rsidP="00BF7E68">
            <w:pPr>
              <w:ind w:right="176"/>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r>
      <w:tr w:rsidR="007A25FC" w:rsidRPr="00FC2211" w14:paraId="044249D1" w14:textId="77777777" w:rsidTr="00A97E89">
        <w:trPr>
          <w:trHeight w:val="288"/>
        </w:trPr>
        <w:tc>
          <w:tcPr>
            <w:tcW w:w="3828" w:type="dxa"/>
            <w:tcBorders>
              <w:top w:val="nil"/>
              <w:left w:val="nil"/>
              <w:bottom w:val="nil"/>
              <w:right w:val="nil"/>
            </w:tcBorders>
            <w:shd w:val="clear" w:color="auto" w:fill="auto"/>
            <w:noWrap/>
            <w:vAlign w:val="center"/>
            <w:hideMark/>
          </w:tcPr>
          <w:p w14:paraId="28C62A26" w14:textId="77777777" w:rsidR="007A25FC" w:rsidRPr="00FC2211" w:rsidRDefault="007A25FC" w:rsidP="00BF7E68">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Net loss and comprehensive loss </w:t>
            </w:r>
          </w:p>
        </w:tc>
        <w:tc>
          <w:tcPr>
            <w:tcW w:w="850" w:type="dxa"/>
            <w:tcBorders>
              <w:top w:val="nil"/>
              <w:left w:val="nil"/>
              <w:bottom w:val="nil"/>
              <w:right w:val="nil"/>
            </w:tcBorders>
            <w:shd w:val="clear" w:color="auto" w:fill="auto"/>
            <w:noWrap/>
            <w:vAlign w:val="center"/>
            <w:hideMark/>
          </w:tcPr>
          <w:p w14:paraId="554BC720" w14:textId="77777777" w:rsidR="007A25FC" w:rsidRPr="00FC2211" w:rsidRDefault="007A25FC" w:rsidP="00BF7E68">
            <w:pPr>
              <w:rPr>
                <w:rFonts w:ascii="Calibri" w:hAnsi="Calibri" w:cs="Calibri"/>
                <w:color w:val="000000"/>
                <w:szCs w:val="20"/>
                <w:lang w:val="en-CA" w:eastAsia="en-CA"/>
              </w:rPr>
            </w:pPr>
          </w:p>
        </w:tc>
        <w:tc>
          <w:tcPr>
            <w:tcW w:w="1559" w:type="dxa"/>
            <w:tcBorders>
              <w:top w:val="nil"/>
              <w:left w:val="nil"/>
              <w:bottom w:val="nil"/>
              <w:right w:val="nil"/>
            </w:tcBorders>
            <w:shd w:val="clear" w:color="auto" w:fill="auto"/>
            <w:noWrap/>
            <w:vAlign w:val="center"/>
            <w:hideMark/>
          </w:tcPr>
          <w:p w14:paraId="5722EFDD" w14:textId="3329481D" w:rsidR="007A25FC" w:rsidRPr="00FC2211" w:rsidRDefault="007A25FC" w:rsidP="00BF7E68">
            <w:pPr>
              <w:ind w:right="181"/>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418" w:type="dxa"/>
            <w:tcBorders>
              <w:top w:val="nil"/>
              <w:left w:val="nil"/>
              <w:bottom w:val="nil"/>
              <w:right w:val="nil"/>
            </w:tcBorders>
            <w:shd w:val="clear" w:color="auto" w:fill="auto"/>
            <w:noWrap/>
            <w:vAlign w:val="center"/>
            <w:hideMark/>
          </w:tcPr>
          <w:p w14:paraId="7258D7EF" w14:textId="037873B6" w:rsidR="007A25FC" w:rsidRPr="00FC2211" w:rsidRDefault="007A25FC" w:rsidP="00BF7E68">
            <w:pPr>
              <w:ind w:right="174"/>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416" w:type="dxa"/>
            <w:tcBorders>
              <w:top w:val="nil"/>
              <w:left w:val="nil"/>
              <w:bottom w:val="nil"/>
              <w:right w:val="nil"/>
            </w:tcBorders>
            <w:shd w:val="clear" w:color="auto" w:fill="auto"/>
            <w:noWrap/>
            <w:vAlign w:val="center"/>
            <w:hideMark/>
          </w:tcPr>
          <w:p w14:paraId="5560E62E" w14:textId="7B73E766" w:rsidR="007A25FC" w:rsidRPr="00FC2211" w:rsidRDefault="007A25FC" w:rsidP="00BF7E68">
            <w:pPr>
              <w:ind w:right="181"/>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561" w:type="dxa"/>
            <w:tcBorders>
              <w:top w:val="nil"/>
              <w:left w:val="nil"/>
              <w:bottom w:val="nil"/>
              <w:right w:val="nil"/>
            </w:tcBorders>
            <w:shd w:val="clear" w:color="auto" w:fill="auto"/>
            <w:noWrap/>
            <w:vAlign w:val="center"/>
            <w:hideMark/>
          </w:tcPr>
          <w:p w14:paraId="016B6462" w14:textId="7E90510A" w:rsidR="007A25FC" w:rsidRPr="00FC2211" w:rsidRDefault="007A25FC" w:rsidP="00BF7E68">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(3,331,491)</w:t>
            </w:r>
          </w:p>
        </w:tc>
        <w:tc>
          <w:tcPr>
            <w:tcW w:w="1701" w:type="dxa"/>
            <w:tcBorders>
              <w:top w:val="nil"/>
              <w:left w:val="nil"/>
              <w:bottom w:val="nil"/>
              <w:right w:val="nil"/>
            </w:tcBorders>
            <w:shd w:val="clear" w:color="auto" w:fill="auto"/>
            <w:noWrap/>
            <w:vAlign w:val="center"/>
            <w:hideMark/>
          </w:tcPr>
          <w:p w14:paraId="0FF6A5C6" w14:textId="1E5D86A1" w:rsidR="007A25FC" w:rsidRPr="00FC2211" w:rsidRDefault="007A25FC" w:rsidP="00BF7E68">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(3,331,491)</w:t>
            </w:r>
          </w:p>
        </w:tc>
      </w:tr>
      <w:tr w:rsidR="007A25FC" w:rsidRPr="00FC2211" w14:paraId="6A4FABC0" w14:textId="77777777" w:rsidTr="00A97E89">
        <w:trPr>
          <w:trHeight w:val="288"/>
        </w:trPr>
        <w:tc>
          <w:tcPr>
            <w:tcW w:w="3828" w:type="dxa"/>
            <w:tcBorders>
              <w:top w:val="single" w:sz="8" w:space="0" w:color="auto"/>
              <w:left w:val="nil"/>
              <w:bottom w:val="single" w:sz="8" w:space="0" w:color="auto"/>
              <w:right w:val="nil"/>
            </w:tcBorders>
            <w:shd w:val="clear" w:color="auto" w:fill="auto"/>
            <w:noWrap/>
            <w:vAlign w:val="center"/>
            <w:hideMark/>
          </w:tcPr>
          <w:p w14:paraId="7E168E55" w14:textId="77777777" w:rsidR="007A25FC" w:rsidRPr="00FC2211" w:rsidRDefault="007A25FC" w:rsidP="00BF7E68">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Balance, June 30,  2023</w:t>
            </w:r>
          </w:p>
        </w:tc>
        <w:tc>
          <w:tcPr>
            <w:tcW w:w="850" w:type="dxa"/>
            <w:tcBorders>
              <w:top w:val="single" w:sz="8" w:space="0" w:color="auto"/>
              <w:left w:val="nil"/>
              <w:bottom w:val="single" w:sz="8" w:space="0" w:color="auto"/>
              <w:right w:val="nil"/>
            </w:tcBorders>
            <w:shd w:val="clear" w:color="auto" w:fill="auto"/>
            <w:noWrap/>
            <w:vAlign w:val="center"/>
            <w:hideMark/>
          </w:tcPr>
          <w:p w14:paraId="425F4C4D" w14:textId="77777777" w:rsidR="007A25FC" w:rsidRPr="00FC2211" w:rsidRDefault="007A25FC" w:rsidP="00BF7E68">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 </w:t>
            </w:r>
          </w:p>
        </w:tc>
        <w:tc>
          <w:tcPr>
            <w:tcW w:w="1559" w:type="dxa"/>
            <w:tcBorders>
              <w:top w:val="single" w:sz="8" w:space="0" w:color="auto"/>
              <w:left w:val="nil"/>
              <w:bottom w:val="single" w:sz="8" w:space="0" w:color="auto"/>
              <w:right w:val="nil"/>
            </w:tcBorders>
            <w:shd w:val="clear" w:color="auto" w:fill="auto"/>
            <w:noWrap/>
            <w:vAlign w:val="center"/>
            <w:hideMark/>
          </w:tcPr>
          <w:p w14:paraId="5CFEFA1E" w14:textId="51C04A7D" w:rsidR="007A25FC" w:rsidRPr="00FC2211" w:rsidRDefault="007A25FC"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76,143,709 </w:t>
            </w:r>
          </w:p>
        </w:tc>
        <w:tc>
          <w:tcPr>
            <w:tcW w:w="1418" w:type="dxa"/>
            <w:tcBorders>
              <w:top w:val="single" w:sz="8" w:space="0" w:color="auto"/>
              <w:left w:val="nil"/>
              <w:bottom w:val="single" w:sz="8" w:space="0" w:color="auto"/>
              <w:right w:val="nil"/>
            </w:tcBorders>
            <w:shd w:val="clear" w:color="auto" w:fill="auto"/>
            <w:noWrap/>
            <w:vAlign w:val="center"/>
            <w:hideMark/>
          </w:tcPr>
          <w:p w14:paraId="3CCE2A10" w14:textId="6163AC19" w:rsidR="007A25FC" w:rsidRPr="00FC2211" w:rsidRDefault="007A25FC"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14,968,979 </w:t>
            </w:r>
          </w:p>
        </w:tc>
        <w:tc>
          <w:tcPr>
            <w:tcW w:w="1416" w:type="dxa"/>
            <w:tcBorders>
              <w:top w:val="single" w:sz="8" w:space="0" w:color="auto"/>
              <w:left w:val="nil"/>
              <w:bottom w:val="single" w:sz="8" w:space="0" w:color="auto"/>
              <w:right w:val="nil"/>
            </w:tcBorders>
            <w:shd w:val="clear" w:color="auto" w:fill="auto"/>
            <w:noWrap/>
            <w:vAlign w:val="center"/>
            <w:hideMark/>
          </w:tcPr>
          <w:p w14:paraId="4C30877F" w14:textId="47CE1299" w:rsidR="007A25FC" w:rsidRPr="00FC2211" w:rsidRDefault="007A25FC"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945,182 </w:t>
            </w:r>
          </w:p>
        </w:tc>
        <w:tc>
          <w:tcPr>
            <w:tcW w:w="1561" w:type="dxa"/>
            <w:tcBorders>
              <w:top w:val="single" w:sz="8" w:space="0" w:color="auto"/>
              <w:left w:val="nil"/>
              <w:bottom w:val="single" w:sz="8" w:space="0" w:color="auto"/>
              <w:right w:val="nil"/>
            </w:tcBorders>
            <w:shd w:val="clear" w:color="auto" w:fill="auto"/>
            <w:noWrap/>
            <w:vAlign w:val="center"/>
            <w:hideMark/>
          </w:tcPr>
          <w:p w14:paraId="7CCAEB40" w14:textId="39A26390" w:rsidR="007A25FC" w:rsidRPr="00FC2211" w:rsidRDefault="007A25FC" w:rsidP="00BF7E68">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(15,245,327)</w:t>
            </w:r>
          </w:p>
        </w:tc>
        <w:tc>
          <w:tcPr>
            <w:tcW w:w="1701" w:type="dxa"/>
            <w:tcBorders>
              <w:top w:val="single" w:sz="8" w:space="0" w:color="auto"/>
              <w:left w:val="nil"/>
              <w:bottom w:val="single" w:sz="8" w:space="0" w:color="auto"/>
              <w:right w:val="nil"/>
            </w:tcBorders>
            <w:shd w:val="clear" w:color="auto" w:fill="auto"/>
            <w:noWrap/>
            <w:vAlign w:val="center"/>
            <w:hideMark/>
          </w:tcPr>
          <w:p w14:paraId="0FAFE778" w14:textId="78A12DCF" w:rsidR="007A25FC" w:rsidRPr="00FC2211" w:rsidRDefault="007A25FC" w:rsidP="00BF7E6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668,834 </w:t>
            </w:r>
          </w:p>
        </w:tc>
      </w:tr>
      <w:tr w:rsidR="007A25FC" w:rsidRPr="00FC2211" w14:paraId="67AC0F3D" w14:textId="77777777" w:rsidTr="00A97E89">
        <w:trPr>
          <w:trHeight w:val="276"/>
        </w:trPr>
        <w:tc>
          <w:tcPr>
            <w:tcW w:w="3828" w:type="dxa"/>
            <w:tcBorders>
              <w:top w:val="nil"/>
              <w:left w:val="nil"/>
              <w:bottom w:val="nil"/>
              <w:right w:val="nil"/>
            </w:tcBorders>
            <w:shd w:val="clear" w:color="auto" w:fill="auto"/>
            <w:noWrap/>
            <w:vAlign w:val="center"/>
            <w:hideMark/>
          </w:tcPr>
          <w:p w14:paraId="1DFE9708" w14:textId="77777777" w:rsidR="007A25FC" w:rsidRPr="00FC2211" w:rsidRDefault="007A25FC" w:rsidP="00BF7E68">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Stock-based compensation</w:t>
            </w:r>
          </w:p>
        </w:tc>
        <w:tc>
          <w:tcPr>
            <w:tcW w:w="850" w:type="dxa"/>
            <w:tcBorders>
              <w:top w:val="nil"/>
              <w:left w:val="nil"/>
              <w:bottom w:val="nil"/>
              <w:right w:val="nil"/>
            </w:tcBorders>
            <w:shd w:val="clear" w:color="auto" w:fill="auto"/>
            <w:noWrap/>
            <w:vAlign w:val="bottom"/>
            <w:hideMark/>
          </w:tcPr>
          <w:p w14:paraId="4AF4E293" w14:textId="77777777" w:rsidR="007A25FC" w:rsidRPr="00FC2211" w:rsidRDefault="007A25FC" w:rsidP="00BF7E68">
            <w:pPr>
              <w:rPr>
                <w:rFonts w:ascii="Calibri" w:hAnsi="Calibri" w:cs="Calibri"/>
                <w:color w:val="000000"/>
                <w:szCs w:val="20"/>
                <w:lang w:val="en-CA" w:eastAsia="en-CA"/>
              </w:rPr>
            </w:pPr>
          </w:p>
        </w:tc>
        <w:tc>
          <w:tcPr>
            <w:tcW w:w="1559" w:type="dxa"/>
            <w:tcBorders>
              <w:top w:val="nil"/>
              <w:left w:val="nil"/>
              <w:bottom w:val="nil"/>
              <w:right w:val="nil"/>
            </w:tcBorders>
            <w:shd w:val="clear" w:color="auto" w:fill="auto"/>
            <w:noWrap/>
            <w:vAlign w:val="center"/>
            <w:hideMark/>
          </w:tcPr>
          <w:p w14:paraId="2FA504FC" w14:textId="03E4B16F" w:rsidR="007A25FC" w:rsidRPr="00FC2211" w:rsidRDefault="007A25FC" w:rsidP="00BF7E68">
            <w:pPr>
              <w:ind w:right="181"/>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p>
        </w:tc>
        <w:tc>
          <w:tcPr>
            <w:tcW w:w="1418" w:type="dxa"/>
            <w:tcBorders>
              <w:top w:val="nil"/>
              <w:left w:val="nil"/>
              <w:bottom w:val="nil"/>
              <w:right w:val="nil"/>
            </w:tcBorders>
            <w:shd w:val="clear" w:color="auto" w:fill="auto"/>
            <w:noWrap/>
            <w:vAlign w:val="center"/>
            <w:hideMark/>
          </w:tcPr>
          <w:p w14:paraId="68BCFA61" w14:textId="42696873" w:rsidR="007A25FC" w:rsidRPr="00FC2211" w:rsidRDefault="007A25FC" w:rsidP="00BF7E68">
            <w:pPr>
              <w:ind w:right="174"/>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p>
        </w:tc>
        <w:tc>
          <w:tcPr>
            <w:tcW w:w="1416" w:type="dxa"/>
            <w:tcBorders>
              <w:top w:val="nil"/>
              <w:left w:val="nil"/>
              <w:bottom w:val="nil"/>
              <w:right w:val="nil"/>
            </w:tcBorders>
            <w:shd w:val="clear" w:color="auto" w:fill="auto"/>
            <w:noWrap/>
            <w:vAlign w:val="center"/>
            <w:hideMark/>
          </w:tcPr>
          <w:p w14:paraId="34DE5C57" w14:textId="4362CF0A" w:rsidR="007A25FC" w:rsidRPr="00FC2211" w:rsidRDefault="007A25FC" w:rsidP="00BF7E68">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5232BE" w:rsidRPr="00FC2211">
              <w:rPr>
                <w:rFonts w:ascii="Calibri" w:hAnsi="Calibri" w:cs="Calibri"/>
                <w:b/>
                <w:bCs/>
                <w:color w:val="000000"/>
                <w:szCs w:val="20"/>
                <w:lang w:val="en-CA" w:eastAsia="en-CA"/>
              </w:rPr>
              <w:t>112,367</w:t>
            </w:r>
            <w:r w:rsidRPr="00FC2211">
              <w:rPr>
                <w:rFonts w:ascii="Calibri" w:hAnsi="Calibri" w:cs="Calibri"/>
                <w:b/>
                <w:bCs/>
                <w:color w:val="000000"/>
                <w:szCs w:val="20"/>
                <w:lang w:val="en-CA" w:eastAsia="en-CA"/>
              </w:rPr>
              <w:t xml:space="preserve"> </w:t>
            </w:r>
          </w:p>
        </w:tc>
        <w:tc>
          <w:tcPr>
            <w:tcW w:w="1561" w:type="dxa"/>
            <w:tcBorders>
              <w:top w:val="nil"/>
              <w:left w:val="nil"/>
              <w:bottom w:val="nil"/>
              <w:right w:val="nil"/>
            </w:tcBorders>
            <w:shd w:val="clear" w:color="auto" w:fill="auto"/>
            <w:noWrap/>
            <w:vAlign w:val="center"/>
            <w:hideMark/>
          </w:tcPr>
          <w:p w14:paraId="51894E2C" w14:textId="4FEA140F" w:rsidR="007A25FC" w:rsidRPr="00FC2211" w:rsidRDefault="007A25FC" w:rsidP="00BF7E68">
            <w:pPr>
              <w:ind w:right="18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p>
        </w:tc>
        <w:tc>
          <w:tcPr>
            <w:tcW w:w="1701" w:type="dxa"/>
            <w:tcBorders>
              <w:top w:val="nil"/>
              <w:left w:val="nil"/>
              <w:bottom w:val="nil"/>
              <w:right w:val="nil"/>
            </w:tcBorders>
            <w:shd w:val="clear" w:color="auto" w:fill="auto"/>
            <w:noWrap/>
            <w:vAlign w:val="center"/>
            <w:hideMark/>
          </w:tcPr>
          <w:p w14:paraId="1B88BC49" w14:textId="3E2DFA5C" w:rsidR="007A25FC" w:rsidRPr="00FC2211" w:rsidRDefault="007A25FC" w:rsidP="00BF7E68">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B77F56" w:rsidRPr="00FC2211">
              <w:rPr>
                <w:rFonts w:ascii="Calibri" w:hAnsi="Calibri" w:cs="Calibri"/>
                <w:b/>
                <w:bCs/>
                <w:color w:val="000000"/>
                <w:szCs w:val="20"/>
                <w:lang w:val="en-CA" w:eastAsia="en-CA"/>
              </w:rPr>
              <w:t>112,367</w:t>
            </w:r>
            <w:r w:rsidRPr="00FC2211">
              <w:rPr>
                <w:rFonts w:ascii="Calibri" w:hAnsi="Calibri" w:cs="Calibri"/>
                <w:b/>
                <w:bCs/>
                <w:color w:val="000000"/>
                <w:szCs w:val="20"/>
                <w:lang w:val="en-CA" w:eastAsia="en-CA"/>
              </w:rPr>
              <w:t xml:space="preserve"> </w:t>
            </w:r>
          </w:p>
        </w:tc>
      </w:tr>
      <w:tr w:rsidR="007A25FC" w:rsidRPr="00FC2211" w14:paraId="33A52D7E" w14:textId="77777777" w:rsidTr="00A97E89">
        <w:trPr>
          <w:trHeight w:val="288"/>
        </w:trPr>
        <w:tc>
          <w:tcPr>
            <w:tcW w:w="3828" w:type="dxa"/>
            <w:tcBorders>
              <w:top w:val="nil"/>
              <w:left w:val="nil"/>
              <w:bottom w:val="single" w:sz="8" w:space="0" w:color="auto"/>
              <w:right w:val="nil"/>
            </w:tcBorders>
            <w:shd w:val="clear" w:color="auto" w:fill="auto"/>
            <w:noWrap/>
            <w:vAlign w:val="center"/>
            <w:hideMark/>
          </w:tcPr>
          <w:p w14:paraId="4ED18561" w14:textId="77777777" w:rsidR="007A25FC" w:rsidRPr="00FC2211" w:rsidRDefault="007A25FC" w:rsidP="00BF7E68">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Net loss and comprehensive loss </w:t>
            </w:r>
          </w:p>
        </w:tc>
        <w:tc>
          <w:tcPr>
            <w:tcW w:w="850" w:type="dxa"/>
            <w:tcBorders>
              <w:top w:val="nil"/>
              <w:left w:val="nil"/>
              <w:bottom w:val="single" w:sz="8" w:space="0" w:color="auto"/>
              <w:right w:val="nil"/>
            </w:tcBorders>
            <w:shd w:val="clear" w:color="auto" w:fill="auto"/>
            <w:noWrap/>
            <w:vAlign w:val="center"/>
            <w:hideMark/>
          </w:tcPr>
          <w:p w14:paraId="56F6BB7E" w14:textId="77777777" w:rsidR="007A25FC" w:rsidRPr="00FC2211" w:rsidRDefault="007A25FC" w:rsidP="00BF7E68">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 </w:t>
            </w:r>
          </w:p>
        </w:tc>
        <w:tc>
          <w:tcPr>
            <w:tcW w:w="1559" w:type="dxa"/>
            <w:tcBorders>
              <w:top w:val="nil"/>
              <w:left w:val="nil"/>
              <w:bottom w:val="single" w:sz="8" w:space="0" w:color="auto"/>
              <w:right w:val="nil"/>
            </w:tcBorders>
            <w:shd w:val="clear" w:color="auto" w:fill="auto"/>
            <w:noWrap/>
            <w:vAlign w:val="center"/>
            <w:hideMark/>
          </w:tcPr>
          <w:p w14:paraId="5283C822" w14:textId="7777947C" w:rsidR="007A25FC" w:rsidRPr="00FC2211" w:rsidRDefault="007A25FC" w:rsidP="00BF7E68">
            <w:pPr>
              <w:ind w:right="181"/>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p>
        </w:tc>
        <w:tc>
          <w:tcPr>
            <w:tcW w:w="1418" w:type="dxa"/>
            <w:tcBorders>
              <w:top w:val="nil"/>
              <w:left w:val="nil"/>
              <w:bottom w:val="single" w:sz="8" w:space="0" w:color="auto"/>
              <w:right w:val="nil"/>
            </w:tcBorders>
            <w:shd w:val="clear" w:color="auto" w:fill="auto"/>
            <w:noWrap/>
            <w:vAlign w:val="center"/>
            <w:hideMark/>
          </w:tcPr>
          <w:p w14:paraId="24A1A7C1" w14:textId="60D8E302" w:rsidR="007A25FC" w:rsidRPr="00FC2211" w:rsidRDefault="007A25FC" w:rsidP="00BF7E68">
            <w:pPr>
              <w:ind w:right="174"/>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p>
        </w:tc>
        <w:tc>
          <w:tcPr>
            <w:tcW w:w="1416" w:type="dxa"/>
            <w:tcBorders>
              <w:top w:val="nil"/>
              <w:left w:val="nil"/>
              <w:bottom w:val="single" w:sz="8" w:space="0" w:color="auto"/>
              <w:right w:val="nil"/>
            </w:tcBorders>
            <w:shd w:val="clear" w:color="auto" w:fill="auto"/>
            <w:noWrap/>
            <w:vAlign w:val="center"/>
            <w:hideMark/>
          </w:tcPr>
          <w:p w14:paraId="68AD6410" w14:textId="0BE43133" w:rsidR="007A25FC" w:rsidRPr="00FC2211" w:rsidRDefault="007A25FC" w:rsidP="00BF7E68">
            <w:pPr>
              <w:ind w:right="181"/>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p>
        </w:tc>
        <w:tc>
          <w:tcPr>
            <w:tcW w:w="1561" w:type="dxa"/>
            <w:tcBorders>
              <w:top w:val="nil"/>
              <w:left w:val="nil"/>
              <w:bottom w:val="single" w:sz="8" w:space="0" w:color="auto"/>
              <w:right w:val="nil"/>
            </w:tcBorders>
            <w:shd w:val="clear" w:color="auto" w:fill="auto"/>
            <w:noWrap/>
            <w:vAlign w:val="center"/>
            <w:hideMark/>
          </w:tcPr>
          <w:p w14:paraId="5EE4A88E" w14:textId="7D05EB0F" w:rsidR="007A25FC" w:rsidRPr="00FC2211" w:rsidRDefault="007A25FC" w:rsidP="00BF7E68">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B77F56" w:rsidRPr="00FC2211">
              <w:rPr>
                <w:rFonts w:ascii="Calibri" w:hAnsi="Calibri" w:cs="Calibri"/>
                <w:b/>
                <w:bCs/>
                <w:color w:val="000000"/>
                <w:szCs w:val="20"/>
                <w:lang w:val="en-CA" w:eastAsia="en-CA"/>
              </w:rPr>
              <w:t>1,393</w:t>
            </w:r>
            <w:r w:rsidRPr="00FC2211">
              <w:rPr>
                <w:rFonts w:ascii="Calibri" w:hAnsi="Calibri" w:cs="Calibri"/>
                <w:b/>
                <w:bCs/>
                <w:color w:val="000000"/>
                <w:szCs w:val="20"/>
                <w:lang w:val="en-CA" w:eastAsia="en-CA"/>
              </w:rPr>
              <w:t>,</w:t>
            </w:r>
            <w:r w:rsidR="00EB513C" w:rsidRPr="00FC2211">
              <w:rPr>
                <w:rFonts w:ascii="Calibri" w:hAnsi="Calibri" w:cs="Calibri"/>
                <w:b/>
                <w:bCs/>
                <w:color w:val="000000"/>
                <w:szCs w:val="20"/>
                <w:lang w:val="en-CA" w:eastAsia="en-CA"/>
              </w:rPr>
              <w:t>875</w:t>
            </w:r>
            <w:r w:rsidRPr="00FC2211">
              <w:rPr>
                <w:rFonts w:ascii="Calibri" w:hAnsi="Calibri" w:cs="Calibri"/>
                <w:b/>
                <w:bCs/>
                <w:color w:val="000000"/>
                <w:szCs w:val="20"/>
                <w:lang w:val="en-CA" w:eastAsia="en-CA"/>
              </w:rPr>
              <w:t>)</w:t>
            </w:r>
          </w:p>
        </w:tc>
        <w:tc>
          <w:tcPr>
            <w:tcW w:w="1701" w:type="dxa"/>
            <w:tcBorders>
              <w:top w:val="nil"/>
              <w:left w:val="nil"/>
              <w:bottom w:val="single" w:sz="8" w:space="0" w:color="auto"/>
              <w:right w:val="nil"/>
            </w:tcBorders>
            <w:shd w:val="clear" w:color="auto" w:fill="auto"/>
            <w:noWrap/>
            <w:vAlign w:val="center"/>
            <w:hideMark/>
          </w:tcPr>
          <w:p w14:paraId="05233B43" w14:textId="5B2E8870" w:rsidR="007A25FC" w:rsidRPr="00FC2211" w:rsidRDefault="007A25FC" w:rsidP="00BF7E68">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B77F56" w:rsidRPr="00FC2211">
              <w:rPr>
                <w:rFonts w:ascii="Calibri" w:hAnsi="Calibri" w:cs="Calibri"/>
                <w:b/>
                <w:bCs/>
                <w:color w:val="000000"/>
                <w:szCs w:val="20"/>
                <w:lang w:val="en-CA" w:eastAsia="en-CA"/>
              </w:rPr>
              <w:t>1,393,</w:t>
            </w:r>
            <w:r w:rsidR="00EB513C" w:rsidRPr="00FC2211">
              <w:rPr>
                <w:rFonts w:ascii="Calibri" w:hAnsi="Calibri" w:cs="Calibri"/>
                <w:b/>
                <w:bCs/>
                <w:color w:val="000000"/>
                <w:szCs w:val="20"/>
                <w:lang w:val="en-CA" w:eastAsia="en-CA"/>
              </w:rPr>
              <w:t>875</w:t>
            </w:r>
            <w:r w:rsidRPr="00FC2211">
              <w:rPr>
                <w:rFonts w:ascii="Calibri" w:hAnsi="Calibri" w:cs="Calibri"/>
                <w:b/>
                <w:bCs/>
                <w:color w:val="000000"/>
                <w:szCs w:val="20"/>
                <w:lang w:val="en-CA" w:eastAsia="en-CA"/>
              </w:rPr>
              <w:t>)</w:t>
            </w:r>
          </w:p>
        </w:tc>
      </w:tr>
      <w:tr w:rsidR="007A25FC" w:rsidRPr="00FC2211" w14:paraId="05A9600D" w14:textId="77777777" w:rsidTr="00A97E89">
        <w:trPr>
          <w:trHeight w:val="288"/>
        </w:trPr>
        <w:tc>
          <w:tcPr>
            <w:tcW w:w="3828" w:type="dxa"/>
            <w:tcBorders>
              <w:top w:val="nil"/>
              <w:left w:val="nil"/>
              <w:bottom w:val="single" w:sz="8" w:space="0" w:color="auto"/>
              <w:right w:val="nil"/>
            </w:tcBorders>
            <w:shd w:val="clear" w:color="auto" w:fill="auto"/>
            <w:noWrap/>
            <w:vAlign w:val="center"/>
            <w:hideMark/>
          </w:tcPr>
          <w:p w14:paraId="62CEFE6F" w14:textId="38C3B8F3" w:rsidR="007A25FC" w:rsidRPr="00FC2211" w:rsidRDefault="007A25FC" w:rsidP="00BF7E68">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Balance, </w:t>
            </w:r>
            <w:r w:rsidR="0018064B" w:rsidRPr="00FC2211">
              <w:rPr>
                <w:rFonts w:ascii="Calibri" w:hAnsi="Calibri" w:cs="Calibri"/>
                <w:b/>
                <w:bCs/>
                <w:color w:val="000000"/>
                <w:szCs w:val="20"/>
                <w:lang w:val="en-CA" w:eastAsia="en-CA"/>
              </w:rPr>
              <w:t>December 31</w:t>
            </w:r>
            <w:r w:rsidRPr="00FC2211">
              <w:rPr>
                <w:rFonts w:ascii="Calibri" w:hAnsi="Calibri" w:cs="Calibri"/>
                <w:b/>
                <w:bCs/>
                <w:color w:val="000000"/>
                <w:szCs w:val="20"/>
                <w:lang w:val="en-CA" w:eastAsia="en-CA"/>
              </w:rPr>
              <w:t>, 2023</w:t>
            </w:r>
          </w:p>
        </w:tc>
        <w:tc>
          <w:tcPr>
            <w:tcW w:w="850" w:type="dxa"/>
            <w:tcBorders>
              <w:top w:val="nil"/>
              <w:left w:val="nil"/>
              <w:bottom w:val="single" w:sz="8" w:space="0" w:color="auto"/>
              <w:right w:val="nil"/>
            </w:tcBorders>
            <w:shd w:val="clear" w:color="auto" w:fill="auto"/>
            <w:noWrap/>
            <w:vAlign w:val="center"/>
            <w:hideMark/>
          </w:tcPr>
          <w:p w14:paraId="3A03C2FD" w14:textId="77777777" w:rsidR="007A25FC" w:rsidRPr="00FC2211" w:rsidRDefault="007A25FC" w:rsidP="00BF7E68">
            <w:pPr>
              <w:jc w:val="center"/>
              <w:rPr>
                <w:rFonts w:ascii="Calibri" w:hAnsi="Calibri" w:cs="Calibri"/>
                <w:b/>
                <w:bCs/>
                <w:i/>
                <w:iCs/>
                <w:color w:val="000000"/>
                <w:szCs w:val="20"/>
                <w:lang w:val="en-CA" w:eastAsia="en-CA"/>
              </w:rPr>
            </w:pPr>
            <w:r w:rsidRPr="00FC2211">
              <w:rPr>
                <w:rFonts w:ascii="Calibri" w:hAnsi="Calibri" w:cs="Calibri"/>
                <w:b/>
                <w:bCs/>
                <w:i/>
                <w:iCs/>
                <w:color w:val="000000"/>
                <w:szCs w:val="20"/>
                <w:lang w:val="en-CA" w:eastAsia="en-CA"/>
              </w:rPr>
              <w:t> </w:t>
            </w:r>
          </w:p>
        </w:tc>
        <w:tc>
          <w:tcPr>
            <w:tcW w:w="1559" w:type="dxa"/>
            <w:tcBorders>
              <w:top w:val="nil"/>
              <w:left w:val="nil"/>
              <w:bottom w:val="single" w:sz="8" w:space="0" w:color="auto"/>
              <w:right w:val="nil"/>
            </w:tcBorders>
            <w:shd w:val="clear" w:color="auto" w:fill="auto"/>
            <w:noWrap/>
            <w:vAlign w:val="center"/>
            <w:hideMark/>
          </w:tcPr>
          <w:p w14:paraId="3D5C3582" w14:textId="41885CD9" w:rsidR="007A25FC" w:rsidRPr="00FC2211" w:rsidRDefault="007A25FC" w:rsidP="00BF7E68">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76,143,709 </w:t>
            </w:r>
          </w:p>
        </w:tc>
        <w:tc>
          <w:tcPr>
            <w:tcW w:w="1418" w:type="dxa"/>
            <w:tcBorders>
              <w:top w:val="nil"/>
              <w:left w:val="nil"/>
              <w:bottom w:val="single" w:sz="8" w:space="0" w:color="auto"/>
              <w:right w:val="nil"/>
            </w:tcBorders>
            <w:shd w:val="clear" w:color="auto" w:fill="auto"/>
            <w:noWrap/>
            <w:vAlign w:val="center"/>
            <w:hideMark/>
          </w:tcPr>
          <w:p w14:paraId="157D8EA7" w14:textId="0D00A992" w:rsidR="007A25FC" w:rsidRPr="00FC2211" w:rsidRDefault="007A25FC" w:rsidP="00BF7E68">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$ 14,968,979 </w:t>
            </w:r>
          </w:p>
        </w:tc>
        <w:tc>
          <w:tcPr>
            <w:tcW w:w="1416" w:type="dxa"/>
            <w:tcBorders>
              <w:top w:val="nil"/>
              <w:left w:val="nil"/>
              <w:bottom w:val="single" w:sz="8" w:space="0" w:color="auto"/>
              <w:right w:val="nil"/>
            </w:tcBorders>
            <w:shd w:val="clear" w:color="auto" w:fill="auto"/>
            <w:noWrap/>
            <w:vAlign w:val="center"/>
            <w:hideMark/>
          </w:tcPr>
          <w:p w14:paraId="0CD648A8" w14:textId="644FE2A8" w:rsidR="007A25FC" w:rsidRPr="00FC2211" w:rsidRDefault="007A25FC" w:rsidP="00BF7E68">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193ECD" w:rsidRPr="00FC2211">
              <w:rPr>
                <w:rFonts w:ascii="Calibri" w:hAnsi="Calibri" w:cs="Calibri"/>
                <w:b/>
                <w:bCs/>
                <w:color w:val="000000"/>
                <w:szCs w:val="20"/>
                <w:lang w:val="en-CA" w:eastAsia="en-CA"/>
              </w:rPr>
              <w:t>1,057,549</w:t>
            </w:r>
            <w:r w:rsidRPr="00FC2211">
              <w:rPr>
                <w:rFonts w:ascii="Calibri" w:hAnsi="Calibri" w:cs="Calibri"/>
                <w:b/>
                <w:bCs/>
                <w:color w:val="000000"/>
                <w:szCs w:val="20"/>
                <w:lang w:val="en-CA" w:eastAsia="en-CA"/>
              </w:rPr>
              <w:t xml:space="preserve"> </w:t>
            </w:r>
          </w:p>
        </w:tc>
        <w:tc>
          <w:tcPr>
            <w:tcW w:w="1561" w:type="dxa"/>
            <w:tcBorders>
              <w:top w:val="nil"/>
              <w:left w:val="nil"/>
              <w:bottom w:val="single" w:sz="8" w:space="0" w:color="auto"/>
              <w:right w:val="nil"/>
            </w:tcBorders>
            <w:shd w:val="clear" w:color="auto" w:fill="auto"/>
            <w:noWrap/>
            <w:vAlign w:val="center"/>
            <w:hideMark/>
          </w:tcPr>
          <w:p w14:paraId="13ADFA0D" w14:textId="3CD894F8" w:rsidR="007A25FC" w:rsidRPr="00FC2211" w:rsidRDefault="007A25FC" w:rsidP="00BF7E68">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w:t>
            </w:r>
            <w:r w:rsidR="00193ECD" w:rsidRPr="00FC2211">
              <w:rPr>
                <w:rFonts w:ascii="Calibri" w:hAnsi="Calibri" w:cs="Calibri"/>
                <w:b/>
                <w:bCs/>
                <w:color w:val="000000"/>
                <w:szCs w:val="20"/>
                <w:lang w:val="en-CA" w:eastAsia="en-CA"/>
              </w:rPr>
              <w:t>16,63</w:t>
            </w:r>
            <w:r w:rsidR="00E95440" w:rsidRPr="00FC2211">
              <w:rPr>
                <w:rFonts w:ascii="Calibri" w:hAnsi="Calibri" w:cs="Calibri"/>
                <w:b/>
                <w:bCs/>
                <w:color w:val="000000"/>
                <w:szCs w:val="20"/>
                <w:lang w:val="en-CA" w:eastAsia="en-CA"/>
              </w:rPr>
              <w:t>9</w:t>
            </w:r>
            <w:r w:rsidR="00193ECD" w:rsidRPr="00FC2211">
              <w:rPr>
                <w:rFonts w:ascii="Calibri" w:hAnsi="Calibri" w:cs="Calibri"/>
                <w:b/>
                <w:bCs/>
                <w:color w:val="000000"/>
                <w:szCs w:val="20"/>
                <w:lang w:val="en-CA" w:eastAsia="en-CA"/>
              </w:rPr>
              <w:t>,</w:t>
            </w:r>
            <w:r w:rsidR="00EB513C" w:rsidRPr="00FC2211">
              <w:rPr>
                <w:rFonts w:ascii="Calibri" w:hAnsi="Calibri" w:cs="Calibri"/>
                <w:b/>
                <w:bCs/>
                <w:color w:val="000000"/>
                <w:szCs w:val="20"/>
                <w:lang w:val="en-CA" w:eastAsia="en-CA"/>
              </w:rPr>
              <w:t>202</w:t>
            </w:r>
            <w:r w:rsidRPr="00FC2211">
              <w:rPr>
                <w:rFonts w:ascii="Calibri" w:hAnsi="Calibri" w:cs="Calibri"/>
                <w:b/>
                <w:bCs/>
                <w:color w:val="000000"/>
                <w:szCs w:val="20"/>
                <w:lang w:val="en-CA" w:eastAsia="en-CA"/>
              </w:rPr>
              <w:t>)</w:t>
            </w:r>
          </w:p>
        </w:tc>
        <w:tc>
          <w:tcPr>
            <w:tcW w:w="1701" w:type="dxa"/>
            <w:tcBorders>
              <w:top w:val="nil"/>
              <w:left w:val="nil"/>
              <w:bottom w:val="single" w:sz="8" w:space="0" w:color="auto"/>
              <w:right w:val="nil"/>
            </w:tcBorders>
            <w:shd w:val="clear" w:color="auto" w:fill="auto"/>
            <w:noWrap/>
            <w:vAlign w:val="center"/>
            <w:hideMark/>
          </w:tcPr>
          <w:p w14:paraId="145E6DDC" w14:textId="273F34A2" w:rsidR="007A25FC" w:rsidRPr="00FC2211" w:rsidRDefault="007A25FC" w:rsidP="00BF7E68">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w:t>
            </w:r>
            <w:r w:rsidR="00193ECD" w:rsidRPr="00FC2211">
              <w:rPr>
                <w:rFonts w:ascii="Calibri" w:hAnsi="Calibri" w:cs="Calibri"/>
                <w:b/>
                <w:bCs/>
                <w:color w:val="000000"/>
                <w:szCs w:val="20"/>
                <w:lang w:val="en-CA" w:eastAsia="en-CA"/>
              </w:rPr>
              <w:t>612,</w:t>
            </w:r>
            <w:r w:rsidR="00E95440" w:rsidRPr="00FC2211">
              <w:rPr>
                <w:rFonts w:ascii="Calibri" w:hAnsi="Calibri" w:cs="Calibri"/>
                <w:b/>
                <w:bCs/>
                <w:color w:val="000000"/>
                <w:szCs w:val="20"/>
                <w:lang w:val="en-CA" w:eastAsia="en-CA"/>
              </w:rPr>
              <w:t>674</w:t>
            </w:r>
            <w:r w:rsidRPr="00FC2211">
              <w:rPr>
                <w:rFonts w:ascii="Calibri" w:hAnsi="Calibri" w:cs="Calibri"/>
                <w:b/>
                <w:bCs/>
                <w:color w:val="000000"/>
                <w:szCs w:val="20"/>
                <w:lang w:val="en-CA" w:eastAsia="en-CA"/>
              </w:rPr>
              <w:t>)</w:t>
            </w:r>
          </w:p>
        </w:tc>
      </w:tr>
    </w:tbl>
    <w:p w14:paraId="05FAA0E1" w14:textId="77777777" w:rsidR="00EE18A1" w:rsidRPr="00FC2211" w:rsidRDefault="00EE18A1" w:rsidP="00BF7E68">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 </w:t>
      </w:r>
    </w:p>
    <w:p w14:paraId="7AFA8837" w14:textId="77777777" w:rsidR="00673442" w:rsidRPr="00FC2211" w:rsidRDefault="00673442" w:rsidP="00BF7E68">
      <w:pPr>
        <w:jc w:val="center"/>
        <w:rPr>
          <w:rFonts w:cstheme="minorHAnsi"/>
          <w:szCs w:val="20"/>
        </w:rPr>
      </w:pPr>
    </w:p>
    <w:p w14:paraId="784893D2" w14:textId="66E8A136" w:rsidR="00030A60" w:rsidRPr="00FC2211" w:rsidRDefault="00E81399" w:rsidP="00BF7E68">
      <w:pPr>
        <w:jc w:val="center"/>
        <w:rPr>
          <w:rFonts w:cstheme="minorHAnsi"/>
          <w:szCs w:val="20"/>
        </w:rPr>
        <w:sectPr w:rsidR="00030A60" w:rsidRPr="00FC2211" w:rsidSect="0081636B">
          <w:headerReference w:type="default" r:id="rId23"/>
          <w:pgSz w:w="15840" w:h="12240" w:orient="landscape" w:code="1"/>
          <w:pgMar w:top="907" w:right="1440" w:bottom="1440" w:left="1440" w:header="720" w:footer="1021" w:gutter="0"/>
          <w:cols w:space="720"/>
          <w:docGrid w:linePitch="360"/>
        </w:sectPr>
      </w:pPr>
      <w:r w:rsidRPr="00FC2211">
        <w:rPr>
          <w:rFonts w:cstheme="minorHAnsi"/>
          <w:szCs w:val="20"/>
        </w:rPr>
        <w:t>The accompanying notes are an integral part of these unaudited interim condensed consolidated financial statements</w:t>
      </w:r>
    </w:p>
    <w:tbl>
      <w:tblPr>
        <w:tblW w:w="8698" w:type="dxa"/>
        <w:jc w:val="center"/>
        <w:tblLook w:val="04A0" w:firstRow="1" w:lastRow="0" w:firstColumn="1" w:lastColumn="0" w:noHBand="0" w:noVBand="1"/>
      </w:tblPr>
      <w:tblGrid>
        <w:gridCol w:w="4796"/>
        <w:gridCol w:w="733"/>
        <w:gridCol w:w="1701"/>
        <w:gridCol w:w="1468"/>
      </w:tblGrid>
      <w:tr w:rsidR="00C82507" w:rsidRPr="00FC2211" w14:paraId="3B6DF26A" w14:textId="77777777" w:rsidTr="00B916B6">
        <w:trPr>
          <w:trHeight w:val="285"/>
          <w:jc w:val="center"/>
        </w:trPr>
        <w:tc>
          <w:tcPr>
            <w:tcW w:w="4796" w:type="dxa"/>
            <w:tcBorders>
              <w:top w:val="nil"/>
              <w:left w:val="nil"/>
              <w:bottom w:val="nil"/>
              <w:right w:val="nil"/>
            </w:tcBorders>
            <w:shd w:val="clear" w:color="auto" w:fill="auto"/>
            <w:noWrap/>
            <w:vAlign w:val="center"/>
            <w:hideMark/>
          </w:tcPr>
          <w:p w14:paraId="2B23C50D" w14:textId="77777777" w:rsidR="00C82507" w:rsidRPr="00FC2211" w:rsidRDefault="00C82507" w:rsidP="00C82507">
            <w:pPr>
              <w:rPr>
                <w:rFonts w:ascii="Times New Roman" w:hAnsi="Times New Roman"/>
                <w:sz w:val="24"/>
                <w:szCs w:val="20"/>
                <w:lang w:val="en-CA" w:eastAsia="en-CA"/>
              </w:rPr>
            </w:pPr>
          </w:p>
        </w:tc>
        <w:tc>
          <w:tcPr>
            <w:tcW w:w="733" w:type="dxa"/>
            <w:tcBorders>
              <w:top w:val="nil"/>
              <w:left w:val="nil"/>
              <w:bottom w:val="nil"/>
              <w:right w:val="nil"/>
            </w:tcBorders>
            <w:shd w:val="clear" w:color="auto" w:fill="auto"/>
            <w:noWrap/>
            <w:vAlign w:val="center"/>
            <w:hideMark/>
          </w:tcPr>
          <w:p w14:paraId="164B4C1B" w14:textId="77777777" w:rsidR="00C82507" w:rsidRPr="00FC2211" w:rsidRDefault="00C82507" w:rsidP="00C82507">
            <w:pPr>
              <w:rPr>
                <w:rFonts w:ascii="Times New Roman" w:hAnsi="Times New Roman"/>
                <w:szCs w:val="20"/>
                <w:lang w:val="en-CA" w:eastAsia="en-CA"/>
              </w:rPr>
            </w:pPr>
          </w:p>
        </w:tc>
        <w:tc>
          <w:tcPr>
            <w:tcW w:w="3169" w:type="dxa"/>
            <w:gridSpan w:val="2"/>
            <w:tcBorders>
              <w:top w:val="nil"/>
              <w:left w:val="nil"/>
              <w:bottom w:val="single" w:sz="8" w:space="0" w:color="auto"/>
              <w:right w:val="nil"/>
            </w:tcBorders>
            <w:shd w:val="clear" w:color="auto" w:fill="auto"/>
            <w:vAlign w:val="center"/>
            <w:hideMark/>
          </w:tcPr>
          <w:p w14:paraId="61B36D1E" w14:textId="619B07CD" w:rsidR="00C82507" w:rsidRPr="00FC2211" w:rsidRDefault="00C82507" w:rsidP="00C8250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For the </w:t>
            </w:r>
            <w:r w:rsidR="00713160" w:rsidRPr="00FC2211">
              <w:rPr>
                <w:rFonts w:ascii="Calibri" w:hAnsi="Calibri" w:cs="Calibri"/>
                <w:b/>
                <w:bCs/>
                <w:color w:val="000000"/>
                <w:szCs w:val="20"/>
                <w:lang w:val="en-CA" w:eastAsia="en-CA"/>
              </w:rPr>
              <w:t xml:space="preserve">six </w:t>
            </w:r>
            <w:r w:rsidRPr="00FC2211">
              <w:rPr>
                <w:rFonts w:ascii="Calibri" w:hAnsi="Calibri" w:cs="Calibri"/>
                <w:b/>
                <w:bCs/>
                <w:color w:val="000000"/>
                <w:szCs w:val="20"/>
                <w:lang w:val="en-CA" w:eastAsia="en-CA"/>
              </w:rPr>
              <w:t xml:space="preserve"> months ended </w:t>
            </w:r>
            <w:r w:rsidR="00713160" w:rsidRPr="00FC2211">
              <w:rPr>
                <w:rFonts w:ascii="Calibri" w:hAnsi="Calibri" w:cs="Calibri"/>
                <w:b/>
                <w:bCs/>
                <w:color w:val="000000"/>
                <w:szCs w:val="20"/>
                <w:lang w:val="en-CA" w:eastAsia="en-CA"/>
              </w:rPr>
              <w:t>December</w:t>
            </w:r>
            <w:r w:rsidRPr="00FC2211">
              <w:rPr>
                <w:rFonts w:ascii="Calibri" w:hAnsi="Calibri" w:cs="Calibri"/>
                <w:b/>
                <w:bCs/>
                <w:color w:val="000000"/>
                <w:szCs w:val="20"/>
                <w:lang w:val="en-CA" w:eastAsia="en-CA"/>
              </w:rPr>
              <w:t xml:space="preserve"> 3</w:t>
            </w:r>
            <w:r w:rsidR="000924C1" w:rsidRPr="00FC2211">
              <w:rPr>
                <w:rFonts w:ascii="Calibri" w:hAnsi="Calibri" w:cs="Calibri"/>
                <w:b/>
                <w:bCs/>
                <w:color w:val="000000"/>
                <w:szCs w:val="20"/>
                <w:lang w:val="en-CA" w:eastAsia="en-CA"/>
              </w:rPr>
              <w:t>1</w:t>
            </w:r>
          </w:p>
        </w:tc>
      </w:tr>
      <w:tr w:rsidR="00C82507" w:rsidRPr="00FC2211" w14:paraId="76B9E722" w14:textId="77777777" w:rsidTr="0035440F">
        <w:trPr>
          <w:trHeight w:val="288"/>
          <w:jc w:val="center"/>
        </w:trPr>
        <w:tc>
          <w:tcPr>
            <w:tcW w:w="4796" w:type="dxa"/>
            <w:tcBorders>
              <w:top w:val="nil"/>
              <w:left w:val="nil"/>
              <w:bottom w:val="single" w:sz="8" w:space="0" w:color="auto"/>
              <w:right w:val="nil"/>
            </w:tcBorders>
            <w:shd w:val="clear" w:color="auto" w:fill="auto"/>
            <w:vAlign w:val="center"/>
            <w:hideMark/>
          </w:tcPr>
          <w:p w14:paraId="03F9902C" w14:textId="77777777" w:rsidR="00C82507" w:rsidRPr="00FC2211" w:rsidRDefault="00C82507" w:rsidP="00C82507">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733" w:type="dxa"/>
            <w:tcBorders>
              <w:top w:val="nil"/>
              <w:left w:val="nil"/>
              <w:bottom w:val="single" w:sz="8" w:space="0" w:color="auto"/>
              <w:right w:val="nil"/>
            </w:tcBorders>
            <w:shd w:val="clear" w:color="auto" w:fill="auto"/>
            <w:vAlign w:val="center"/>
            <w:hideMark/>
          </w:tcPr>
          <w:p w14:paraId="181C9C49" w14:textId="77777777" w:rsidR="00C82507" w:rsidRPr="00FC2211" w:rsidRDefault="00C82507" w:rsidP="00C82507">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701" w:type="dxa"/>
            <w:tcBorders>
              <w:top w:val="nil"/>
              <w:left w:val="nil"/>
              <w:bottom w:val="single" w:sz="8" w:space="0" w:color="auto"/>
              <w:right w:val="nil"/>
            </w:tcBorders>
            <w:shd w:val="clear" w:color="auto" w:fill="auto"/>
            <w:vAlign w:val="center"/>
            <w:hideMark/>
          </w:tcPr>
          <w:p w14:paraId="1CA46E1E" w14:textId="77777777" w:rsidR="00C82507" w:rsidRPr="00FC2211" w:rsidRDefault="00C82507" w:rsidP="00C8250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2023</w:t>
            </w:r>
          </w:p>
        </w:tc>
        <w:tc>
          <w:tcPr>
            <w:tcW w:w="1468" w:type="dxa"/>
            <w:tcBorders>
              <w:top w:val="nil"/>
              <w:left w:val="nil"/>
              <w:bottom w:val="single" w:sz="8" w:space="0" w:color="auto"/>
              <w:right w:val="nil"/>
            </w:tcBorders>
            <w:shd w:val="clear" w:color="auto" w:fill="auto"/>
            <w:vAlign w:val="center"/>
            <w:hideMark/>
          </w:tcPr>
          <w:p w14:paraId="6B214751" w14:textId="77777777" w:rsidR="00C82507" w:rsidRPr="00FC2211" w:rsidRDefault="00C82507" w:rsidP="00C82507">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2022</w:t>
            </w:r>
          </w:p>
        </w:tc>
      </w:tr>
      <w:tr w:rsidR="00C82507" w:rsidRPr="00FC2211" w14:paraId="272AE0BA" w14:textId="77777777" w:rsidTr="0035440F">
        <w:trPr>
          <w:trHeight w:val="276"/>
          <w:jc w:val="center"/>
        </w:trPr>
        <w:tc>
          <w:tcPr>
            <w:tcW w:w="4796" w:type="dxa"/>
            <w:tcBorders>
              <w:top w:val="nil"/>
              <w:left w:val="nil"/>
              <w:bottom w:val="nil"/>
              <w:right w:val="nil"/>
            </w:tcBorders>
            <w:shd w:val="clear" w:color="auto" w:fill="auto"/>
            <w:vAlign w:val="center"/>
            <w:hideMark/>
          </w:tcPr>
          <w:p w14:paraId="54E4F52B" w14:textId="77777777" w:rsidR="00C82507" w:rsidRPr="00FC2211" w:rsidRDefault="00C82507" w:rsidP="00C82507">
            <w:pPr>
              <w:jc w:val="right"/>
              <w:rPr>
                <w:rFonts w:ascii="Calibri" w:hAnsi="Calibri" w:cs="Calibri"/>
                <w:color w:val="000000"/>
                <w:szCs w:val="20"/>
                <w:lang w:val="en-CA" w:eastAsia="en-CA"/>
              </w:rPr>
            </w:pPr>
          </w:p>
        </w:tc>
        <w:tc>
          <w:tcPr>
            <w:tcW w:w="733" w:type="dxa"/>
            <w:tcBorders>
              <w:top w:val="nil"/>
              <w:left w:val="nil"/>
              <w:bottom w:val="nil"/>
              <w:right w:val="nil"/>
            </w:tcBorders>
            <w:shd w:val="clear" w:color="auto" w:fill="auto"/>
            <w:vAlign w:val="center"/>
            <w:hideMark/>
          </w:tcPr>
          <w:p w14:paraId="6E9E4929" w14:textId="77777777" w:rsidR="00C82507" w:rsidRPr="00FC2211" w:rsidRDefault="00C82507" w:rsidP="00C82507">
            <w:pPr>
              <w:rPr>
                <w:rFonts w:ascii="Times New Roman" w:hAnsi="Times New Roman"/>
                <w:szCs w:val="20"/>
                <w:lang w:val="en-CA" w:eastAsia="en-CA"/>
              </w:rPr>
            </w:pPr>
          </w:p>
        </w:tc>
        <w:tc>
          <w:tcPr>
            <w:tcW w:w="1701" w:type="dxa"/>
            <w:tcBorders>
              <w:top w:val="nil"/>
              <w:left w:val="nil"/>
              <w:bottom w:val="nil"/>
              <w:right w:val="nil"/>
            </w:tcBorders>
            <w:shd w:val="clear" w:color="auto" w:fill="auto"/>
            <w:vAlign w:val="center"/>
            <w:hideMark/>
          </w:tcPr>
          <w:p w14:paraId="4969A23B" w14:textId="77777777" w:rsidR="00C82507" w:rsidRPr="00FC2211" w:rsidRDefault="00C82507" w:rsidP="00C82507">
            <w:pPr>
              <w:rPr>
                <w:rFonts w:ascii="Times New Roman" w:hAnsi="Times New Roman"/>
                <w:szCs w:val="20"/>
                <w:lang w:val="en-CA" w:eastAsia="en-CA"/>
              </w:rPr>
            </w:pPr>
          </w:p>
        </w:tc>
        <w:tc>
          <w:tcPr>
            <w:tcW w:w="1468" w:type="dxa"/>
            <w:tcBorders>
              <w:top w:val="nil"/>
              <w:left w:val="nil"/>
              <w:bottom w:val="nil"/>
              <w:right w:val="nil"/>
            </w:tcBorders>
            <w:shd w:val="clear" w:color="auto" w:fill="auto"/>
            <w:vAlign w:val="center"/>
            <w:hideMark/>
          </w:tcPr>
          <w:p w14:paraId="7481807B" w14:textId="77777777" w:rsidR="00C82507" w:rsidRPr="00FC2211" w:rsidRDefault="00C82507" w:rsidP="00C82507">
            <w:pPr>
              <w:jc w:val="right"/>
              <w:rPr>
                <w:rFonts w:ascii="Times New Roman" w:hAnsi="Times New Roman"/>
                <w:szCs w:val="20"/>
                <w:lang w:val="en-CA" w:eastAsia="en-CA"/>
              </w:rPr>
            </w:pPr>
          </w:p>
        </w:tc>
      </w:tr>
      <w:tr w:rsidR="00C82507" w:rsidRPr="00FC2211" w14:paraId="42961A94" w14:textId="77777777" w:rsidTr="0035440F">
        <w:trPr>
          <w:trHeight w:val="276"/>
          <w:jc w:val="center"/>
        </w:trPr>
        <w:tc>
          <w:tcPr>
            <w:tcW w:w="4796" w:type="dxa"/>
            <w:tcBorders>
              <w:top w:val="nil"/>
              <w:left w:val="nil"/>
              <w:bottom w:val="nil"/>
              <w:right w:val="nil"/>
            </w:tcBorders>
            <w:shd w:val="clear" w:color="auto" w:fill="auto"/>
            <w:vAlign w:val="center"/>
            <w:hideMark/>
          </w:tcPr>
          <w:p w14:paraId="32FC04BB" w14:textId="77777777" w:rsidR="00C82507" w:rsidRPr="00FC2211" w:rsidRDefault="00C82507" w:rsidP="00C82507">
            <w:pPr>
              <w:rPr>
                <w:rFonts w:ascii="Calibri" w:hAnsi="Calibri" w:cs="Calibri"/>
                <w:color w:val="000000"/>
                <w:szCs w:val="20"/>
                <w:lang w:val="en-CA" w:eastAsia="en-CA"/>
              </w:rPr>
            </w:pPr>
            <w:r w:rsidRPr="00FC2211">
              <w:rPr>
                <w:rFonts w:ascii="Calibri" w:hAnsi="Calibri" w:cs="Calibri"/>
                <w:color w:val="000000"/>
                <w:szCs w:val="20"/>
                <w:lang w:val="en-CA" w:eastAsia="en-CA"/>
              </w:rPr>
              <w:t>Cash flows used in operating activities:</w:t>
            </w:r>
          </w:p>
        </w:tc>
        <w:tc>
          <w:tcPr>
            <w:tcW w:w="733" w:type="dxa"/>
            <w:tcBorders>
              <w:top w:val="nil"/>
              <w:left w:val="nil"/>
              <w:bottom w:val="nil"/>
              <w:right w:val="nil"/>
            </w:tcBorders>
            <w:shd w:val="clear" w:color="auto" w:fill="auto"/>
            <w:vAlign w:val="center"/>
            <w:hideMark/>
          </w:tcPr>
          <w:p w14:paraId="094E4684" w14:textId="77777777" w:rsidR="00C82507" w:rsidRPr="00FC2211" w:rsidRDefault="00C82507" w:rsidP="00C82507">
            <w:pPr>
              <w:rPr>
                <w:rFonts w:ascii="Calibri" w:hAnsi="Calibri" w:cs="Calibri"/>
                <w:color w:val="000000"/>
                <w:szCs w:val="20"/>
                <w:lang w:val="en-CA" w:eastAsia="en-CA"/>
              </w:rPr>
            </w:pPr>
          </w:p>
        </w:tc>
        <w:tc>
          <w:tcPr>
            <w:tcW w:w="1701" w:type="dxa"/>
            <w:tcBorders>
              <w:top w:val="nil"/>
              <w:left w:val="nil"/>
              <w:bottom w:val="nil"/>
              <w:right w:val="nil"/>
            </w:tcBorders>
            <w:shd w:val="clear" w:color="auto" w:fill="auto"/>
            <w:vAlign w:val="center"/>
            <w:hideMark/>
          </w:tcPr>
          <w:p w14:paraId="1AF3DB7F" w14:textId="77777777" w:rsidR="00C82507" w:rsidRPr="00FC2211" w:rsidRDefault="00C82507" w:rsidP="00C82507">
            <w:pPr>
              <w:rPr>
                <w:rFonts w:ascii="Times New Roman" w:hAnsi="Times New Roman"/>
                <w:szCs w:val="20"/>
                <w:lang w:val="en-CA" w:eastAsia="en-CA"/>
              </w:rPr>
            </w:pPr>
          </w:p>
        </w:tc>
        <w:tc>
          <w:tcPr>
            <w:tcW w:w="1468" w:type="dxa"/>
            <w:tcBorders>
              <w:top w:val="nil"/>
              <w:left w:val="nil"/>
              <w:bottom w:val="nil"/>
              <w:right w:val="nil"/>
            </w:tcBorders>
            <w:shd w:val="clear" w:color="auto" w:fill="auto"/>
            <w:vAlign w:val="center"/>
            <w:hideMark/>
          </w:tcPr>
          <w:p w14:paraId="18384AB1" w14:textId="77777777" w:rsidR="00C82507" w:rsidRPr="00FC2211" w:rsidRDefault="00C82507" w:rsidP="00C82507">
            <w:pPr>
              <w:jc w:val="right"/>
              <w:rPr>
                <w:rFonts w:ascii="Times New Roman" w:hAnsi="Times New Roman"/>
                <w:szCs w:val="20"/>
                <w:lang w:val="en-CA" w:eastAsia="en-CA"/>
              </w:rPr>
            </w:pPr>
          </w:p>
        </w:tc>
      </w:tr>
      <w:tr w:rsidR="00C82507" w:rsidRPr="00FC2211" w14:paraId="2097A1CF" w14:textId="77777777" w:rsidTr="0035440F">
        <w:trPr>
          <w:trHeight w:val="276"/>
          <w:jc w:val="center"/>
        </w:trPr>
        <w:tc>
          <w:tcPr>
            <w:tcW w:w="4796" w:type="dxa"/>
            <w:tcBorders>
              <w:top w:val="nil"/>
              <w:left w:val="nil"/>
              <w:bottom w:val="nil"/>
              <w:right w:val="nil"/>
            </w:tcBorders>
            <w:shd w:val="clear" w:color="auto" w:fill="auto"/>
            <w:vAlign w:val="center"/>
            <w:hideMark/>
          </w:tcPr>
          <w:p w14:paraId="13867509" w14:textId="77777777" w:rsidR="00C82507" w:rsidRPr="00FC2211" w:rsidRDefault="00C82507" w:rsidP="00C82507">
            <w:pPr>
              <w:ind w:firstLineChars="200" w:firstLine="400"/>
              <w:rPr>
                <w:rFonts w:ascii="Calibri" w:hAnsi="Calibri" w:cs="Calibri"/>
                <w:color w:val="000000"/>
                <w:szCs w:val="20"/>
                <w:lang w:val="en-CA" w:eastAsia="en-CA"/>
              </w:rPr>
            </w:pPr>
            <w:r w:rsidRPr="00FC2211">
              <w:rPr>
                <w:rFonts w:ascii="Calibri" w:hAnsi="Calibri" w:cs="Calibri"/>
                <w:color w:val="000000"/>
                <w:szCs w:val="20"/>
                <w:lang w:val="en-CA" w:eastAsia="en-CA"/>
              </w:rPr>
              <w:t>Net loss for the period</w:t>
            </w:r>
          </w:p>
        </w:tc>
        <w:tc>
          <w:tcPr>
            <w:tcW w:w="733" w:type="dxa"/>
            <w:tcBorders>
              <w:top w:val="nil"/>
              <w:left w:val="nil"/>
              <w:bottom w:val="nil"/>
              <w:right w:val="nil"/>
            </w:tcBorders>
            <w:shd w:val="clear" w:color="auto" w:fill="auto"/>
            <w:vAlign w:val="center"/>
            <w:hideMark/>
          </w:tcPr>
          <w:p w14:paraId="2844A8DF" w14:textId="77777777" w:rsidR="00C82507" w:rsidRPr="00FC2211" w:rsidRDefault="00C82507" w:rsidP="00C82507">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6D0F3B3D" w14:textId="53D49C1A" w:rsidR="00C82507" w:rsidRPr="00FC2211" w:rsidRDefault="00C82507" w:rsidP="00683344">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B916B6" w:rsidRPr="00FC2211">
              <w:rPr>
                <w:rFonts w:ascii="Calibri" w:hAnsi="Calibri" w:cs="Calibri"/>
                <w:b/>
                <w:bCs/>
                <w:color w:val="000000"/>
                <w:szCs w:val="20"/>
                <w:lang w:val="en-CA" w:eastAsia="en-CA"/>
              </w:rPr>
              <w:t>1,393,875</w:t>
            </w:r>
            <w:r w:rsidRPr="00FC2211">
              <w:rPr>
                <w:rFonts w:ascii="Calibri" w:hAnsi="Calibri" w:cs="Calibri"/>
                <w:b/>
                <w:bCs/>
                <w:color w:val="000000"/>
                <w:szCs w:val="20"/>
                <w:lang w:val="en-CA" w:eastAsia="en-CA"/>
              </w:rPr>
              <w:t>)</w:t>
            </w:r>
          </w:p>
        </w:tc>
        <w:tc>
          <w:tcPr>
            <w:tcW w:w="1468" w:type="dxa"/>
            <w:tcBorders>
              <w:top w:val="nil"/>
              <w:left w:val="nil"/>
              <w:bottom w:val="nil"/>
              <w:right w:val="nil"/>
            </w:tcBorders>
            <w:shd w:val="clear" w:color="auto" w:fill="auto"/>
            <w:noWrap/>
            <w:vAlign w:val="center"/>
            <w:hideMark/>
          </w:tcPr>
          <w:p w14:paraId="7C609741" w14:textId="21051E12" w:rsidR="00C82507" w:rsidRPr="00FC2211" w:rsidRDefault="00C82507" w:rsidP="00683344">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r w:rsidR="00887D43" w:rsidRPr="00FC2211">
              <w:rPr>
                <w:rFonts w:ascii="Calibri" w:hAnsi="Calibri" w:cs="Calibri"/>
                <w:color w:val="000000"/>
                <w:szCs w:val="20"/>
                <w:lang w:val="en-CA" w:eastAsia="en-CA"/>
              </w:rPr>
              <w:t>1,</w:t>
            </w:r>
            <w:r w:rsidRPr="00FC2211">
              <w:rPr>
                <w:rFonts w:ascii="Calibri" w:hAnsi="Calibri" w:cs="Calibri"/>
                <w:color w:val="000000"/>
                <w:szCs w:val="20"/>
                <w:lang w:val="en-CA" w:eastAsia="en-CA"/>
              </w:rPr>
              <w:t>5</w:t>
            </w:r>
            <w:r w:rsidR="00887D43" w:rsidRPr="00FC2211">
              <w:rPr>
                <w:rFonts w:ascii="Calibri" w:hAnsi="Calibri" w:cs="Calibri"/>
                <w:color w:val="000000"/>
                <w:szCs w:val="20"/>
                <w:lang w:val="en-CA" w:eastAsia="en-CA"/>
              </w:rPr>
              <w:t>72</w:t>
            </w:r>
            <w:r w:rsidRPr="00FC2211">
              <w:rPr>
                <w:rFonts w:ascii="Calibri" w:hAnsi="Calibri" w:cs="Calibri"/>
                <w:color w:val="000000"/>
                <w:szCs w:val="20"/>
                <w:lang w:val="en-CA" w:eastAsia="en-CA"/>
              </w:rPr>
              <w:t>,</w:t>
            </w:r>
            <w:r w:rsidR="00887D43" w:rsidRPr="00FC2211">
              <w:rPr>
                <w:rFonts w:ascii="Calibri" w:hAnsi="Calibri" w:cs="Calibri"/>
                <w:color w:val="000000"/>
                <w:szCs w:val="20"/>
                <w:lang w:val="en-CA" w:eastAsia="en-CA"/>
              </w:rPr>
              <w:t>321</w:t>
            </w:r>
            <w:r w:rsidRPr="00FC2211">
              <w:rPr>
                <w:rFonts w:ascii="Calibri" w:hAnsi="Calibri" w:cs="Calibri"/>
                <w:color w:val="000000"/>
                <w:szCs w:val="20"/>
                <w:lang w:val="en-CA" w:eastAsia="en-CA"/>
              </w:rPr>
              <w:t>)</w:t>
            </w:r>
          </w:p>
        </w:tc>
      </w:tr>
      <w:tr w:rsidR="00C82507" w:rsidRPr="00FC2211" w14:paraId="2018F26B" w14:textId="77777777" w:rsidTr="0035440F">
        <w:trPr>
          <w:trHeight w:val="276"/>
          <w:jc w:val="center"/>
        </w:trPr>
        <w:tc>
          <w:tcPr>
            <w:tcW w:w="4796" w:type="dxa"/>
            <w:tcBorders>
              <w:top w:val="nil"/>
              <w:left w:val="nil"/>
              <w:bottom w:val="nil"/>
              <w:right w:val="nil"/>
            </w:tcBorders>
            <w:shd w:val="clear" w:color="auto" w:fill="auto"/>
            <w:vAlign w:val="center"/>
            <w:hideMark/>
          </w:tcPr>
          <w:p w14:paraId="74274C27" w14:textId="77777777" w:rsidR="00C82507" w:rsidRPr="00FC2211" w:rsidRDefault="00C82507" w:rsidP="00C82507">
            <w:pPr>
              <w:ind w:firstLineChars="200" w:firstLine="400"/>
              <w:rPr>
                <w:rFonts w:ascii="Calibri" w:hAnsi="Calibri" w:cs="Calibri"/>
                <w:color w:val="000000"/>
                <w:szCs w:val="20"/>
                <w:lang w:val="en-CA" w:eastAsia="en-CA"/>
              </w:rPr>
            </w:pPr>
            <w:r w:rsidRPr="00FC2211">
              <w:rPr>
                <w:rFonts w:ascii="Calibri" w:hAnsi="Calibri" w:cs="Calibri"/>
                <w:color w:val="000000"/>
                <w:szCs w:val="20"/>
                <w:lang w:val="en-CA" w:eastAsia="en-CA"/>
              </w:rPr>
              <w:t>Items not involving cash:</w:t>
            </w:r>
          </w:p>
        </w:tc>
        <w:tc>
          <w:tcPr>
            <w:tcW w:w="733" w:type="dxa"/>
            <w:tcBorders>
              <w:top w:val="nil"/>
              <w:left w:val="nil"/>
              <w:bottom w:val="nil"/>
              <w:right w:val="nil"/>
            </w:tcBorders>
            <w:shd w:val="clear" w:color="auto" w:fill="auto"/>
            <w:vAlign w:val="center"/>
            <w:hideMark/>
          </w:tcPr>
          <w:p w14:paraId="22A158B9" w14:textId="77777777" w:rsidR="00C82507" w:rsidRPr="00FC2211" w:rsidRDefault="00C82507" w:rsidP="00C82507">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22D5820F" w14:textId="77777777" w:rsidR="00C82507" w:rsidRPr="00FC2211" w:rsidRDefault="00C82507" w:rsidP="00C82507">
            <w:pPr>
              <w:ind w:firstLineChars="200" w:firstLine="400"/>
              <w:rPr>
                <w:rFonts w:ascii="Times New Roman" w:hAnsi="Times New Roman"/>
                <w:szCs w:val="20"/>
                <w:lang w:val="en-CA" w:eastAsia="en-CA"/>
              </w:rPr>
            </w:pPr>
          </w:p>
        </w:tc>
        <w:tc>
          <w:tcPr>
            <w:tcW w:w="1468" w:type="dxa"/>
            <w:tcBorders>
              <w:top w:val="nil"/>
              <w:left w:val="nil"/>
              <w:bottom w:val="nil"/>
              <w:right w:val="nil"/>
            </w:tcBorders>
            <w:shd w:val="clear" w:color="auto" w:fill="auto"/>
            <w:noWrap/>
            <w:vAlign w:val="center"/>
            <w:hideMark/>
          </w:tcPr>
          <w:p w14:paraId="73EB2C8C" w14:textId="77777777" w:rsidR="00C82507" w:rsidRPr="00FC2211" w:rsidRDefault="00C82507" w:rsidP="00C82507">
            <w:pPr>
              <w:jc w:val="right"/>
              <w:rPr>
                <w:rFonts w:ascii="Times New Roman" w:hAnsi="Times New Roman"/>
                <w:szCs w:val="20"/>
                <w:lang w:val="en-CA" w:eastAsia="en-CA"/>
              </w:rPr>
            </w:pPr>
          </w:p>
        </w:tc>
      </w:tr>
      <w:tr w:rsidR="00C82507" w:rsidRPr="00FC2211" w14:paraId="64A51222" w14:textId="77777777" w:rsidTr="0035440F">
        <w:trPr>
          <w:trHeight w:val="552"/>
          <w:jc w:val="center"/>
        </w:trPr>
        <w:tc>
          <w:tcPr>
            <w:tcW w:w="4796" w:type="dxa"/>
            <w:tcBorders>
              <w:top w:val="nil"/>
              <w:left w:val="nil"/>
              <w:bottom w:val="nil"/>
              <w:right w:val="nil"/>
            </w:tcBorders>
            <w:shd w:val="clear" w:color="auto" w:fill="auto"/>
            <w:vAlign w:val="center"/>
            <w:hideMark/>
          </w:tcPr>
          <w:p w14:paraId="7818BA93" w14:textId="1CB1EEC6" w:rsidR="00C82507" w:rsidRPr="00FC2211" w:rsidRDefault="00C82507" w:rsidP="006340EF">
            <w:pPr>
              <w:ind w:left="743" w:firstLineChars="45" w:firstLine="90"/>
              <w:rPr>
                <w:rFonts w:ascii="Calibri" w:hAnsi="Calibri" w:cs="Calibri"/>
                <w:color w:val="000000"/>
                <w:szCs w:val="20"/>
                <w:lang w:val="en-CA" w:eastAsia="en-CA"/>
              </w:rPr>
            </w:pPr>
            <w:r w:rsidRPr="00FC2211">
              <w:rPr>
                <w:rFonts w:ascii="Calibri" w:hAnsi="Calibri" w:cs="Calibri"/>
                <w:color w:val="000000"/>
                <w:szCs w:val="20"/>
                <w:lang w:val="en-CA" w:eastAsia="en-CA"/>
              </w:rPr>
              <w:t>Depreciation and amortization on property, equipment, and intangible asset</w:t>
            </w:r>
          </w:p>
        </w:tc>
        <w:tc>
          <w:tcPr>
            <w:tcW w:w="733" w:type="dxa"/>
            <w:tcBorders>
              <w:top w:val="nil"/>
              <w:left w:val="nil"/>
              <w:bottom w:val="nil"/>
              <w:right w:val="nil"/>
            </w:tcBorders>
            <w:shd w:val="clear" w:color="auto" w:fill="auto"/>
            <w:vAlign w:val="center"/>
            <w:hideMark/>
          </w:tcPr>
          <w:p w14:paraId="67BA9315" w14:textId="77777777" w:rsidR="00C82507" w:rsidRPr="00FC2211" w:rsidRDefault="00C82507" w:rsidP="00C82507">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bottom"/>
            <w:hideMark/>
          </w:tcPr>
          <w:p w14:paraId="7BA98C3A" w14:textId="7FA2732B" w:rsidR="00C82507" w:rsidRPr="00FC2211" w:rsidRDefault="00C82507" w:rsidP="00755760">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9E4231" w:rsidRPr="00FC2211">
              <w:rPr>
                <w:rFonts w:ascii="Calibri" w:hAnsi="Calibri" w:cs="Calibri"/>
                <w:b/>
                <w:bCs/>
                <w:color w:val="000000"/>
                <w:szCs w:val="20"/>
                <w:lang w:val="en-CA" w:eastAsia="en-CA"/>
              </w:rPr>
              <w:t>187,106</w:t>
            </w:r>
            <w:r w:rsidRPr="00FC2211">
              <w:rPr>
                <w:rFonts w:ascii="Calibri" w:hAnsi="Calibri" w:cs="Calibri"/>
                <w:b/>
                <w:bCs/>
                <w:color w:val="000000"/>
                <w:szCs w:val="20"/>
                <w:lang w:val="en-CA" w:eastAsia="en-CA"/>
              </w:rPr>
              <w:t xml:space="preserve"> </w:t>
            </w:r>
          </w:p>
        </w:tc>
        <w:tc>
          <w:tcPr>
            <w:tcW w:w="1468" w:type="dxa"/>
            <w:tcBorders>
              <w:top w:val="nil"/>
              <w:left w:val="nil"/>
              <w:bottom w:val="nil"/>
              <w:right w:val="nil"/>
            </w:tcBorders>
            <w:shd w:val="clear" w:color="auto" w:fill="auto"/>
            <w:noWrap/>
            <w:vAlign w:val="bottom"/>
            <w:hideMark/>
          </w:tcPr>
          <w:p w14:paraId="32759A16" w14:textId="2C793E01" w:rsidR="00C82507" w:rsidRPr="00FC2211" w:rsidRDefault="00C82507" w:rsidP="00755760">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887D43" w:rsidRPr="00FC2211">
              <w:rPr>
                <w:rFonts w:ascii="Calibri" w:hAnsi="Calibri" w:cs="Calibri"/>
                <w:color w:val="000000"/>
                <w:szCs w:val="20"/>
                <w:lang w:val="en-CA" w:eastAsia="en-CA"/>
              </w:rPr>
              <w:t>84,417</w:t>
            </w:r>
            <w:r w:rsidRPr="00FC2211">
              <w:rPr>
                <w:rFonts w:ascii="Calibri" w:hAnsi="Calibri" w:cs="Calibri"/>
                <w:color w:val="000000"/>
                <w:szCs w:val="20"/>
                <w:lang w:val="en-CA" w:eastAsia="en-CA"/>
              </w:rPr>
              <w:t xml:space="preserve"> </w:t>
            </w:r>
          </w:p>
        </w:tc>
      </w:tr>
      <w:tr w:rsidR="00C82507" w:rsidRPr="00FC2211" w14:paraId="111D9462" w14:textId="77777777" w:rsidTr="0035440F">
        <w:trPr>
          <w:trHeight w:val="276"/>
          <w:jc w:val="center"/>
        </w:trPr>
        <w:tc>
          <w:tcPr>
            <w:tcW w:w="4796" w:type="dxa"/>
            <w:tcBorders>
              <w:top w:val="nil"/>
              <w:left w:val="nil"/>
              <w:bottom w:val="nil"/>
              <w:right w:val="nil"/>
            </w:tcBorders>
            <w:shd w:val="clear" w:color="auto" w:fill="auto"/>
            <w:vAlign w:val="center"/>
            <w:hideMark/>
          </w:tcPr>
          <w:p w14:paraId="2BB5A1E2" w14:textId="77777777" w:rsidR="00C82507" w:rsidRPr="00FC2211" w:rsidRDefault="00C82507" w:rsidP="00C82507">
            <w:pPr>
              <w:ind w:firstLineChars="400" w:firstLine="800"/>
              <w:rPr>
                <w:rFonts w:ascii="Calibri" w:hAnsi="Calibri" w:cs="Calibri"/>
                <w:color w:val="000000"/>
                <w:szCs w:val="20"/>
                <w:lang w:val="en-CA" w:eastAsia="en-CA"/>
              </w:rPr>
            </w:pPr>
            <w:r w:rsidRPr="00FC2211">
              <w:rPr>
                <w:rFonts w:ascii="Calibri" w:hAnsi="Calibri" w:cs="Calibri"/>
                <w:color w:val="000000"/>
                <w:szCs w:val="20"/>
                <w:lang w:val="en-CA" w:eastAsia="en-CA"/>
              </w:rPr>
              <w:t>Interest expense, net</w:t>
            </w:r>
          </w:p>
        </w:tc>
        <w:tc>
          <w:tcPr>
            <w:tcW w:w="733" w:type="dxa"/>
            <w:tcBorders>
              <w:top w:val="nil"/>
              <w:left w:val="nil"/>
              <w:bottom w:val="nil"/>
              <w:right w:val="nil"/>
            </w:tcBorders>
            <w:shd w:val="clear" w:color="auto" w:fill="auto"/>
            <w:vAlign w:val="center"/>
            <w:hideMark/>
          </w:tcPr>
          <w:p w14:paraId="7210146B" w14:textId="77777777" w:rsidR="00C82507" w:rsidRPr="00FC2211" w:rsidRDefault="00C82507" w:rsidP="00C82507">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6DEC4B59" w14:textId="1436655D" w:rsidR="00C82507" w:rsidRPr="00FC2211" w:rsidRDefault="00C82507" w:rsidP="00C8250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9E4231" w:rsidRPr="00FC2211">
              <w:rPr>
                <w:rFonts w:ascii="Calibri" w:hAnsi="Calibri" w:cs="Calibri"/>
                <w:b/>
                <w:bCs/>
                <w:color w:val="000000"/>
                <w:szCs w:val="20"/>
                <w:lang w:val="en-CA" w:eastAsia="en-CA"/>
              </w:rPr>
              <w:t>119,167</w:t>
            </w:r>
            <w:r w:rsidRPr="00FC2211">
              <w:rPr>
                <w:rFonts w:ascii="Calibri" w:hAnsi="Calibri" w:cs="Calibri"/>
                <w:b/>
                <w:bCs/>
                <w:color w:val="000000"/>
                <w:szCs w:val="20"/>
                <w:lang w:val="en-CA" w:eastAsia="en-CA"/>
              </w:rPr>
              <w:t xml:space="preserve"> </w:t>
            </w:r>
          </w:p>
        </w:tc>
        <w:tc>
          <w:tcPr>
            <w:tcW w:w="1468" w:type="dxa"/>
            <w:tcBorders>
              <w:top w:val="nil"/>
              <w:left w:val="nil"/>
              <w:bottom w:val="nil"/>
              <w:right w:val="nil"/>
            </w:tcBorders>
            <w:shd w:val="clear" w:color="auto" w:fill="auto"/>
            <w:noWrap/>
            <w:vAlign w:val="center"/>
            <w:hideMark/>
          </w:tcPr>
          <w:p w14:paraId="1D13868D" w14:textId="04E136D7" w:rsidR="00C82507" w:rsidRPr="00FC2211" w:rsidRDefault="00C82507" w:rsidP="00C82507">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887D43" w:rsidRPr="00FC2211">
              <w:rPr>
                <w:rFonts w:ascii="Calibri" w:hAnsi="Calibri" w:cs="Calibri"/>
                <w:color w:val="000000"/>
                <w:szCs w:val="20"/>
                <w:lang w:val="en-CA" w:eastAsia="en-CA"/>
              </w:rPr>
              <w:t>40,574</w:t>
            </w:r>
            <w:r w:rsidRPr="00FC2211">
              <w:rPr>
                <w:rFonts w:ascii="Calibri" w:hAnsi="Calibri" w:cs="Calibri"/>
                <w:color w:val="000000"/>
                <w:szCs w:val="20"/>
                <w:lang w:val="en-CA" w:eastAsia="en-CA"/>
              </w:rPr>
              <w:t xml:space="preserve"> </w:t>
            </w:r>
          </w:p>
        </w:tc>
      </w:tr>
      <w:tr w:rsidR="00C82507" w:rsidRPr="00FC2211" w14:paraId="689916A3" w14:textId="77777777" w:rsidTr="0035440F">
        <w:trPr>
          <w:trHeight w:val="276"/>
          <w:jc w:val="center"/>
        </w:trPr>
        <w:tc>
          <w:tcPr>
            <w:tcW w:w="4796" w:type="dxa"/>
            <w:tcBorders>
              <w:top w:val="nil"/>
              <w:left w:val="nil"/>
              <w:bottom w:val="nil"/>
              <w:right w:val="nil"/>
            </w:tcBorders>
            <w:shd w:val="clear" w:color="auto" w:fill="auto"/>
            <w:vAlign w:val="center"/>
            <w:hideMark/>
          </w:tcPr>
          <w:p w14:paraId="36D2402E" w14:textId="2E554A32" w:rsidR="00C82507" w:rsidRPr="00FC2211" w:rsidRDefault="006A4C17" w:rsidP="00C82507">
            <w:pPr>
              <w:ind w:firstLineChars="400" w:firstLine="800"/>
              <w:rPr>
                <w:rFonts w:ascii="Calibri" w:hAnsi="Calibri" w:cs="Calibri"/>
                <w:color w:val="000000"/>
                <w:szCs w:val="20"/>
                <w:lang w:val="en-CA" w:eastAsia="en-CA"/>
              </w:rPr>
            </w:pPr>
            <w:r w:rsidRPr="00FC2211">
              <w:rPr>
                <w:rFonts w:ascii="Calibri" w:hAnsi="Calibri" w:cs="Calibri"/>
                <w:color w:val="000000"/>
                <w:szCs w:val="20"/>
                <w:lang w:val="en-CA" w:eastAsia="en-CA"/>
              </w:rPr>
              <w:t>Stock-based</w:t>
            </w:r>
            <w:r w:rsidR="00C82507" w:rsidRPr="00FC2211">
              <w:rPr>
                <w:rFonts w:ascii="Calibri" w:hAnsi="Calibri" w:cs="Calibri"/>
                <w:color w:val="000000"/>
                <w:szCs w:val="20"/>
                <w:lang w:val="en-CA" w:eastAsia="en-CA"/>
              </w:rPr>
              <w:t xml:space="preserve"> compensation</w:t>
            </w:r>
          </w:p>
        </w:tc>
        <w:tc>
          <w:tcPr>
            <w:tcW w:w="733" w:type="dxa"/>
            <w:tcBorders>
              <w:top w:val="nil"/>
              <w:left w:val="nil"/>
              <w:bottom w:val="nil"/>
              <w:right w:val="nil"/>
            </w:tcBorders>
            <w:shd w:val="clear" w:color="auto" w:fill="auto"/>
            <w:vAlign w:val="center"/>
            <w:hideMark/>
          </w:tcPr>
          <w:p w14:paraId="3AF4F09D" w14:textId="77777777" w:rsidR="00C82507" w:rsidRPr="00FC2211" w:rsidRDefault="00C82507" w:rsidP="00C82507">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61BF90F3" w14:textId="300FA5AD" w:rsidR="00C82507" w:rsidRPr="00FC2211" w:rsidRDefault="00C82507" w:rsidP="00C8250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5465DF" w:rsidRPr="00FC2211">
              <w:rPr>
                <w:rFonts w:ascii="Calibri" w:hAnsi="Calibri" w:cs="Calibri"/>
                <w:b/>
                <w:bCs/>
                <w:color w:val="000000"/>
                <w:szCs w:val="20"/>
                <w:lang w:val="en-CA" w:eastAsia="en-CA"/>
              </w:rPr>
              <w:t>112,367</w:t>
            </w:r>
            <w:r w:rsidRPr="00FC2211">
              <w:rPr>
                <w:rFonts w:ascii="Calibri" w:hAnsi="Calibri" w:cs="Calibri"/>
                <w:b/>
                <w:bCs/>
                <w:color w:val="000000"/>
                <w:szCs w:val="20"/>
                <w:lang w:val="en-CA" w:eastAsia="en-CA"/>
              </w:rPr>
              <w:t xml:space="preserve"> </w:t>
            </w:r>
          </w:p>
        </w:tc>
        <w:tc>
          <w:tcPr>
            <w:tcW w:w="1468" w:type="dxa"/>
            <w:tcBorders>
              <w:top w:val="nil"/>
              <w:left w:val="nil"/>
              <w:bottom w:val="nil"/>
              <w:right w:val="nil"/>
            </w:tcBorders>
            <w:shd w:val="clear" w:color="auto" w:fill="auto"/>
            <w:noWrap/>
            <w:vAlign w:val="center"/>
            <w:hideMark/>
          </w:tcPr>
          <w:p w14:paraId="0D2892EC" w14:textId="32C92D2D" w:rsidR="00C82507" w:rsidRPr="00FC2211" w:rsidRDefault="00C82507" w:rsidP="00C82507">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887D43" w:rsidRPr="00FC2211">
              <w:rPr>
                <w:rFonts w:ascii="Calibri" w:hAnsi="Calibri" w:cs="Calibri"/>
                <w:color w:val="000000"/>
                <w:szCs w:val="20"/>
                <w:lang w:val="en-CA" w:eastAsia="en-CA"/>
              </w:rPr>
              <w:t>68,786</w:t>
            </w:r>
            <w:r w:rsidRPr="00FC2211">
              <w:rPr>
                <w:rFonts w:ascii="Calibri" w:hAnsi="Calibri" w:cs="Calibri"/>
                <w:color w:val="000000"/>
                <w:szCs w:val="20"/>
                <w:lang w:val="en-CA" w:eastAsia="en-CA"/>
              </w:rPr>
              <w:t xml:space="preserve"> </w:t>
            </w:r>
          </w:p>
        </w:tc>
      </w:tr>
      <w:tr w:rsidR="00C82507" w:rsidRPr="00FC2211" w14:paraId="0317809D" w14:textId="77777777" w:rsidTr="0035440F">
        <w:trPr>
          <w:trHeight w:val="276"/>
          <w:jc w:val="center"/>
        </w:trPr>
        <w:tc>
          <w:tcPr>
            <w:tcW w:w="4796" w:type="dxa"/>
            <w:tcBorders>
              <w:top w:val="nil"/>
              <w:left w:val="nil"/>
              <w:bottom w:val="nil"/>
              <w:right w:val="nil"/>
            </w:tcBorders>
            <w:shd w:val="clear" w:color="auto" w:fill="auto"/>
            <w:vAlign w:val="center"/>
            <w:hideMark/>
          </w:tcPr>
          <w:p w14:paraId="1FFEC719" w14:textId="04FD4B55" w:rsidR="00C82507" w:rsidRPr="00FC2211" w:rsidRDefault="00C82507" w:rsidP="00C82507">
            <w:pPr>
              <w:ind w:firstLineChars="400" w:firstLine="8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Provision for inventory </w:t>
            </w:r>
            <w:r w:rsidR="006A4C17" w:rsidRPr="00FC2211">
              <w:rPr>
                <w:rFonts w:ascii="Calibri" w:hAnsi="Calibri" w:cs="Calibri"/>
                <w:color w:val="000000"/>
                <w:szCs w:val="20"/>
                <w:lang w:val="en-CA" w:eastAsia="en-CA"/>
              </w:rPr>
              <w:t>write-down</w:t>
            </w:r>
          </w:p>
        </w:tc>
        <w:tc>
          <w:tcPr>
            <w:tcW w:w="733" w:type="dxa"/>
            <w:tcBorders>
              <w:top w:val="nil"/>
              <w:left w:val="nil"/>
              <w:bottom w:val="nil"/>
              <w:right w:val="nil"/>
            </w:tcBorders>
            <w:shd w:val="clear" w:color="auto" w:fill="auto"/>
            <w:vAlign w:val="center"/>
            <w:hideMark/>
          </w:tcPr>
          <w:p w14:paraId="0C28DE88" w14:textId="77777777" w:rsidR="00C82507" w:rsidRPr="00FC2211" w:rsidRDefault="00C82507" w:rsidP="00C82507">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16EDAFB8" w14:textId="5B96196A" w:rsidR="00C82507" w:rsidRPr="00FC2211" w:rsidRDefault="00C82507" w:rsidP="00C8250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5465DF" w:rsidRPr="00FC2211">
              <w:rPr>
                <w:rFonts w:ascii="Calibri" w:hAnsi="Calibri" w:cs="Calibri"/>
                <w:b/>
                <w:bCs/>
                <w:color w:val="000000"/>
                <w:szCs w:val="20"/>
                <w:lang w:val="en-CA" w:eastAsia="en-CA"/>
              </w:rPr>
              <w:t>30,842</w:t>
            </w:r>
            <w:r w:rsidRPr="00FC2211">
              <w:rPr>
                <w:rFonts w:ascii="Calibri" w:hAnsi="Calibri" w:cs="Calibri"/>
                <w:b/>
                <w:bCs/>
                <w:color w:val="000000"/>
                <w:szCs w:val="20"/>
                <w:lang w:val="en-CA" w:eastAsia="en-CA"/>
              </w:rPr>
              <w:t xml:space="preserve"> </w:t>
            </w:r>
          </w:p>
        </w:tc>
        <w:tc>
          <w:tcPr>
            <w:tcW w:w="1468" w:type="dxa"/>
            <w:tcBorders>
              <w:top w:val="nil"/>
              <w:left w:val="nil"/>
              <w:bottom w:val="nil"/>
              <w:right w:val="nil"/>
            </w:tcBorders>
            <w:shd w:val="clear" w:color="auto" w:fill="auto"/>
            <w:noWrap/>
            <w:vAlign w:val="center"/>
            <w:hideMark/>
          </w:tcPr>
          <w:p w14:paraId="377AF50B" w14:textId="41A7EED8" w:rsidR="00C82507" w:rsidRPr="00FC2211" w:rsidRDefault="00C82507" w:rsidP="000860C2">
            <w:pPr>
              <w:ind w:right="219"/>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r>
      <w:tr w:rsidR="0035440F" w:rsidRPr="00FC2211" w14:paraId="2DEAF2B1" w14:textId="77777777" w:rsidTr="0035440F">
        <w:trPr>
          <w:trHeight w:val="276"/>
          <w:jc w:val="center"/>
        </w:trPr>
        <w:tc>
          <w:tcPr>
            <w:tcW w:w="4796" w:type="dxa"/>
            <w:tcBorders>
              <w:top w:val="nil"/>
              <w:left w:val="nil"/>
              <w:bottom w:val="nil"/>
              <w:right w:val="nil"/>
            </w:tcBorders>
            <w:shd w:val="clear" w:color="auto" w:fill="auto"/>
            <w:vAlign w:val="center"/>
            <w:hideMark/>
          </w:tcPr>
          <w:p w14:paraId="140925B5" w14:textId="77777777" w:rsidR="0035440F" w:rsidRPr="00FC2211" w:rsidRDefault="0035440F" w:rsidP="002721C3">
            <w:pPr>
              <w:ind w:firstLineChars="400" w:firstLine="800"/>
              <w:rPr>
                <w:rFonts w:ascii="Calibri" w:hAnsi="Calibri" w:cs="Calibri"/>
                <w:color w:val="000000"/>
                <w:szCs w:val="20"/>
                <w:lang w:val="en-CA" w:eastAsia="en-CA"/>
              </w:rPr>
            </w:pPr>
            <w:r w:rsidRPr="00FC2211">
              <w:rPr>
                <w:rFonts w:ascii="Calibri" w:hAnsi="Calibri" w:cs="Calibri"/>
                <w:color w:val="000000"/>
                <w:szCs w:val="20"/>
                <w:lang w:val="en-CA" w:eastAsia="en-CA"/>
              </w:rPr>
              <w:t>Bad Debts Expense</w:t>
            </w:r>
          </w:p>
        </w:tc>
        <w:tc>
          <w:tcPr>
            <w:tcW w:w="733" w:type="dxa"/>
            <w:tcBorders>
              <w:top w:val="nil"/>
              <w:left w:val="nil"/>
              <w:bottom w:val="nil"/>
              <w:right w:val="nil"/>
            </w:tcBorders>
            <w:shd w:val="clear" w:color="auto" w:fill="auto"/>
            <w:vAlign w:val="center"/>
            <w:hideMark/>
          </w:tcPr>
          <w:p w14:paraId="3DF85996" w14:textId="77777777" w:rsidR="0035440F" w:rsidRPr="00FC2211" w:rsidRDefault="0035440F" w:rsidP="002721C3">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7B91983F" w14:textId="77777777" w:rsidR="0035440F" w:rsidRPr="00FC2211" w:rsidRDefault="0035440F" w:rsidP="002721C3">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17,958 </w:t>
            </w:r>
          </w:p>
        </w:tc>
        <w:tc>
          <w:tcPr>
            <w:tcW w:w="1468" w:type="dxa"/>
            <w:tcBorders>
              <w:top w:val="nil"/>
              <w:left w:val="nil"/>
              <w:bottom w:val="nil"/>
              <w:right w:val="nil"/>
            </w:tcBorders>
            <w:shd w:val="clear" w:color="auto" w:fill="auto"/>
            <w:noWrap/>
            <w:vAlign w:val="center"/>
            <w:hideMark/>
          </w:tcPr>
          <w:p w14:paraId="1B8A910A" w14:textId="77777777" w:rsidR="0035440F" w:rsidRPr="00FC2211" w:rsidRDefault="0035440F" w:rsidP="002721C3">
            <w:pPr>
              <w:ind w:right="219"/>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r>
      <w:tr w:rsidR="00C82507" w:rsidRPr="00FC2211" w14:paraId="496D96E9" w14:textId="77777777" w:rsidTr="0035440F">
        <w:trPr>
          <w:trHeight w:val="276"/>
          <w:jc w:val="center"/>
        </w:trPr>
        <w:tc>
          <w:tcPr>
            <w:tcW w:w="4796" w:type="dxa"/>
            <w:tcBorders>
              <w:top w:val="nil"/>
              <w:left w:val="nil"/>
              <w:bottom w:val="nil"/>
              <w:right w:val="nil"/>
            </w:tcBorders>
            <w:shd w:val="clear" w:color="auto" w:fill="auto"/>
            <w:vAlign w:val="center"/>
            <w:hideMark/>
          </w:tcPr>
          <w:p w14:paraId="37ADC3CE" w14:textId="77777777" w:rsidR="00C82507" w:rsidRPr="00FC2211" w:rsidRDefault="00C82507" w:rsidP="00C82507">
            <w:pPr>
              <w:ind w:firstLineChars="400" w:firstLine="800"/>
              <w:rPr>
                <w:rFonts w:ascii="Calibri" w:hAnsi="Calibri" w:cs="Calibri"/>
                <w:color w:val="000000"/>
                <w:szCs w:val="20"/>
                <w:lang w:val="en-CA" w:eastAsia="en-CA"/>
              </w:rPr>
            </w:pPr>
            <w:r w:rsidRPr="00FC2211">
              <w:rPr>
                <w:rFonts w:ascii="Calibri" w:hAnsi="Calibri" w:cs="Calibri"/>
                <w:color w:val="000000"/>
                <w:szCs w:val="20"/>
                <w:lang w:val="en-CA" w:eastAsia="en-CA"/>
              </w:rPr>
              <w:t>Amortization of right-of-use asset</w:t>
            </w:r>
          </w:p>
        </w:tc>
        <w:tc>
          <w:tcPr>
            <w:tcW w:w="733" w:type="dxa"/>
            <w:tcBorders>
              <w:top w:val="nil"/>
              <w:left w:val="nil"/>
              <w:bottom w:val="nil"/>
              <w:right w:val="nil"/>
            </w:tcBorders>
            <w:shd w:val="clear" w:color="auto" w:fill="auto"/>
            <w:vAlign w:val="center"/>
            <w:hideMark/>
          </w:tcPr>
          <w:p w14:paraId="203D753B" w14:textId="77777777" w:rsidR="00C82507" w:rsidRPr="00FC2211" w:rsidRDefault="00C82507" w:rsidP="00C82507">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70C7162C" w14:textId="5630C1B2" w:rsidR="00C82507" w:rsidRPr="00FC2211" w:rsidRDefault="00C82507" w:rsidP="00C8250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5465DF" w:rsidRPr="00FC2211">
              <w:rPr>
                <w:rFonts w:ascii="Calibri" w:hAnsi="Calibri" w:cs="Calibri"/>
                <w:b/>
                <w:bCs/>
                <w:color w:val="000000"/>
                <w:szCs w:val="20"/>
                <w:lang w:val="en-CA" w:eastAsia="en-CA"/>
              </w:rPr>
              <w:t>15,526</w:t>
            </w:r>
            <w:r w:rsidRPr="00FC2211">
              <w:rPr>
                <w:rFonts w:ascii="Calibri" w:hAnsi="Calibri" w:cs="Calibri"/>
                <w:b/>
                <w:bCs/>
                <w:color w:val="000000"/>
                <w:szCs w:val="20"/>
                <w:lang w:val="en-CA" w:eastAsia="en-CA"/>
              </w:rPr>
              <w:t xml:space="preserve"> </w:t>
            </w:r>
          </w:p>
        </w:tc>
        <w:tc>
          <w:tcPr>
            <w:tcW w:w="1468" w:type="dxa"/>
            <w:tcBorders>
              <w:top w:val="nil"/>
              <w:left w:val="nil"/>
              <w:bottom w:val="nil"/>
              <w:right w:val="nil"/>
            </w:tcBorders>
            <w:shd w:val="clear" w:color="auto" w:fill="auto"/>
            <w:noWrap/>
            <w:vAlign w:val="center"/>
            <w:hideMark/>
          </w:tcPr>
          <w:p w14:paraId="20AA899A" w14:textId="6D3B13DC" w:rsidR="00C82507" w:rsidRPr="00FC2211" w:rsidRDefault="00C82507" w:rsidP="00C82507">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887D43" w:rsidRPr="00FC2211">
              <w:rPr>
                <w:rFonts w:ascii="Calibri" w:hAnsi="Calibri" w:cs="Calibri"/>
                <w:color w:val="000000"/>
                <w:szCs w:val="20"/>
                <w:lang w:val="en-CA" w:eastAsia="en-CA"/>
              </w:rPr>
              <w:t>15,525</w:t>
            </w:r>
            <w:r w:rsidRPr="00FC2211">
              <w:rPr>
                <w:rFonts w:ascii="Calibri" w:hAnsi="Calibri" w:cs="Calibri"/>
                <w:color w:val="000000"/>
                <w:szCs w:val="20"/>
                <w:lang w:val="en-CA" w:eastAsia="en-CA"/>
              </w:rPr>
              <w:t xml:space="preserve"> </w:t>
            </w:r>
          </w:p>
        </w:tc>
      </w:tr>
      <w:tr w:rsidR="00C82507" w:rsidRPr="00FC2211" w14:paraId="403ADBF7" w14:textId="77777777" w:rsidTr="0035440F">
        <w:trPr>
          <w:trHeight w:val="276"/>
          <w:jc w:val="center"/>
        </w:trPr>
        <w:tc>
          <w:tcPr>
            <w:tcW w:w="4796" w:type="dxa"/>
            <w:tcBorders>
              <w:top w:val="nil"/>
              <w:left w:val="nil"/>
              <w:bottom w:val="nil"/>
              <w:right w:val="nil"/>
            </w:tcBorders>
            <w:shd w:val="clear" w:color="auto" w:fill="auto"/>
            <w:vAlign w:val="center"/>
            <w:hideMark/>
          </w:tcPr>
          <w:p w14:paraId="0C434ACE" w14:textId="77777777" w:rsidR="00C82507" w:rsidRPr="00FC2211" w:rsidRDefault="00C82507" w:rsidP="00C82507">
            <w:pPr>
              <w:ind w:firstLineChars="200" w:firstLine="400"/>
              <w:rPr>
                <w:rFonts w:ascii="Calibri" w:hAnsi="Calibri" w:cs="Calibri"/>
                <w:color w:val="000000"/>
                <w:szCs w:val="20"/>
                <w:lang w:val="en-CA" w:eastAsia="en-CA"/>
              </w:rPr>
            </w:pPr>
            <w:r w:rsidRPr="00FC2211">
              <w:rPr>
                <w:rFonts w:ascii="Calibri" w:hAnsi="Calibri" w:cs="Calibri"/>
                <w:color w:val="000000"/>
                <w:szCs w:val="20"/>
                <w:lang w:val="en-CA" w:eastAsia="en-CA"/>
              </w:rPr>
              <w:t>Change in non-cash operating working capital:</w:t>
            </w:r>
          </w:p>
        </w:tc>
        <w:tc>
          <w:tcPr>
            <w:tcW w:w="733" w:type="dxa"/>
            <w:tcBorders>
              <w:top w:val="nil"/>
              <w:left w:val="nil"/>
              <w:bottom w:val="nil"/>
              <w:right w:val="nil"/>
            </w:tcBorders>
            <w:shd w:val="clear" w:color="auto" w:fill="auto"/>
            <w:vAlign w:val="center"/>
            <w:hideMark/>
          </w:tcPr>
          <w:p w14:paraId="0C99725E" w14:textId="77777777" w:rsidR="00C82507" w:rsidRPr="00FC2211" w:rsidRDefault="00C82507" w:rsidP="00C82507">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75C53618" w14:textId="77777777" w:rsidR="00C82507" w:rsidRPr="00FC2211" w:rsidRDefault="00C82507" w:rsidP="00C82507">
            <w:pPr>
              <w:ind w:firstLineChars="200" w:firstLine="400"/>
              <w:rPr>
                <w:rFonts w:ascii="Times New Roman" w:hAnsi="Times New Roman"/>
                <w:szCs w:val="20"/>
                <w:lang w:val="en-CA" w:eastAsia="en-CA"/>
              </w:rPr>
            </w:pPr>
          </w:p>
        </w:tc>
        <w:tc>
          <w:tcPr>
            <w:tcW w:w="1468" w:type="dxa"/>
            <w:tcBorders>
              <w:top w:val="nil"/>
              <w:left w:val="nil"/>
              <w:bottom w:val="nil"/>
              <w:right w:val="nil"/>
            </w:tcBorders>
            <w:shd w:val="clear" w:color="auto" w:fill="auto"/>
            <w:noWrap/>
            <w:vAlign w:val="center"/>
            <w:hideMark/>
          </w:tcPr>
          <w:p w14:paraId="29B92E88" w14:textId="77777777" w:rsidR="00C82507" w:rsidRPr="00FC2211" w:rsidRDefault="00C82507" w:rsidP="00C82507">
            <w:pPr>
              <w:jc w:val="right"/>
              <w:rPr>
                <w:rFonts w:ascii="Times New Roman" w:hAnsi="Times New Roman"/>
                <w:szCs w:val="20"/>
                <w:lang w:val="en-CA" w:eastAsia="en-CA"/>
              </w:rPr>
            </w:pPr>
          </w:p>
        </w:tc>
      </w:tr>
      <w:tr w:rsidR="00C82507" w:rsidRPr="00FC2211" w14:paraId="437756E6" w14:textId="77777777" w:rsidTr="0035440F">
        <w:trPr>
          <w:trHeight w:val="276"/>
          <w:jc w:val="center"/>
        </w:trPr>
        <w:tc>
          <w:tcPr>
            <w:tcW w:w="4796" w:type="dxa"/>
            <w:tcBorders>
              <w:top w:val="nil"/>
              <w:left w:val="nil"/>
              <w:bottom w:val="nil"/>
              <w:right w:val="nil"/>
            </w:tcBorders>
            <w:shd w:val="clear" w:color="auto" w:fill="auto"/>
            <w:vAlign w:val="center"/>
            <w:hideMark/>
          </w:tcPr>
          <w:p w14:paraId="2D15744A" w14:textId="77777777" w:rsidR="00C82507" w:rsidRPr="00FC2211" w:rsidRDefault="00C82507" w:rsidP="00C82507">
            <w:pPr>
              <w:ind w:firstLineChars="400" w:firstLine="800"/>
              <w:rPr>
                <w:rFonts w:ascii="Calibri" w:hAnsi="Calibri" w:cs="Calibri"/>
                <w:color w:val="000000"/>
                <w:szCs w:val="20"/>
                <w:lang w:val="en-CA" w:eastAsia="en-CA"/>
              </w:rPr>
            </w:pPr>
            <w:r w:rsidRPr="00FC2211">
              <w:rPr>
                <w:rFonts w:ascii="Calibri" w:hAnsi="Calibri" w:cs="Calibri"/>
                <w:color w:val="000000"/>
                <w:szCs w:val="20"/>
                <w:lang w:val="en-CA" w:eastAsia="en-CA"/>
              </w:rPr>
              <w:t>Accounts receivable</w:t>
            </w:r>
          </w:p>
        </w:tc>
        <w:tc>
          <w:tcPr>
            <w:tcW w:w="733" w:type="dxa"/>
            <w:tcBorders>
              <w:top w:val="nil"/>
              <w:left w:val="nil"/>
              <w:bottom w:val="nil"/>
              <w:right w:val="nil"/>
            </w:tcBorders>
            <w:shd w:val="clear" w:color="auto" w:fill="auto"/>
            <w:vAlign w:val="center"/>
            <w:hideMark/>
          </w:tcPr>
          <w:p w14:paraId="2B1B0164" w14:textId="77777777" w:rsidR="00C82507" w:rsidRPr="00FC2211" w:rsidRDefault="00C82507" w:rsidP="00C82507">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4611303F" w14:textId="3AEEEE69" w:rsidR="00C82507" w:rsidRPr="00FC2211" w:rsidRDefault="00C82507" w:rsidP="00794368">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5465DF" w:rsidRPr="00FC2211">
              <w:rPr>
                <w:rFonts w:ascii="Calibri" w:hAnsi="Calibri" w:cs="Calibri"/>
                <w:b/>
                <w:bCs/>
                <w:color w:val="000000"/>
                <w:szCs w:val="20"/>
                <w:lang w:val="en-CA" w:eastAsia="en-CA"/>
              </w:rPr>
              <w:t>(20,681)</w:t>
            </w:r>
            <w:r w:rsidRPr="00FC2211">
              <w:rPr>
                <w:rFonts w:ascii="Calibri" w:hAnsi="Calibri" w:cs="Calibri"/>
                <w:b/>
                <w:bCs/>
                <w:color w:val="000000"/>
                <w:szCs w:val="20"/>
                <w:lang w:val="en-CA" w:eastAsia="en-CA"/>
              </w:rPr>
              <w:t xml:space="preserve"> </w:t>
            </w:r>
          </w:p>
        </w:tc>
        <w:tc>
          <w:tcPr>
            <w:tcW w:w="1468" w:type="dxa"/>
            <w:tcBorders>
              <w:top w:val="nil"/>
              <w:left w:val="nil"/>
              <w:bottom w:val="nil"/>
              <w:right w:val="nil"/>
            </w:tcBorders>
            <w:shd w:val="clear" w:color="auto" w:fill="auto"/>
            <w:noWrap/>
            <w:vAlign w:val="center"/>
            <w:hideMark/>
          </w:tcPr>
          <w:p w14:paraId="1C74AF57" w14:textId="6F85D9F7" w:rsidR="00C82507" w:rsidRPr="00FC2211" w:rsidRDefault="00C82507" w:rsidP="006340EF">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w:t>
            </w:r>
            <w:r w:rsidR="00887D43" w:rsidRPr="00FC2211">
              <w:rPr>
                <w:rFonts w:ascii="Calibri" w:hAnsi="Calibri" w:cs="Calibri"/>
                <w:color w:val="000000"/>
                <w:szCs w:val="20"/>
                <w:lang w:val="en-CA" w:eastAsia="en-CA"/>
              </w:rPr>
              <w:t>98,367</w:t>
            </w:r>
            <w:r w:rsidRPr="00FC2211">
              <w:rPr>
                <w:rFonts w:ascii="Calibri" w:hAnsi="Calibri" w:cs="Calibri"/>
                <w:color w:val="000000"/>
                <w:szCs w:val="20"/>
                <w:lang w:val="en-CA" w:eastAsia="en-CA"/>
              </w:rPr>
              <w:t>)</w:t>
            </w:r>
          </w:p>
        </w:tc>
      </w:tr>
      <w:tr w:rsidR="00C82507" w:rsidRPr="00FC2211" w14:paraId="71404CEE" w14:textId="77777777" w:rsidTr="0035440F">
        <w:trPr>
          <w:trHeight w:val="276"/>
          <w:jc w:val="center"/>
        </w:trPr>
        <w:tc>
          <w:tcPr>
            <w:tcW w:w="4796" w:type="dxa"/>
            <w:tcBorders>
              <w:top w:val="nil"/>
              <w:left w:val="nil"/>
              <w:bottom w:val="nil"/>
              <w:right w:val="nil"/>
            </w:tcBorders>
            <w:shd w:val="clear" w:color="auto" w:fill="auto"/>
            <w:vAlign w:val="center"/>
            <w:hideMark/>
          </w:tcPr>
          <w:p w14:paraId="544D9B88" w14:textId="77777777" w:rsidR="00C82507" w:rsidRPr="00FC2211" w:rsidRDefault="00C82507" w:rsidP="00C82507">
            <w:pPr>
              <w:ind w:firstLineChars="400" w:firstLine="800"/>
              <w:rPr>
                <w:rFonts w:ascii="Calibri" w:hAnsi="Calibri" w:cs="Calibri"/>
                <w:color w:val="000000"/>
                <w:szCs w:val="20"/>
                <w:lang w:val="en-CA" w:eastAsia="en-CA"/>
              </w:rPr>
            </w:pPr>
            <w:r w:rsidRPr="00FC2211">
              <w:rPr>
                <w:rFonts w:ascii="Calibri" w:hAnsi="Calibri" w:cs="Calibri"/>
                <w:color w:val="000000"/>
                <w:szCs w:val="20"/>
                <w:lang w:val="en-CA" w:eastAsia="en-CA"/>
              </w:rPr>
              <w:t>Prepaid expenses</w:t>
            </w:r>
          </w:p>
        </w:tc>
        <w:tc>
          <w:tcPr>
            <w:tcW w:w="733" w:type="dxa"/>
            <w:tcBorders>
              <w:top w:val="nil"/>
              <w:left w:val="nil"/>
              <w:bottom w:val="nil"/>
              <w:right w:val="nil"/>
            </w:tcBorders>
            <w:shd w:val="clear" w:color="auto" w:fill="auto"/>
            <w:vAlign w:val="center"/>
            <w:hideMark/>
          </w:tcPr>
          <w:p w14:paraId="4054926A" w14:textId="77777777" w:rsidR="00C82507" w:rsidRPr="00FC2211" w:rsidRDefault="00C82507" w:rsidP="00C82507">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0781B677" w14:textId="254F5A84" w:rsidR="00C82507" w:rsidRPr="00FC2211" w:rsidRDefault="00C82507" w:rsidP="00C8250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7D6E40" w:rsidRPr="00FC2211">
              <w:rPr>
                <w:rFonts w:ascii="Calibri" w:hAnsi="Calibri" w:cs="Calibri"/>
                <w:b/>
                <w:bCs/>
                <w:color w:val="000000"/>
                <w:szCs w:val="20"/>
                <w:lang w:val="en-CA" w:eastAsia="en-CA"/>
              </w:rPr>
              <w:t>63,110</w:t>
            </w:r>
            <w:r w:rsidRPr="00FC2211">
              <w:rPr>
                <w:rFonts w:ascii="Calibri" w:hAnsi="Calibri" w:cs="Calibri"/>
                <w:b/>
                <w:bCs/>
                <w:color w:val="000000"/>
                <w:szCs w:val="20"/>
                <w:lang w:val="en-CA" w:eastAsia="en-CA"/>
              </w:rPr>
              <w:t xml:space="preserve"> </w:t>
            </w:r>
          </w:p>
        </w:tc>
        <w:tc>
          <w:tcPr>
            <w:tcW w:w="1468" w:type="dxa"/>
            <w:tcBorders>
              <w:top w:val="nil"/>
              <w:left w:val="nil"/>
              <w:bottom w:val="nil"/>
              <w:right w:val="nil"/>
            </w:tcBorders>
            <w:shd w:val="clear" w:color="auto" w:fill="auto"/>
            <w:noWrap/>
            <w:vAlign w:val="center"/>
            <w:hideMark/>
          </w:tcPr>
          <w:p w14:paraId="1641B16C" w14:textId="4DE6C2D7" w:rsidR="00C82507" w:rsidRPr="00FC2211" w:rsidRDefault="00C82507" w:rsidP="00F42FE2">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F42FE2" w:rsidRPr="00FC2211">
              <w:rPr>
                <w:rFonts w:ascii="Calibri" w:hAnsi="Calibri" w:cs="Calibri"/>
                <w:color w:val="000000"/>
                <w:szCs w:val="20"/>
                <w:lang w:val="en-CA" w:eastAsia="en-CA"/>
              </w:rPr>
              <w:t>205,</w:t>
            </w:r>
            <w:r w:rsidR="00887D43" w:rsidRPr="00FC2211">
              <w:rPr>
                <w:rFonts w:ascii="Calibri" w:hAnsi="Calibri" w:cs="Calibri"/>
                <w:color w:val="000000"/>
                <w:szCs w:val="20"/>
                <w:lang w:val="en-CA" w:eastAsia="en-CA"/>
              </w:rPr>
              <w:t>413</w:t>
            </w:r>
          </w:p>
        </w:tc>
      </w:tr>
      <w:tr w:rsidR="00C82507" w:rsidRPr="00FC2211" w14:paraId="484FB602" w14:textId="77777777" w:rsidTr="0035440F">
        <w:trPr>
          <w:trHeight w:val="276"/>
          <w:jc w:val="center"/>
        </w:trPr>
        <w:tc>
          <w:tcPr>
            <w:tcW w:w="4796" w:type="dxa"/>
            <w:tcBorders>
              <w:top w:val="nil"/>
              <w:left w:val="nil"/>
              <w:bottom w:val="nil"/>
              <w:right w:val="nil"/>
            </w:tcBorders>
            <w:shd w:val="clear" w:color="auto" w:fill="auto"/>
            <w:vAlign w:val="center"/>
            <w:hideMark/>
          </w:tcPr>
          <w:p w14:paraId="4AD4385A" w14:textId="77777777" w:rsidR="00C82507" w:rsidRPr="00FC2211" w:rsidRDefault="00C82507" w:rsidP="00C82507">
            <w:pPr>
              <w:ind w:firstLineChars="400" w:firstLine="800"/>
              <w:rPr>
                <w:rFonts w:ascii="Calibri" w:hAnsi="Calibri" w:cs="Calibri"/>
                <w:color w:val="000000"/>
                <w:szCs w:val="20"/>
                <w:lang w:val="en-CA" w:eastAsia="en-CA"/>
              </w:rPr>
            </w:pPr>
            <w:r w:rsidRPr="00FC2211">
              <w:rPr>
                <w:rFonts w:ascii="Calibri" w:hAnsi="Calibri" w:cs="Calibri"/>
                <w:color w:val="000000"/>
                <w:szCs w:val="20"/>
                <w:lang w:val="en-CA" w:eastAsia="en-CA"/>
              </w:rPr>
              <w:t>Inventory</w:t>
            </w:r>
          </w:p>
        </w:tc>
        <w:tc>
          <w:tcPr>
            <w:tcW w:w="733" w:type="dxa"/>
            <w:tcBorders>
              <w:top w:val="nil"/>
              <w:left w:val="nil"/>
              <w:bottom w:val="nil"/>
              <w:right w:val="nil"/>
            </w:tcBorders>
            <w:shd w:val="clear" w:color="auto" w:fill="auto"/>
            <w:vAlign w:val="center"/>
            <w:hideMark/>
          </w:tcPr>
          <w:p w14:paraId="4A82B221" w14:textId="77777777" w:rsidR="00C82507" w:rsidRPr="00FC2211" w:rsidRDefault="00C82507" w:rsidP="00C82507">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12F8893D" w14:textId="6049165B" w:rsidR="00C82507" w:rsidRPr="00FC2211" w:rsidRDefault="00C82507" w:rsidP="00794368">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7D6E40" w:rsidRPr="00FC2211">
              <w:rPr>
                <w:rFonts w:ascii="Calibri" w:hAnsi="Calibri" w:cs="Calibri"/>
                <w:b/>
                <w:bCs/>
                <w:color w:val="000000"/>
                <w:szCs w:val="20"/>
                <w:lang w:val="en-CA" w:eastAsia="en-CA"/>
              </w:rPr>
              <w:t>888</w:t>
            </w:r>
          </w:p>
        </w:tc>
        <w:tc>
          <w:tcPr>
            <w:tcW w:w="1468" w:type="dxa"/>
            <w:tcBorders>
              <w:top w:val="nil"/>
              <w:left w:val="nil"/>
              <w:bottom w:val="nil"/>
              <w:right w:val="nil"/>
            </w:tcBorders>
            <w:shd w:val="clear" w:color="auto" w:fill="auto"/>
            <w:noWrap/>
            <w:vAlign w:val="center"/>
            <w:hideMark/>
          </w:tcPr>
          <w:p w14:paraId="63B59631" w14:textId="6E299FFB" w:rsidR="00C82507" w:rsidRPr="00FC2211" w:rsidRDefault="00C82507" w:rsidP="006A4C17">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6A4C17" w:rsidRPr="00FC2211">
              <w:rPr>
                <w:rFonts w:ascii="Calibri" w:hAnsi="Calibri" w:cs="Calibri"/>
                <w:color w:val="000000"/>
                <w:szCs w:val="20"/>
                <w:lang w:val="en-CA" w:eastAsia="en-CA"/>
              </w:rPr>
              <w:t>(</w:t>
            </w:r>
            <w:r w:rsidR="00F42FE2" w:rsidRPr="00FC2211">
              <w:rPr>
                <w:rFonts w:ascii="Calibri" w:hAnsi="Calibri" w:cs="Calibri"/>
                <w:color w:val="000000"/>
                <w:szCs w:val="20"/>
                <w:lang w:val="en-CA" w:eastAsia="en-CA"/>
              </w:rPr>
              <w:t>1</w:t>
            </w:r>
            <w:r w:rsidR="00753A0D" w:rsidRPr="00FC2211">
              <w:rPr>
                <w:rFonts w:ascii="Calibri" w:hAnsi="Calibri" w:cs="Calibri"/>
                <w:color w:val="000000"/>
                <w:szCs w:val="20"/>
                <w:lang w:val="en-CA" w:eastAsia="en-CA"/>
              </w:rPr>
              <w:t>71,168</w:t>
            </w:r>
            <w:r w:rsidR="006A4C17" w:rsidRPr="00FC2211">
              <w:rPr>
                <w:rFonts w:ascii="Calibri" w:hAnsi="Calibri" w:cs="Calibri"/>
                <w:color w:val="000000"/>
                <w:szCs w:val="20"/>
                <w:lang w:val="en-CA" w:eastAsia="en-CA"/>
              </w:rPr>
              <w:t>)</w:t>
            </w:r>
          </w:p>
        </w:tc>
      </w:tr>
      <w:tr w:rsidR="00C82507" w:rsidRPr="00FC2211" w14:paraId="638A36E1" w14:textId="77777777" w:rsidTr="0035440F">
        <w:trPr>
          <w:trHeight w:val="276"/>
          <w:jc w:val="center"/>
        </w:trPr>
        <w:tc>
          <w:tcPr>
            <w:tcW w:w="4796" w:type="dxa"/>
            <w:tcBorders>
              <w:top w:val="nil"/>
              <w:left w:val="nil"/>
              <w:bottom w:val="nil"/>
              <w:right w:val="nil"/>
            </w:tcBorders>
            <w:shd w:val="clear" w:color="auto" w:fill="auto"/>
            <w:vAlign w:val="center"/>
            <w:hideMark/>
          </w:tcPr>
          <w:p w14:paraId="35064D42" w14:textId="77777777" w:rsidR="00C82507" w:rsidRPr="00FC2211" w:rsidRDefault="00C82507" w:rsidP="00C82507">
            <w:pPr>
              <w:ind w:firstLineChars="400" w:firstLine="800"/>
              <w:rPr>
                <w:rFonts w:ascii="Calibri" w:hAnsi="Calibri" w:cs="Calibri"/>
                <w:color w:val="000000"/>
                <w:szCs w:val="20"/>
                <w:lang w:val="en-CA" w:eastAsia="en-CA"/>
              </w:rPr>
            </w:pPr>
            <w:r w:rsidRPr="00FC2211">
              <w:rPr>
                <w:rFonts w:ascii="Calibri" w:hAnsi="Calibri" w:cs="Calibri"/>
                <w:color w:val="000000"/>
                <w:szCs w:val="20"/>
                <w:lang w:val="en-CA" w:eastAsia="en-CA"/>
              </w:rPr>
              <w:t>Accounts payable and accrued liabilities</w:t>
            </w:r>
          </w:p>
        </w:tc>
        <w:tc>
          <w:tcPr>
            <w:tcW w:w="733" w:type="dxa"/>
            <w:tcBorders>
              <w:top w:val="nil"/>
              <w:left w:val="nil"/>
              <w:bottom w:val="nil"/>
              <w:right w:val="nil"/>
            </w:tcBorders>
            <w:shd w:val="clear" w:color="auto" w:fill="auto"/>
            <w:vAlign w:val="center"/>
            <w:hideMark/>
          </w:tcPr>
          <w:p w14:paraId="4DCEB158" w14:textId="77777777" w:rsidR="00C82507" w:rsidRPr="00FC2211" w:rsidRDefault="00C82507" w:rsidP="00C82507">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0D766B0B" w14:textId="29AA9D3C" w:rsidR="00C82507" w:rsidRPr="00FC2211" w:rsidRDefault="00C82507" w:rsidP="00C8250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B916B6" w:rsidRPr="00FC2211">
              <w:rPr>
                <w:rFonts w:ascii="Calibri" w:hAnsi="Calibri" w:cs="Calibri"/>
                <w:b/>
                <w:bCs/>
                <w:color w:val="000000"/>
                <w:szCs w:val="20"/>
                <w:lang w:val="en-CA" w:eastAsia="en-CA"/>
              </w:rPr>
              <w:t>459,217</w:t>
            </w:r>
            <w:r w:rsidRPr="00FC2211">
              <w:rPr>
                <w:rFonts w:ascii="Calibri" w:hAnsi="Calibri" w:cs="Calibri"/>
                <w:b/>
                <w:bCs/>
                <w:color w:val="000000"/>
                <w:szCs w:val="20"/>
                <w:lang w:val="en-CA" w:eastAsia="en-CA"/>
              </w:rPr>
              <w:t xml:space="preserve"> </w:t>
            </w:r>
          </w:p>
        </w:tc>
        <w:tc>
          <w:tcPr>
            <w:tcW w:w="1468" w:type="dxa"/>
            <w:tcBorders>
              <w:top w:val="nil"/>
              <w:left w:val="nil"/>
              <w:bottom w:val="nil"/>
              <w:right w:val="nil"/>
            </w:tcBorders>
            <w:shd w:val="clear" w:color="auto" w:fill="auto"/>
            <w:noWrap/>
            <w:vAlign w:val="center"/>
            <w:hideMark/>
          </w:tcPr>
          <w:p w14:paraId="12F531F5" w14:textId="3C90D62E" w:rsidR="00C82507" w:rsidRPr="00FC2211" w:rsidRDefault="00C82507" w:rsidP="00753A0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753A0D" w:rsidRPr="00FC2211">
              <w:rPr>
                <w:rFonts w:ascii="Calibri" w:hAnsi="Calibri" w:cs="Calibri"/>
                <w:color w:val="000000"/>
                <w:szCs w:val="20"/>
                <w:lang w:val="en-CA" w:eastAsia="en-CA"/>
              </w:rPr>
              <w:t>74,284</w:t>
            </w:r>
          </w:p>
        </w:tc>
      </w:tr>
      <w:tr w:rsidR="00C82507" w:rsidRPr="00FC2211" w14:paraId="32778EA0" w14:textId="77777777" w:rsidTr="0035440F">
        <w:trPr>
          <w:trHeight w:val="276"/>
          <w:jc w:val="center"/>
        </w:trPr>
        <w:tc>
          <w:tcPr>
            <w:tcW w:w="4796" w:type="dxa"/>
            <w:tcBorders>
              <w:top w:val="nil"/>
              <w:left w:val="nil"/>
              <w:bottom w:val="nil"/>
              <w:right w:val="nil"/>
            </w:tcBorders>
            <w:shd w:val="clear" w:color="auto" w:fill="auto"/>
            <w:vAlign w:val="center"/>
            <w:hideMark/>
          </w:tcPr>
          <w:p w14:paraId="48683C64" w14:textId="77777777" w:rsidR="00C82507" w:rsidRPr="00FC2211" w:rsidRDefault="00C82507" w:rsidP="00C82507">
            <w:pPr>
              <w:ind w:firstLineChars="400" w:firstLine="800"/>
              <w:rPr>
                <w:rFonts w:ascii="Calibri" w:hAnsi="Calibri" w:cs="Calibri"/>
                <w:color w:val="000000"/>
                <w:szCs w:val="20"/>
                <w:lang w:val="en-CA" w:eastAsia="en-CA"/>
              </w:rPr>
            </w:pPr>
            <w:r w:rsidRPr="00FC2211">
              <w:rPr>
                <w:rFonts w:ascii="Calibri" w:hAnsi="Calibri" w:cs="Calibri"/>
                <w:color w:val="000000"/>
                <w:szCs w:val="20"/>
                <w:lang w:val="en-CA" w:eastAsia="en-CA"/>
              </w:rPr>
              <w:t>Due to related parties</w:t>
            </w:r>
          </w:p>
        </w:tc>
        <w:tc>
          <w:tcPr>
            <w:tcW w:w="733" w:type="dxa"/>
            <w:tcBorders>
              <w:top w:val="nil"/>
              <w:left w:val="nil"/>
              <w:bottom w:val="nil"/>
              <w:right w:val="nil"/>
            </w:tcBorders>
            <w:shd w:val="clear" w:color="auto" w:fill="auto"/>
            <w:vAlign w:val="center"/>
            <w:hideMark/>
          </w:tcPr>
          <w:p w14:paraId="61E19C52" w14:textId="77777777" w:rsidR="00C82507" w:rsidRPr="00FC2211" w:rsidRDefault="00C82507" w:rsidP="00C82507">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2736E762" w14:textId="6B7C53E0" w:rsidR="00C82507" w:rsidRPr="00FC2211" w:rsidRDefault="00521147" w:rsidP="004703CF">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1,071</w:t>
            </w:r>
          </w:p>
        </w:tc>
        <w:tc>
          <w:tcPr>
            <w:tcW w:w="1468" w:type="dxa"/>
            <w:tcBorders>
              <w:top w:val="nil"/>
              <w:left w:val="nil"/>
              <w:bottom w:val="nil"/>
              <w:right w:val="nil"/>
            </w:tcBorders>
            <w:shd w:val="clear" w:color="auto" w:fill="auto"/>
            <w:noWrap/>
            <w:vAlign w:val="center"/>
            <w:hideMark/>
          </w:tcPr>
          <w:p w14:paraId="00575C2B" w14:textId="3DDA8C14" w:rsidR="00C82507" w:rsidRPr="00FC2211" w:rsidRDefault="00C82507" w:rsidP="006340EF">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753A0D" w:rsidRPr="00FC2211">
              <w:rPr>
                <w:rFonts w:ascii="Calibri" w:hAnsi="Calibri" w:cs="Calibri"/>
                <w:color w:val="000000"/>
                <w:szCs w:val="20"/>
                <w:lang w:val="en-CA" w:eastAsia="en-CA"/>
              </w:rPr>
              <w:t>97</w:t>
            </w:r>
            <w:r w:rsidRPr="00FC2211">
              <w:rPr>
                <w:rFonts w:ascii="Calibri" w:hAnsi="Calibri" w:cs="Calibri"/>
                <w:color w:val="000000"/>
                <w:szCs w:val="20"/>
                <w:lang w:val="en-CA" w:eastAsia="en-CA"/>
              </w:rPr>
              <w:t>)</w:t>
            </w:r>
          </w:p>
        </w:tc>
      </w:tr>
      <w:tr w:rsidR="00C82507" w:rsidRPr="00FC2211" w14:paraId="00A72C2C" w14:textId="77777777" w:rsidTr="0035440F">
        <w:trPr>
          <w:trHeight w:val="288"/>
          <w:jc w:val="center"/>
        </w:trPr>
        <w:tc>
          <w:tcPr>
            <w:tcW w:w="4796" w:type="dxa"/>
            <w:tcBorders>
              <w:top w:val="nil"/>
              <w:left w:val="nil"/>
              <w:bottom w:val="nil"/>
              <w:right w:val="nil"/>
            </w:tcBorders>
            <w:shd w:val="clear" w:color="auto" w:fill="auto"/>
            <w:vAlign w:val="center"/>
            <w:hideMark/>
          </w:tcPr>
          <w:p w14:paraId="2FA76206" w14:textId="77777777" w:rsidR="00C82507" w:rsidRPr="00FC2211" w:rsidRDefault="00C82507" w:rsidP="00C82507">
            <w:pPr>
              <w:ind w:firstLineChars="400" w:firstLine="800"/>
              <w:rPr>
                <w:rFonts w:ascii="Calibri" w:hAnsi="Calibri" w:cs="Calibri"/>
                <w:color w:val="000000"/>
                <w:szCs w:val="20"/>
                <w:lang w:val="en-CA" w:eastAsia="en-CA"/>
              </w:rPr>
            </w:pPr>
            <w:r w:rsidRPr="00FC2211">
              <w:rPr>
                <w:rFonts w:ascii="Calibri" w:hAnsi="Calibri" w:cs="Calibri"/>
                <w:color w:val="000000"/>
                <w:szCs w:val="20"/>
                <w:lang w:val="en-CA" w:eastAsia="en-CA"/>
              </w:rPr>
              <w:t>GST recoverable</w:t>
            </w:r>
          </w:p>
        </w:tc>
        <w:tc>
          <w:tcPr>
            <w:tcW w:w="733" w:type="dxa"/>
            <w:tcBorders>
              <w:top w:val="nil"/>
              <w:left w:val="nil"/>
              <w:bottom w:val="nil"/>
              <w:right w:val="nil"/>
            </w:tcBorders>
            <w:shd w:val="clear" w:color="auto" w:fill="auto"/>
            <w:vAlign w:val="center"/>
            <w:hideMark/>
          </w:tcPr>
          <w:p w14:paraId="4368567F" w14:textId="77777777" w:rsidR="00C82507" w:rsidRPr="00FC2211" w:rsidRDefault="00C82507" w:rsidP="00C82507">
            <w:pPr>
              <w:ind w:firstLineChars="400" w:firstLine="8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14CB2992" w14:textId="6FB1E354" w:rsidR="00C82507" w:rsidRPr="00FC2211" w:rsidRDefault="00C82507" w:rsidP="00C8250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39022F" w:rsidRPr="00FC2211">
              <w:rPr>
                <w:rFonts w:ascii="Calibri" w:hAnsi="Calibri" w:cs="Calibri"/>
                <w:b/>
                <w:bCs/>
                <w:color w:val="000000"/>
                <w:szCs w:val="20"/>
                <w:lang w:val="en-CA" w:eastAsia="en-CA"/>
              </w:rPr>
              <w:t>6,6</w:t>
            </w:r>
            <w:r w:rsidR="00B916B6" w:rsidRPr="00FC2211">
              <w:rPr>
                <w:rFonts w:ascii="Calibri" w:hAnsi="Calibri" w:cs="Calibri"/>
                <w:b/>
                <w:bCs/>
                <w:color w:val="000000"/>
                <w:szCs w:val="20"/>
                <w:lang w:val="en-CA" w:eastAsia="en-CA"/>
              </w:rPr>
              <w:t>35</w:t>
            </w:r>
            <w:r w:rsidRPr="00FC2211">
              <w:rPr>
                <w:rFonts w:ascii="Calibri" w:hAnsi="Calibri" w:cs="Calibri"/>
                <w:b/>
                <w:bCs/>
                <w:color w:val="000000"/>
                <w:szCs w:val="20"/>
                <w:lang w:val="en-CA" w:eastAsia="en-CA"/>
              </w:rPr>
              <w:t xml:space="preserve"> </w:t>
            </w:r>
          </w:p>
        </w:tc>
        <w:tc>
          <w:tcPr>
            <w:tcW w:w="1468" w:type="dxa"/>
            <w:tcBorders>
              <w:top w:val="nil"/>
              <w:left w:val="nil"/>
              <w:bottom w:val="nil"/>
              <w:right w:val="nil"/>
            </w:tcBorders>
            <w:shd w:val="clear" w:color="auto" w:fill="auto"/>
            <w:noWrap/>
            <w:vAlign w:val="center"/>
            <w:hideMark/>
          </w:tcPr>
          <w:p w14:paraId="51067AF0" w14:textId="7775FCD4" w:rsidR="00C82507" w:rsidRPr="00FC2211" w:rsidRDefault="00C82507" w:rsidP="00C82507">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577E03" w:rsidRPr="00FC2211">
              <w:rPr>
                <w:rFonts w:ascii="Calibri" w:hAnsi="Calibri" w:cs="Calibri"/>
                <w:color w:val="000000"/>
                <w:szCs w:val="20"/>
                <w:lang w:val="en-CA" w:eastAsia="en-CA"/>
              </w:rPr>
              <w:t>4,348</w:t>
            </w:r>
            <w:r w:rsidRPr="00FC2211">
              <w:rPr>
                <w:rFonts w:ascii="Calibri" w:hAnsi="Calibri" w:cs="Calibri"/>
                <w:color w:val="000000"/>
                <w:szCs w:val="20"/>
                <w:lang w:val="en-CA" w:eastAsia="en-CA"/>
              </w:rPr>
              <w:t xml:space="preserve"> </w:t>
            </w:r>
          </w:p>
        </w:tc>
      </w:tr>
      <w:tr w:rsidR="00C82507" w:rsidRPr="00FC2211" w14:paraId="6B86E749" w14:textId="77777777" w:rsidTr="0035440F">
        <w:trPr>
          <w:trHeight w:val="288"/>
          <w:jc w:val="center"/>
        </w:trPr>
        <w:tc>
          <w:tcPr>
            <w:tcW w:w="4796" w:type="dxa"/>
            <w:tcBorders>
              <w:top w:val="single" w:sz="8" w:space="0" w:color="auto"/>
              <w:left w:val="nil"/>
              <w:bottom w:val="single" w:sz="12" w:space="0" w:color="auto"/>
              <w:right w:val="nil"/>
            </w:tcBorders>
            <w:shd w:val="clear" w:color="auto" w:fill="auto"/>
            <w:vAlign w:val="center"/>
            <w:hideMark/>
          </w:tcPr>
          <w:p w14:paraId="28564570" w14:textId="77777777" w:rsidR="00C82507" w:rsidRPr="00FC2211" w:rsidRDefault="00C82507" w:rsidP="00C82507">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733" w:type="dxa"/>
            <w:tcBorders>
              <w:top w:val="single" w:sz="8" w:space="0" w:color="auto"/>
              <w:left w:val="nil"/>
              <w:bottom w:val="single" w:sz="12" w:space="0" w:color="auto"/>
              <w:right w:val="nil"/>
            </w:tcBorders>
            <w:shd w:val="clear" w:color="auto" w:fill="auto"/>
            <w:vAlign w:val="center"/>
            <w:hideMark/>
          </w:tcPr>
          <w:p w14:paraId="10B2AF09" w14:textId="77777777" w:rsidR="00C82507" w:rsidRPr="00FC2211" w:rsidRDefault="00C82507" w:rsidP="00C82507">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701" w:type="dxa"/>
            <w:tcBorders>
              <w:top w:val="single" w:sz="8" w:space="0" w:color="auto"/>
              <w:left w:val="nil"/>
              <w:bottom w:val="single" w:sz="12" w:space="0" w:color="auto"/>
              <w:right w:val="nil"/>
            </w:tcBorders>
            <w:shd w:val="clear" w:color="auto" w:fill="auto"/>
            <w:noWrap/>
            <w:vAlign w:val="center"/>
            <w:hideMark/>
          </w:tcPr>
          <w:p w14:paraId="31F1A6FA" w14:textId="2BF977AB" w:rsidR="00C82507" w:rsidRPr="00FC2211" w:rsidRDefault="00C82507" w:rsidP="006340EF">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39022F" w:rsidRPr="00FC2211">
              <w:rPr>
                <w:rFonts w:ascii="Calibri" w:hAnsi="Calibri" w:cs="Calibri"/>
                <w:b/>
                <w:bCs/>
                <w:color w:val="000000"/>
                <w:szCs w:val="20"/>
                <w:lang w:val="en-CA" w:eastAsia="en-CA"/>
              </w:rPr>
              <w:t>400,669</w:t>
            </w:r>
            <w:r w:rsidRPr="00FC2211">
              <w:rPr>
                <w:rFonts w:ascii="Calibri" w:hAnsi="Calibri" w:cs="Calibri"/>
                <w:b/>
                <w:bCs/>
                <w:color w:val="000000"/>
                <w:szCs w:val="20"/>
                <w:lang w:val="en-CA" w:eastAsia="en-CA"/>
              </w:rPr>
              <w:t>)</w:t>
            </w:r>
          </w:p>
        </w:tc>
        <w:tc>
          <w:tcPr>
            <w:tcW w:w="1468" w:type="dxa"/>
            <w:tcBorders>
              <w:top w:val="single" w:sz="8" w:space="0" w:color="auto"/>
              <w:left w:val="nil"/>
              <w:bottom w:val="single" w:sz="12" w:space="0" w:color="auto"/>
              <w:right w:val="nil"/>
            </w:tcBorders>
            <w:shd w:val="clear" w:color="auto" w:fill="auto"/>
            <w:noWrap/>
            <w:vAlign w:val="center"/>
            <w:hideMark/>
          </w:tcPr>
          <w:p w14:paraId="1E9F9795" w14:textId="24927013" w:rsidR="00C82507" w:rsidRPr="00FC2211" w:rsidRDefault="00C82507" w:rsidP="006340EF">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577E03" w:rsidRPr="00FC2211">
              <w:rPr>
                <w:rFonts w:ascii="Calibri" w:hAnsi="Calibri" w:cs="Calibri"/>
                <w:color w:val="000000"/>
                <w:szCs w:val="20"/>
                <w:lang w:val="en-CA" w:eastAsia="en-CA"/>
              </w:rPr>
              <w:t>1,448,606</w:t>
            </w:r>
            <w:r w:rsidRPr="00FC2211">
              <w:rPr>
                <w:rFonts w:ascii="Calibri" w:hAnsi="Calibri" w:cs="Calibri"/>
                <w:color w:val="000000"/>
                <w:szCs w:val="20"/>
                <w:lang w:val="en-CA" w:eastAsia="en-CA"/>
              </w:rPr>
              <w:t>)</w:t>
            </w:r>
          </w:p>
        </w:tc>
      </w:tr>
      <w:tr w:rsidR="00C82507" w:rsidRPr="00FC2211" w14:paraId="49E96075" w14:textId="77777777" w:rsidTr="0035440F">
        <w:trPr>
          <w:trHeight w:val="288"/>
          <w:jc w:val="center"/>
        </w:trPr>
        <w:tc>
          <w:tcPr>
            <w:tcW w:w="4796" w:type="dxa"/>
            <w:tcBorders>
              <w:top w:val="nil"/>
              <w:left w:val="nil"/>
              <w:bottom w:val="nil"/>
              <w:right w:val="nil"/>
            </w:tcBorders>
            <w:shd w:val="clear" w:color="auto" w:fill="auto"/>
            <w:vAlign w:val="center"/>
            <w:hideMark/>
          </w:tcPr>
          <w:p w14:paraId="3163CDE6" w14:textId="77777777" w:rsidR="00C82507" w:rsidRPr="00FC2211" w:rsidRDefault="00C82507" w:rsidP="00C82507">
            <w:pPr>
              <w:rPr>
                <w:rFonts w:ascii="Calibri" w:hAnsi="Calibri" w:cs="Calibri"/>
                <w:color w:val="000000"/>
                <w:szCs w:val="20"/>
                <w:lang w:val="en-CA" w:eastAsia="en-CA"/>
              </w:rPr>
            </w:pPr>
            <w:r w:rsidRPr="00FC2211">
              <w:rPr>
                <w:rFonts w:ascii="Calibri" w:hAnsi="Calibri" w:cs="Calibri"/>
                <w:color w:val="000000"/>
                <w:szCs w:val="20"/>
                <w:lang w:val="en-CA" w:eastAsia="en-CA"/>
              </w:rPr>
              <w:t>Cash flows used in investing activities:</w:t>
            </w:r>
          </w:p>
        </w:tc>
        <w:tc>
          <w:tcPr>
            <w:tcW w:w="733" w:type="dxa"/>
            <w:tcBorders>
              <w:top w:val="nil"/>
              <w:left w:val="nil"/>
              <w:bottom w:val="nil"/>
              <w:right w:val="nil"/>
            </w:tcBorders>
            <w:shd w:val="clear" w:color="auto" w:fill="auto"/>
            <w:vAlign w:val="center"/>
            <w:hideMark/>
          </w:tcPr>
          <w:p w14:paraId="5CDEC1DA" w14:textId="77777777" w:rsidR="00C82507" w:rsidRPr="00FC2211" w:rsidRDefault="00C82507" w:rsidP="00C82507">
            <w:pPr>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68BFA51B" w14:textId="77777777" w:rsidR="00C82507" w:rsidRPr="00FC2211" w:rsidRDefault="00C82507" w:rsidP="00C82507">
            <w:pPr>
              <w:rPr>
                <w:rFonts w:ascii="Times New Roman" w:hAnsi="Times New Roman"/>
                <w:szCs w:val="20"/>
                <w:lang w:val="en-CA" w:eastAsia="en-CA"/>
              </w:rPr>
            </w:pPr>
          </w:p>
        </w:tc>
        <w:tc>
          <w:tcPr>
            <w:tcW w:w="1468" w:type="dxa"/>
            <w:tcBorders>
              <w:top w:val="nil"/>
              <w:left w:val="nil"/>
              <w:bottom w:val="nil"/>
              <w:right w:val="nil"/>
            </w:tcBorders>
            <w:shd w:val="clear" w:color="auto" w:fill="auto"/>
            <w:noWrap/>
            <w:vAlign w:val="center"/>
            <w:hideMark/>
          </w:tcPr>
          <w:p w14:paraId="1B2DDFA4" w14:textId="77777777" w:rsidR="00C82507" w:rsidRPr="00FC2211" w:rsidRDefault="00C82507" w:rsidP="00C82507">
            <w:pPr>
              <w:jc w:val="right"/>
              <w:rPr>
                <w:rFonts w:ascii="Times New Roman" w:hAnsi="Times New Roman"/>
                <w:szCs w:val="20"/>
                <w:lang w:val="en-CA" w:eastAsia="en-CA"/>
              </w:rPr>
            </w:pPr>
          </w:p>
        </w:tc>
      </w:tr>
      <w:tr w:rsidR="00C82507" w:rsidRPr="00FC2211" w14:paraId="0FAED0DE" w14:textId="77777777" w:rsidTr="0035440F">
        <w:trPr>
          <w:trHeight w:val="288"/>
          <w:jc w:val="center"/>
        </w:trPr>
        <w:tc>
          <w:tcPr>
            <w:tcW w:w="4796" w:type="dxa"/>
            <w:tcBorders>
              <w:top w:val="nil"/>
              <w:left w:val="nil"/>
              <w:bottom w:val="nil"/>
              <w:right w:val="nil"/>
            </w:tcBorders>
            <w:shd w:val="clear" w:color="auto" w:fill="auto"/>
            <w:vAlign w:val="center"/>
            <w:hideMark/>
          </w:tcPr>
          <w:p w14:paraId="19264618" w14:textId="77777777" w:rsidR="00C82507" w:rsidRPr="00FC2211" w:rsidRDefault="00C82507" w:rsidP="00C82507">
            <w:pPr>
              <w:ind w:firstLineChars="200" w:firstLine="400"/>
              <w:rPr>
                <w:rFonts w:ascii="Calibri" w:hAnsi="Calibri" w:cs="Calibri"/>
                <w:color w:val="000000"/>
                <w:szCs w:val="20"/>
                <w:lang w:val="en-CA" w:eastAsia="en-CA"/>
              </w:rPr>
            </w:pPr>
            <w:r w:rsidRPr="00FC2211">
              <w:rPr>
                <w:rFonts w:ascii="Calibri" w:hAnsi="Calibri" w:cs="Calibri"/>
                <w:color w:val="000000"/>
                <w:szCs w:val="20"/>
                <w:lang w:val="en-CA" w:eastAsia="en-CA"/>
              </w:rPr>
              <w:t>Purchase of equipment</w:t>
            </w:r>
          </w:p>
        </w:tc>
        <w:tc>
          <w:tcPr>
            <w:tcW w:w="733" w:type="dxa"/>
            <w:tcBorders>
              <w:top w:val="nil"/>
              <w:left w:val="nil"/>
              <w:bottom w:val="nil"/>
              <w:right w:val="nil"/>
            </w:tcBorders>
            <w:shd w:val="clear" w:color="auto" w:fill="auto"/>
            <w:vAlign w:val="center"/>
            <w:hideMark/>
          </w:tcPr>
          <w:p w14:paraId="6C5BB52C" w14:textId="77777777" w:rsidR="00C82507" w:rsidRPr="00FC2211" w:rsidRDefault="00C82507" w:rsidP="00C82507">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15424A81" w14:textId="728B5B26" w:rsidR="00C82507" w:rsidRPr="00FC2211" w:rsidRDefault="00C82507" w:rsidP="006340EF">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(2</w:t>
            </w:r>
            <w:r w:rsidR="0039022F" w:rsidRPr="00FC2211">
              <w:rPr>
                <w:rFonts w:ascii="Calibri" w:hAnsi="Calibri" w:cs="Calibri"/>
                <w:b/>
                <w:bCs/>
                <w:color w:val="000000"/>
                <w:szCs w:val="20"/>
                <w:lang w:val="en-CA" w:eastAsia="en-CA"/>
              </w:rPr>
              <w:t>63,500</w:t>
            </w:r>
            <w:r w:rsidRPr="00FC2211">
              <w:rPr>
                <w:rFonts w:ascii="Calibri" w:hAnsi="Calibri" w:cs="Calibri"/>
                <w:b/>
                <w:bCs/>
                <w:color w:val="000000"/>
                <w:szCs w:val="20"/>
                <w:lang w:val="en-CA" w:eastAsia="en-CA"/>
              </w:rPr>
              <w:t>)</w:t>
            </w:r>
          </w:p>
        </w:tc>
        <w:tc>
          <w:tcPr>
            <w:tcW w:w="1468" w:type="dxa"/>
            <w:tcBorders>
              <w:top w:val="nil"/>
              <w:left w:val="nil"/>
              <w:bottom w:val="nil"/>
              <w:right w:val="nil"/>
            </w:tcBorders>
            <w:shd w:val="clear" w:color="auto" w:fill="auto"/>
            <w:noWrap/>
            <w:vAlign w:val="center"/>
            <w:hideMark/>
          </w:tcPr>
          <w:p w14:paraId="2B30F189" w14:textId="42BBF4C6" w:rsidR="00C82507" w:rsidRPr="00FC2211" w:rsidRDefault="00C82507" w:rsidP="006340EF">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577E03" w:rsidRPr="00FC2211">
              <w:rPr>
                <w:rFonts w:ascii="Calibri" w:hAnsi="Calibri" w:cs="Calibri"/>
                <w:color w:val="000000"/>
                <w:szCs w:val="20"/>
                <w:lang w:val="en-CA" w:eastAsia="en-CA"/>
              </w:rPr>
              <w:t>226,464</w:t>
            </w:r>
            <w:r w:rsidRPr="00FC2211">
              <w:rPr>
                <w:rFonts w:ascii="Calibri" w:hAnsi="Calibri" w:cs="Calibri"/>
                <w:color w:val="000000"/>
                <w:szCs w:val="20"/>
                <w:lang w:val="en-CA" w:eastAsia="en-CA"/>
              </w:rPr>
              <w:t>)</w:t>
            </w:r>
          </w:p>
        </w:tc>
      </w:tr>
      <w:tr w:rsidR="00C82507" w:rsidRPr="00FC2211" w14:paraId="5CFBA991" w14:textId="77777777" w:rsidTr="0035440F">
        <w:trPr>
          <w:trHeight w:val="288"/>
          <w:jc w:val="center"/>
        </w:trPr>
        <w:tc>
          <w:tcPr>
            <w:tcW w:w="4796" w:type="dxa"/>
            <w:tcBorders>
              <w:top w:val="single" w:sz="8" w:space="0" w:color="auto"/>
              <w:left w:val="nil"/>
              <w:bottom w:val="single" w:sz="12" w:space="0" w:color="auto"/>
              <w:right w:val="nil"/>
            </w:tcBorders>
            <w:shd w:val="clear" w:color="auto" w:fill="auto"/>
            <w:vAlign w:val="center"/>
            <w:hideMark/>
          </w:tcPr>
          <w:p w14:paraId="408F7BB0" w14:textId="77777777" w:rsidR="00C82507" w:rsidRPr="00FC2211" w:rsidRDefault="00C82507" w:rsidP="00C82507">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733" w:type="dxa"/>
            <w:tcBorders>
              <w:top w:val="single" w:sz="8" w:space="0" w:color="auto"/>
              <w:left w:val="nil"/>
              <w:bottom w:val="single" w:sz="12" w:space="0" w:color="auto"/>
              <w:right w:val="nil"/>
            </w:tcBorders>
            <w:shd w:val="clear" w:color="auto" w:fill="auto"/>
            <w:vAlign w:val="center"/>
            <w:hideMark/>
          </w:tcPr>
          <w:p w14:paraId="5B88DAC3" w14:textId="77777777" w:rsidR="00C82507" w:rsidRPr="00FC2211" w:rsidRDefault="00C82507" w:rsidP="00C82507">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701" w:type="dxa"/>
            <w:tcBorders>
              <w:top w:val="single" w:sz="8" w:space="0" w:color="auto"/>
              <w:left w:val="nil"/>
              <w:bottom w:val="single" w:sz="12" w:space="0" w:color="auto"/>
              <w:right w:val="nil"/>
            </w:tcBorders>
            <w:shd w:val="clear" w:color="auto" w:fill="auto"/>
            <w:noWrap/>
            <w:vAlign w:val="center"/>
            <w:hideMark/>
          </w:tcPr>
          <w:p w14:paraId="2C3D6426" w14:textId="76D20F74" w:rsidR="00C82507" w:rsidRPr="00FC2211" w:rsidRDefault="00C82507" w:rsidP="006340EF">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(2</w:t>
            </w:r>
            <w:r w:rsidR="0039022F" w:rsidRPr="00FC2211">
              <w:rPr>
                <w:rFonts w:ascii="Calibri" w:hAnsi="Calibri" w:cs="Calibri"/>
                <w:b/>
                <w:bCs/>
                <w:color w:val="000000"/>
                <w:szCs w:val="20"/>
                <w:lang w:val="en-CA" w:eastAsia="en-CA"/>
              </w:rPr>
              <w:t>63,500</w:t>
            </w:r>
            <w:r w:rsidRPr="00FC2211">
              <w:rPr>
                <w:rFonts w:ascii="Calibri" w:hAnsi="Calibri" w:cs="Calibri"/>
                <w:b/>
                <w:bCs/>
                <w:color w:val="000000"/>
                <w:szCs w:val="20"/>
                <w:lang w:val="en-CA" w:eastAsia="en-CA"/>
              </w:rPr>
              <w:t>)</w:t>
            </w:r>
          </w:p>
        </w:tc>
        <w:tc>
          <w:tcPr>
            <w:tcW w:w="1468" w:type="dxa"/>
            <w:tcBorders>
              <w:top w:val="single" w:sz="8" w:space="0" w:color="auto"/>
              <w:left w:val="nil"/>
              <w:bottom w:val="single" w:sz="12" w:space="0" w:color="auto"/>
              <w:right w:val="nil"/>
            </w:tcBorders>
            <w:shd w:val="clear" w:color="auto" w:fill="auto"/>
            <w:noWrap/>
            <w:vAlign w:val="center"/>
            <w:hideMark/>
          </w:tcPr>
          <w:p w14:paraId="4A37E291" w14:textId="5DBADDCE" w:rsidR="00C82507" w:rsidRPr="00FC2211" w:rsidRDefault="00C82507" w:rsidP="006340EF">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577E03" w:rsidRPr="00FC2211">
              <w:rPr>
                <w:rFonts w:ascii="Calibri" w:hAnsi="Calibri" w:cs="Calibri"/>
                <w:color w:val="000000"/>
                <w:szCs w:val="20"/>
                <w:lang w:val="en-CA" w:eastAsia="en-CA"/>
              </w:rPr>
              <w:t>226,464</w:t>
            </w:r>
            <w:r w:rsidRPr="00FC2211">
              <w:rPr>
                <w:rFonts w:ascii="Calibri" w:hAnsi="Calibri" w:cs="Calibri"/>
                <w:color w:val="000000"/>
                <w:szCs w:val="20"/>
                <w:lang w:val="en-CA" w:eastAsia="en-CA"/>
              </w:rPr>
              <w:t>)</w:t>
            </w:r>
          </w:p>
        </w:tc>
      </w:tr>
      <w:tr w:rsidR="00C82507" w:rsidRPr="00FC2211" w14:paraId="3DE040FF" w14:textId="77777777" w:rsidTr="0035440F">
        <w:trPr>
          <w:trHeight w:val="288"/>
          <w:jc w:val="center"/>
        </w:trPr>
        <w:tc>
          <w:tcPr>
            <w:tcW w:w="4796" w:type="dxa"/>
            <w:tcBorders>
              <w:top w:val="nil"/>
              <w:left w:val="nil"/>
              <w:bottom w:val="nil"/>
              <w:right w:val="nil"/>
            </w:tcBorders>
            <w:shd w:val="clear" w:color="auto" w:fill="auto"/>
            <w:vAlign w:val="center"/>
            <w:hideMark/>
          </w:tcPr>
          <w:p w14:paraId="3DA51829" w14:textId="040FDB16" w:rsidR="00C82507" w:rsidRPr="00FC2211" w:rsidRDefault="00C82507" w:rsidP="00C82507">
            <w:pPr>
              <w:rPr>
                <w:rFonts w:ascii="Calibri" w:hAnsi="Calibri" w:cs="Calibri"/>
                <w:color w:val="000000"/>
                <w:szCs w:val="20"/>
                <w:lang w:val="en-CA" w:eastAsia="en-CA"/>
              </w:rPr>
            </w:pPr>
            <w:r w:rsidRPr="00FC2211">
              <w:rPr>
                <w:rFonts w:ascii="Calibri" w:hAnsi="Calibri" w:cs="Calibri"/>
                <w:color w:val="000000"/>
                <w:szCs w:val="20"/>
                <w:lang w:val="en-CA" w:eastAsia="en-CA"/>
              </w:rPr>
              <w:t>Cash flows provided by financing activities:</w:t>
            </w:r>
          </w:p>
        </w:tc>
        <w:tc>
          <w:tcPr>
            <w:tcW w:w="733" w:type="dxa"/>
            <w:tcBorders>
              <w:top w:val="nil"/>
              <w:left w:val="nil"/>
              <w:bottom w:val="nil"/>
              <w:right w:val="nil"/>
            </w:tcBorders>
            <w:shd w:val="clear" w:color="auto" w:fill="auto"/>
            <w:vAlign w:val="center"/>
            <w:hideMark/>
          </w:tcPr>
          <w:p w14:paraId="019CB9BC" w14:textId="77777777" w:rsidR="00C82507" w:rsidRPr="00FC2211" w:rsidRDefault="00C82507" w:rsidP="00C82507">
            <w:pPr>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748E16CB" w14:textId="77777777" w:rsidR="00C82507" w:rsidRPr="00FC2211" w:rsidRDefault="00C82507" w:rsidP="00C82507">
            <w:pPr>
              <w:rPr>
                <w:rFonts w:ascii="Times New Roman" w:hAnsi="Times New Roman"/>
                <w:szCs w:val="20"/>
                <w:lang w:val="en-CA" w:eastAsia="en-CA"/>
              </w:rPr>
            </w:pPr>
          </w:p>
        </w:tc>
        <w:tc>
          <w:tcPr>
            <w:tcW w:w="1468" w:type="dxa"/>
            <w:tcBorders>
              <w:top w:val="nil"/>
              <w:left w:val="nil"/>
              <w:bottom w:val="nil"/>
              <w:right w:val="nil"/>
            </w:tcBorders>
            <w:shd w:val="clear" w:color="auto" w:fill="auto"/>
            <w:noWrap/>
            <w:vAlign w:val="center"/>
            <w:hideMark/>
          </w:tcPr>
          <w:p w14:paraId="0A0D5E1D" w14:textId="77777777" w:rsidR="00C82507" w:rsidRPr="00FC2211" w:rsidRDefault="00C82507" w:rsidP="00C82507">
            <w:pPr>
              <w:jc w:val="right"/>
              <w:rPr>
                <w:rFonts w:ascii="Times New Roman" w:hAnsi="Times New Roman"/>
                <w:szCs w:val="20"/>
                <w:lang w:val="en-CA" w:eastAsia="en-CA"/>
              </w:rPr>
            </w:pPr>
          </w:p>
        </w:tc>
      </w:tr>
      <w:tr w:rsidR="00C82507" w:rsidRPr="00FC2211" w14:paraId="1B92BB13" w14:textId="77777777" w:rsidTr="0035440F">
        <w:trPr>
          <w:trHeight w:val="276"/>
          <w:jc w:val="center"/>
        </w:trPr>
        <w:tc>
          <w:tcPr>
            <w:tcW w:w="4796" w:type="dxa"/>
            <w:tcBorders>
              <w:top w:val="nil"/>
              <w:left w:val="nil"/>
              <w:bottom w:val="nil"/>
              <w:right w:val="nil"/>
            </w:tcBorders>
            <w:shd w:val="clear" w:color="auto" w:fill="auto"/>
            <w:noWrap/>
            <w:vAlign w:val="center"/>
            <w:hideMark/>
          </w:tcPr>
          <w:p w14:paraId="5F2A54E5" w14:textId="77777777" w:rsidR="00C82507" w:rsidRPr="00FC2211" w:rsidRDefault="00C82507" w:rsidP="00C82507">
            <w:pPr>
              <w:ind w:firstLineChars="200" w:firstLine="400"/>
              <w:rPr>
                <w:rFonts w:ascii="Calibri" w:hAnsi="Calibri" w:cs="Calibri"/>
                <w:color w:val="000000"/>
                <w:szCs w:val="20"/>
                <w:lang w:val="en-CA" w:eastAsia="en-CA"/>
              </w:rPr>
            </w:pPr>
            <w:r w:rsidRPr="00FC2211">
              <w:rPr>
                <w:rFonts w:ascii="Calibri" w:hAnsi="Calibri" w:cs="Calibri"/>
                <w:color w:val="000000"/>
                <w:szCs w:val="20"/>
                <w:lang w:val="en-CA" w:eastAsia="en-CA"/>
              </w:rPr>
              <w:t>Proceeds from bank loan</w:t>
            </w:r>
          </w:p>
        </w:tc>
        <w:tc>
          <w:tcPr>
            <w:tcW w:w="733" w:type="dxa"/>
            <w:tcBorders>
              <w:top w:val="nil"/>
              <w:left w:val="nil"/>
              <w:bottom w:val="nil"/>
              <w:right w:val="nil"/>
            </w:tcBorders>
            <w:shd w:val="clear" w:color="auto" w:fill="auto"/>
            <w:noWrap/>
            <w:vAlign w:val="center"/>
            <w:hideMark/>
          </w:tcPr>
          <w:p w14:paraId="7607C25C" w14:textId="77777777" w:rsidR="00C82507" w:rsidRPr="00FC2211" w:rsidRDefault="00C82507" w:rsidP="00C82507">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22B83637" w14:textId="5E47663E" w:rsidR="00C82507" w:rsidRPr="00FC2211" w:rsidRDefault="00C82507" w:rsidP="00C8250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350,000 </w:t>
            </w:r>
          </w:p>
        </w:tc>
        <w:tc>
          <w:tcPr>
            <w:tcW w:w="1468" w:type="dxa"/>
            <w:tcBorders>
              <w:top w:val="nil"/>
              <w:left w:val="nil"/>
              <w:bottom w:val="nil"/>
              <w:right w:val="nil"/>
            </w:tcBorders>
            <w:shd w:val="clear" w:color="auto" w:fill="auto"/>
            <w:noWrap/>
            <w:vAlign w:val="center"/>
            <w:hideMark/>
          </w:tcPr>
          <w:p w14:paraId="100499F3" w14:textId="742A3EDF" w:rsidR="00C82507" w:rsidRPr="00FC2211" w:rsidRDefault="00C82507" w:rsidP="000860C2">
            <w:pPr>
              <w:ind w:right="219"/>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r>
      <w:tr w:rsidR="00C82507" w:rsidRPr="00FC2211" w14:paraId="03F6304D" w14:textId="77777777" w:rsidTr="0035440F">
        <w:trPr>
          <w:trHeight w:val="276"/>
          <w:jc w:val="center"/>
        </w:trPr>
        <w:tc>
          <w:tcPr>
            <w:tcW w:w="4796" w:type="dxa"/>
            <w:tcBorders>
              <w:top w:val="nil"/>
              <w:left w:val="nil"/>
              <w:bottom w:val="nil"/>
              <w:right w:val="nil"/>
            </w:tcBorders>
            <w:shd w:val="clear" w:color="auto" w:fill="auto"/>
            <w:noWrap/>
            <w:vAlign w:val="center"/>
            <w:hideMark/>
          </w:tcPr>
          <w:p w14:paraId="671F796E" w14:textId="77777777" w:rsidR="00C82507" w:rsidRPr="00FC2211" w:rsidRDefault="00C82507" w:rsidP="00C82507">
            <w:pPr>
              <w:ind w:firstLineChars="200" w:firstLine="400"/>
              <w:rPr>
                <w:rFonts w:ascii="Calibri" w:hAnsi="Calibri" w:cs="Calibri"/>
                <w:color w:val="000000"/>
                <w:szCs w:val="20"/>
                <w:lang w:val="en-CA" w:eastAsia="en-CA"/>
              </w:rPr>
            </w:pPr>
            <w:r w:rsidRPr="00FC2211">
              <w:rPr>
                <w:rFonts w:ascii="Calibri" w:hAnsi="Calibri" w:cs="Calibri"/>
                <w:color w:val="000000"/>
                <w:szCs w:val="20"/>
                <w:lang w:val="en-CA" w:eastAsia="en-CA"/>
              </w:rPr>
              <w:t>Payments for lease obligations</w:t>
            </w:r>
          </w:p>
        </w:tc>
        <w:tc>
          <w:tcPr>
            <w:tcW w:w="733" w:type="dxa"/>
            <w:tcBorders>
              <w:top w:val="nil"/>
              <w:left w:val="nil"/>
              <w:bottom w:val="nil"/>
              <w:right w:val="nil"/>
            </w:tcBorders>
            <w:shd w:val="clear" w:color="auto" w:fill="auto"/>
            <w:noWrap/>
            <w:vAlign w:val="center"/>
            <w:hideMark/>
          </w:tcPr>
          <w:p w14:paraId="3D824D46" w14:textId="77777777" w:rsidR="00C82507" w:rsidRPr="00FC2211" w:rsidRDefault="00C82507" w:rsidP="00C82507">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4ADB47E0" w14:textId="68335340" w:rsidR="00C82507" w:rsidRPr="00FC2211" w:rsidRDefault="00C82507" w:rsidP="006340EF">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814DAF" w:rsidRPr="00FC2211">
              <w:rPr>
                <w:rFonts w:ascii="Calibri" w:hAnsi="Calibri" w:cs="Calibri"/>
                <w:b/>
                <w:bCs/>
                <w:color w:val="000000"/>
                <w:szCs w:val="20"/>
                <w:lang w:val="en-CA" w:eastAsia="en-CA"/>
              </w:rPr>
              <w:t>21,000</w:t>
            </w:r>
            <w:r w:rsidRPr="00FC2211">
              <w:rPr>
                <w:rFonts w:ascii="Calibri" w:hAnsi="Calibri" w:cs="Calibri"/>
                <w:b/>
                <w:bCs/>
                <w:color w:val="000000"/>
                <w:szCs w:val="20"/>
                <w:lang w:val="en-CA" w:eastAsia="en-CA"/>
              </w:rPr>
              <w:t>)</w:t>
            </w:r>
          </w:p>
        </w:tc>
        <w:tc>
          <w:tcPr>
            <w:tcW w:w="1468" w:type="dxa"/>
            <w:tcBorders>
              <w:top w:val="nil"/>
              <w:left w:val="nil"/>
              <w:bottom w:val="nil"/>
              <w:right w:val="nil"/>
            </w:tcBorders>
            <w:shd w:val="clear" w:color="auto" w:fill="auto"/>
            <w:noWrap/>
            <w:vAlign w:val="center"/>
            <w:hideMark/>
          </w:tcPr>
          <w:p w14:paraId="59614739" w14:textId="2876104C" w:rsidR="00C82507" w:rsidRPr="00FC2211" w:rsidRDefault="00C82507" w:rsidP="006340EF">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BB0240" w:rsidRPr="00FC2211">
              <w:rPr>
                <w:rFonts w:ascii="Calibri" w:hAnsi="Calibri" w:cs="Calibri"/>
                <w:color w:val="000000"/>
                <w:szCs w:val="20"/>
                <w:lang w:val="en-CA" w:eastAsia="en-CA"/>
              </w:rPr>
              <w:t>20,580</w:t>
            </w:r>
            <w:r w:rsidRPr="00FC2211">
              <w:rPr>
                <w:rFonts w:ascii="Calibri" w:hAnsi="Calibri" w:cs="Calibri"/>
                <w:color w:val="000000"/>
                <w:szCs w:val="20"/>
                <w:lang w:val="en-CA" w:eastAsia="en-CA"/>
              </w:rPr>
              <w:t>)</w:t>
            </w:r>
          </w:p>
        </w:tc>
      </w:tr>
      <w:tr w:rsidR="00C82507" w:rsidRPr="00FC2211" w14:paraId="045766AF" w14:textId="77777777" w:rsidTr="0035440F">
        <w:trPr>
          <w:trHeight w:val="288"/>
          <w:jc w:val="center"/>
        </w:trPr>
        <w:tc>
          <w:tcPr>
            <w:tcW w:w="4796" w:type="dxa"/>
            <w:tcBorders>
              <w:top w:val="nil"/>
              <w:left w:val="nil"/>
              <w:bottom w:val="nil"/>
              <w:right w:val="nil"/>
            </w:tcBorders>
            <w:shd w:val="clear" w:color="auto" w:fill="auto"/>
            <w:noWrap/>
            <w:vAlign w:val="center"/>
            <w:hideMark/>
          </w:tcPr>
          <w:p w14:paraId="16A79E3E" w14:textId="77777777" w:rsidR="00C82507" w:rsidRPr="00FC2211" w:rsidRDefault="00C82507" w:rsidP="00C82507">
            <w:pPr>
              <w:ind w:firstLineChars="200" w:firstLine="400"/>
              <w:rPr>
                <w:rFonts w:ascii="Calibri" w:hAnsi="Calibri" w:cs="Calibri"/>
                <w:color w:val="000000"/>
                <w:szCs w:val="20"/>
                <w:lang w:val="en-CA" w:eastAsia="en-CA"/>
              </w:rPr>
            </w:pPr>
            <w:r w:rsidRPr="00FC2211">
              <w:rPr>
                <w:rFonts w:ascii="Calibri" w:hAnsi="Calibri" w:cs="Calibri"/>
                <w:color w:val="000000"/>
                <w:szCs w:val="20"/>
                <w:lang w:val="en-CA" w:eastAsia="en-CA"/>
              </w:rPr>
              <w:t>Interest paid</w:t>
            </w:r>
          </w:p>
        </w:tc>
        <w:tc>
          <w:tcPr>
            <w:tcW w:w="733" w:type="dxa"/>
            <w:tcBorders>
              <w:top w:val="nil"/>
              <w:left w:val="nil"/>
              <w:bottom w:val="nil"/>
              <w:right w:val="nil"/>
            </w:tcBorders>
            <w:shd w:val="clear" w:color="auto" w:fill="auto"/>
            <w:noWrap/>
            <w:vAlign w:val="center"/>
            <w:hideMark/>
          </w:tcPr>
          <w:p w14:paraId="376E60B4" w14:textId="77777777" w:rsidR="00C82507" w:rsidRPr="00FC2211" w:rsidRDefault="00C82507" w:rsidP="00C82507">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2080AB5D" w14:textId="5E5E3330" w:rsidR="00C82507" w:rsidRPr="00FC2211" w:rsidRDefault="00C82507" w:rsidP="006340EF">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814DAF" w:rsidRPr="00FC2211">
              <w:rPr>
                <w:rFonts w:ascii="Calibri" w:hAnsi="Calibri" w:cs="Calibri"/>
                <w:b/>
                <w:bCs/>
                <w:color w:val="000000"/>
                <w:szCs w:val="20"/>
                <w:lang w:val="en-CA" w:eastAsia="en-CA"/>
              </w:rPr>
              <w:t>12,526</w:t>
            </w:r>
            <w:r w:rsidRPr="00FC2211">
              <w:rPr>
                <w:rFonts w:ascii="Calibri" w:hAnsi="Calibri" w:cs="Calibri"/>
                <w:b/>
                <w:bCs/>
                <w:color w:val="000000"/>
                <w:szCs w:val="20"/>
                <w:lang w:val="en-CA" w:eastAsia="en-CA"/>
              </w:rPr>
              <w:t>)</w:t>
            </w:r>
          </w:p>
        </w:tc>
        <w:tc>
          <w:tcPr>
            <w:tcW w:w="1468" w:type="dxa"/>
            <w:tcBorders>
              <w:top w:val="nil"/>
              <w:left w:val="nil"/>
              <w:bottom w:val="nil"/>
              <w:right w:val="nil"/>
            </w:tcBorders>
            <w:shd w:val="clear" w:color="auto" w:fill="auto"/>
            <w:noWrap/>
            <w:vAlign w:val="center"/>
            <w:hideMark/>
          </w:tcPr>
          <w:p w14:paraId="033ADDB0" w14:textId="1B4444C5" w:rsidR="00C82507" w:rsidRPr="00FC2211" w:rsidRDefault="00C82507" w:rsidP="000860C2">
            <w:pPr>
              <w:ind w:right="219"/>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r>
      <w:tr w:rsidR="00814DAF" w:rsidRPr="00FC2211" w14:paraId="0D1EAE93" w14:textId="77777777" w:rsidTr="0035440F">
        <w:trPr>
          <w:trHeight w:val="288"/>
          <w:jc w:val="center"/>
        </w:trPr>
        <w:tc>
          <w:tcPr>
            <w:tcW w:w="4796" w:type="dxa"/>
            <w:tcBorders>
              <w:top w:val="nil"/>
              <w:left w:val="nil"/>
              <w:bottom w:val="nil"/>
              <w:right w:val="nil"/>
            </w:tcBorders>
            <w:shd w:val="clear" w:color="auto" w:fill="auto"/>
            <w:noWrap/>
            <w:vAlign w:val="center"/>
          </w:tcPr>
          <w:p w14:paraId="032F2B82" w14:textId="36E146BA" w:rsidR="00814DAF" w:rsidRPr="00FC2211" w:rsidRDefault="0096261D" w:rsidP="00C82507">
            <w:pPr>
              <w:ind w:firstLineChars="200" w:firstLine="400"/>
              <w:rPr>
                <w:rFonts w:ascii="Calibri" w:hAnsi="Calibri" w:cs="Calibri"/>
                <w:color w:val="000000"/>
                <w:szCs w:val="20"/>
                <w:lang w:val="en-CA" w:eastAsia="en-CA"/>
              </w:rPr>
            </w:pPr>
            <w:r w:rsidRPr="00FC2211">
              <w:rPr>
                <w:rFonts w:ascii="Calibri" w:hAnsi="Calibri" w:cs="Calibri"/>
                <w:color w:val="000000"/>
                <w:szCs w:val="20"/>
                <w:lang w:val="en-CA" w:eastAsia="en-CA"/>
              </w:rPr>
              <w:t>Proceeds from loan</w:t>
            </w:r>
          </w:p>
        </w:tc>
        <w:tc>
          <w:tcPr>
            <w:tcW w:w="733" w:type="dxa"/>
            <w:tcBorders>
              <w:top w:val="nil"/>
              <w:left w:val="nil"/>
              <w:bottom w:val="nil"/>
              <w:right w:val="nil"/>
            </w:tcBorders>
            <w:shd w:val="clear" w:color="auto" w:fill="auto"/>
            <w:noWrap/>
            <w:vAlign w:val="center"/>
          </w:tcPr>
          <w:p w14:paraId="43A4D2E9" w14:textId="77777777" w:rsidR="00814DAF" w:rsidRPr="00FC2211" w:rsidRDefault="00814DAF" w:rsidP="00C82507">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tcPr>
          <w:p w14:paraId="253C0B14" w14:textId="44F893EB" w:rsidR="00814DAF" w:rsidRPr="00FC2211" w:rsidRDefault="00190AD7" w:rsidP="00190AD7">
            <w:pPr>
              <w:ind w:right="172"/>
              <w:jc w:val="right"/>
              <w:rPr>
                <w:rFonts w:ascii="Calibri" w:hAnsi="Calibri" w:cs="Calibri"/>
                <w:b/>
                <w:bCs/>
                <w:color w:val="000000"/>
                <w:szCs w:val="20"/>
                <w:lang w:val="en-CA" w:eastAsia="en-CA"/>
              </w:rPr>
            </w:pPr>
            <w:r w:rsidRPr="00FC2211">
              <w:rPr>
                <w:rFonts w:ascii="Calibri" w:hAnsi="Calibri" w:cs="Calibri"/>
                <w:color w:val="000000"/>
                <w:szCs w:val="20"/>
                <w:lang w:val="en-CA" w:eastAsia="en-CA"/>
              </w:rPr>
              <w:t xml:space="preserve">            -   </w:t>
            </w:r>
          </w:p>
        </w:tc>
        <w:tc>
          <w:tcPr>
            <w:tcW w:w="1468" w:type="dxa"/>
            <w:tcBorders>
              <w:top w:val="nil"/>
              <w:left w:val="nil"/>
              <w:bottom w:val="nil"/>
              <w:right w:val="nil"/>
            </w:tcBorders>
            <w:shd w:val="clear" w:color="auto" w:fill="auto"/>
            <w:noWrap/>
            <w:vAlign w:val="center"/>
          </w:tcPr>
          <w:p w14:paraId="0B81C992" w14:textId="38D1D6A0" w:rsidR="00814DAF" w:rsidRPr="00FC2211" w:rsidRDefault="00202AB7" w:rsidP="00202AB7">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1,000,000</w:t>
            </w:r>
          </w:p>
        </w:tc>
      </w:tr>
      <w:tr w:rsidR="00814DAF" w:rsidRPr="00FC2211" w14:paraId="334E9C07" w14:textId="77777777" w:rsidTr="0035440F">
        <w:trPr>
          <w:trHeight w:val="288"/>
          <w:jc w:val="center"/>
        </w:trPr>
        <w:tc>
          <w:tcPr>
            <w:tcW w:w="4796" w:type="dxa"/>
            <w:tcBorders>
              <w:top w:val="nil"/>
              <w:left w:val="nil"/>
              <w:bottom w:val="nil"/>
              <w:right w:val="nil"/>
            </w:tcBorders>
            <w:shd w:val="clear" w:color="auto" w:fill="auto"/>
            <w:noWrap/>
            <w:vAlign w:val="center"/>
          </w:tcPr>
          <w:p w14:paraId="2BF148B3" w14:textId="00CED283" w:rsidR="00814DAF" w:rsidRPr="00FC2211" w:rsidRDefault="0096261D" w:rsidP="00C82507">
            <w:pPr>
              <w:ind w:firstLineChars="200" w:firstLine="400"/>
              <w:rPr>
                <w:rFonts w:ascii="Calibri" w:hAnsi="Calibri" w:cs="Calibri"/>
                <w:color w:val="000000"/>
                <w:szCs w:val="20"/>
                <w:lang w:val="en-CA" w:eastAsia="en-CA"/>
              </w:rPr>
            </w:pPr>
            <w:r w:rsidRPr="00FC2211">
              <w:rPr>
                <w:rFonts w:ascii="Calibri" w:hAnsi="Calibri" w:cs="Calibri"/>
                <w:color w:val="000000"/>
                <w:szCs w:val="20"/>
                <w:lang w:val="en-CA" w:eastAsia="en-CA"/>
              </w:rPr>
              <w:t xml:space="preserve">Proceeds from </w:t>
            </w:r>
            <w:r w:rsidR="00190AD7" w:rsidRPr="00FC2211">
              <w:rPr>
                <w:rFonts w:ascii="Calibri" w:hAnsi="Calibri" w:cs="Calibri"/>
                <w:color w:val="000000"/>
                <w:szCs w:val="20"/>
                <w:lang w:val="en-CA" w:eastAsia="en-CA"/>
              </w:rPr>
              <w:t xml:space="preserve">the </w:t>
            </w:r>
            <w:r w:rsidRPr="00FC2211">
              <w:rPr>
                <w:rFonts w:ascii="Calibri" w:hAnsi="Calibri" w:cs="Calibri"/>
                <w:color w:val="000000"/>
                <w:szCs w:val="20"/>
                <w:lang w:val="en-CA" w:eastAsia="en-CA"/>
              </w:rPr>
              <w:t>issuance of shares</w:t>
            </w:r>
          </w:p>
        </w:tc>
        <w:tc>
          <w:tcPr>
            <w:tcW w:w="733" w:type="dxa"/>
            <w:tcBorders>
              <w:top w:val="nil"/>
              <w:left w:val="nil"/>
              <w:bottom w:val="nil"/>
              <w:right w:val="nil"/>
            </w:tcBorders>
            <w:shd w:val="clear" w:color="auto" w:fill="auto"/>
            <w:noWrap/>
            <w:vAlign w:val="center"/>
          </w:tcPr>
          <w:p w14:paraId="627ED1F1" w14:textId="77777777" w:rsidR="00814DAF" w:rsidRPr="00FC2211" w:rsidRDefault="00814DAF" w:rsidP="00C82507">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tcPr>
          <w:p w14:paraId="3648FF5D" w14:textId="238E6966" w:rsidR="00814DAF" w:rsidRPr="00FC2211" w:rsidRDefault="00190AD7" w:rsidP="00190AD7">
            <w:pPr>
              <w:ind w:right="172"/>
              <w:jc w:val="right"/>
              <w:rPr>
                <w:rFonts w:ascii="Calibri" w:hAnsi="Calibri" w:cs="Calibri"/>
                <w:b/>
                <w:bCs/>
                <w:color w:val="000000"/>
                <w:szCs w:val="20"/>
                <w:lang w:val="en-CA" w:eastAsia="en-CA"/>
              </w:rPr>
            </w:pPr>
            <w:r w:rsidRPr="00FC2211">
              <w:rPr>
                <w:rFonts w:ascii="Calibri" w:hAnsi="Calibri" w:cs="Calibri"/>
                <w:color w:val="000000"/>
                <w:szCs w:val="20"/>
                <w:lang w:val="en-CA" w:eastAsia="en-CA"/>
              </w:rPr>
              <w:t xml:space="preserve">            -   </w:t>
            </w:r>
          </w:p>
        </w:tc>
        <w:tc>
          <w:tcPr>
            <w:tcW w:w="1468" w:type="dxa"/>
            <w:tcBorders>
              <w:top w:val="nil"/>
              <w:left w:val="nil"/>
              <w:bottom w:val="nil"/>
              <w:right w:val="nil"/>
            </w:tcBorders>
            <w:shd w:val="clear" w:color="auto" w:fill="auto"/>
            <w:noWrap/>
            <w:vAlign w:val="center"/>
          </w:tcPr>
          <w:p w14:paraId="29797372" w14:textId="3025FFF6" w:rsidR="00814DAF" w:rsidRPr="00FC2211" w:rsidRDefault="000E416C" w:rsidP="00202AB7">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1,743,000</w:t>
            </w:r>
          </w:p>
        </w:tc>
      </w:tr>
      <w:tr w:rsidR="0096261D" w:rsidRPr="00FC2211" w14:paraId="378414A6" w14:textId="77777777" w:rsidTr="0035440F">
        <w:trPr>
          <w:trHeight w:val="288"/>
          <w:jc w:val="center"/>
        </w:trPr>
        <w:tc>
          <w:tcPr>
            <w:tcW w:w="4796" w:type="dxa"/>
            <w:tcBorders>
              <w:top w:val="nil"/>
              <w:left w:val="nil"/>
              <w:bottom w:val="nil"/>
              <w:right w:val="nil"/>
            </w:tcBorders>
            <w:shd w:val="clear" w:color="auto" w:fill="auto"/>
            <w:noWrap/>
            <w:vAlign w:val="center"/>
          </w:tcPr>
          <w:p w14:paraId="0230EF3E" w14:textId="3F936347" w:rsidR="0096261D" w:rsidRPr="00FC2211" w:rsidRDefault="00F63BD2" w:rsidP="00C82507">
            <w:pPr>
              <w:ind w:firstLineChars="200" w:firstLine="400"/>
              <w:rPr>
                <w:rFonts w:ascii="Calibri" w:hAnsi="Calibri" w:cs="Calibri"/>
                <w:color w:val="000000"/>
                <w:szCs w:val="20"/>
                <w:lang w:val="en-CA" w:eastAsia="en-CA"/>
              </w:rPr>
            </w:pPr>
            <w:r w:rsidRPr="00FC2211">
              <w:rPr>
                <w:rFonts w:ascii="Calibri" w:hAnsi="Calibri" w:cs="Calibri"/>
                <w:color w:val="000000"/>
                <w:szCs w:val="20"/>
                <w:lang w:val="en-CA" w:eastAsia="en-CA"/>
              </w:rPr>
              <w:t>Payments for share issuance cost</w:t>
            </w:r>
          </w:p>
        </w:tc>
        <w:tc>
          <w:tcPr>
            <w:tcW w:w="733" w:type="dxa"/>
            <w:tcBorders>
              <w:top w:val="nil"/>
              <w:left w:val="nil"/>
              <w:bottom w:val="nil"/>
              <w:right w:val="nil"/>
            </w:tcBorders>
            <w:shd w:val="clear" w:color="auto" w:fill="auto"/>
            <w:noWrap/>
            <w:vAlign w:val="center"/>
          </w:tcPr>
          <w:p w14:paraId="2A56C68C" w14:textId="77777777" w:rsidR="0096261D" w:rsidRPr="00FC2211" w:rsidRDefault="0096261D" w:rsidP="00C82507">
            <w:pPr>
              <w:ind w:firstLineChars="200" w:firstLine="400"/>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tcPr>
          <w:p w14:paraId="5E0BC0B7" w14:textId="43F54958" w:rsidR="0096261D" w:rsidRPr="00FC2211" w:rsidRDefault="00190AD7" w:rsidP="00190AD7">
            <w:pPr>
              <w:ind w:right="172"/>
              <w:jc w:val="right"/>
              <w:rPr>
                <w:rFonts w:ascii="Calibri" w:hAnsi="Calibri" w:cs="Calibri"/>
                <w:b/>
                <w:bCs/>
                <w:color w:val="000000"/>
                <w:szCs w:val="20"/>
                <w:lang w:val="en-CA" w:eastAsia="en-CA"/>
              </w:rPr>
            </w:pPr>
            <w:r w:rsidRPr="00FC2211">
              <w:rPr>
                <w:rFonts w:ascii="Calibri" w:hAnsi="Calibri" w:cs="Calibri"/>
                <w:color w:val="000000"/>
                <w:szCs w:val="20"/>
                <w:lang w:val="en-CA" w:eastAsia="en-CA"/>
              </w:rPr>
              <w:t xml:space="preserve">            -   </w:t>
            </w:r>
          </w:p>
        </w:tc>
        <w:tc>
          <w:tcPr>
            <w:tcW w:w="1468" w:type="dxa"/>
            <w:tcBorders>
              <w:top w:val="nil"/>
              <w:left w:val="nil"/>
              <w:bottom w:val="nil"/>
              <w:right w:val="nil"/>
            </w:tcBorders>
            <w:shd w:val="clear" w:color="auto" w:fill="auto"/>
            <w:noWrap/>
            <w:vAlign w:val="center"/>
          </w:tcPr>
          <w:p w14:paraId="03ED0922" w14:textId="08AD61A1" w:rsidR="0096261D" w:rsidRPr="00FC2211" w:rsidRDefault="000E416C" w:rsidP="000E416C">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(407,381)</w:t>
            </w:r>
          </w:p>
        </w:tc>
      </w:tr>
      <w:tr w:rsidR="00C82507" w:rsidRPr="00FC2211" w14:paraId="34C50AB7" w14:textId="77777777" w:rsidTr="0035440F">
        <w:trPr>
          <w:trHeight w:val="288"/>
          <w:jc w:val="center"/>
        </w:trPr>
        <w:tc>
          <w:tcPr>
            <w:tcW w:w="4796" w:type="dxa"/>
            <w:tcBorders>
              <w:top w:val="single" w:sz="8" w:space="0" w:color="auto"/>
              <w:left w:val="nil"/>
              <w:bottom w:val="single" w:sz="12" w:space="0" w:color="auto"/>
              <w:right w:val="nil"/>
            </w:tcBorders>
            <w:shd w:val="clear" w:color="auto" w:fill="auto"/>
            <w:vAlign w:val="center"/>
            <w:hideMark/>
          </w:tcPr>
          <w:p w14:paraId="280AEE77" w14:textId="77777777" w:rsidR="00C82507" w:rsidRPr="00FC2211" w:rsidRDefault="00C82507" w:rsidP="00C82507">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733" w:type="dxa"/>
            <w:tcBorders>
              <w:top w:val="single" w:sz="8" w:space="0" w:color="auto"/>
              <w:left w:val="nil"/>
              <w:bottom w:val="single" w:sz="12" w:space="0" w:color="auto"/>
              <w:right w:val="nil"/>
            </w:tcBorders>
            <w:shd w:val="clear" w:color="auto" w:fill="auto"/>
            <w:vAlign w:val="center"/>
            <w:hideMark/>
          </w:tcPr>
          <w:p w14:paraId="466B201D" w14:textId="77777777" w:rsidR="00C82507" w:rsidRPr="00FC2211" w:rsidRDefault="00C82507" w:rsidP="00C82507">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701" w:type="dxa"/>
            <w:tcBorders>
              <w:top w:val="single" w:sz="8" w:space="0" w:color="auto"/>
              <w:left w:val="nil"/>
              <w:bottom w:val="single" w:sz="12" w:space="0" w:color="auto"/>
              <w:right w:val="nil"/>
            </w:tcBorders>
            <w:shd w:val="clear" w:color="auto" w:fill="auto"/>
            <w:noWrap/>
            <w:vAlign w:val="center"/>
            <w:hideMark/>
          </w:tcPr>
          <w:p w14:paraId="16BBE1C6" w14:textId="11DD1DB4" w:rsidR="00C82507" w:rsidRPr="00FC2211" w:rsidRDefault="00C82507" w:rsidP="00C8250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0E416C" w:rsidRPr="00FC2211">
              <w:rPr>
                <w:rFonts w:ascii="Calibri" w:hAnsi="Calibri" w:cs="Calibri"/>
                <w:b/>
                <w:bCs/>
                <w:color w:val="000000"/>
                <w:szCs w:val="20"/>
                <w:lang w:val="en-CA" w:eastAsia="en-CA"/>
              </w:rPr>
              <w:t>316,474</w:t>
            </w:r>
            <w:r w:rsidRPr="00FC2211">
              <w:rPr>
                <w:rFonts w:ascii="Calibri" w:hAnsi="Calibri" w:cs="Calibri"/>
                <w:b/>
                <w:bCs/>
                <w:color w:val="000000"/>
                <w:szCs w:val="20"/>
                <w:lang w:val="en-CA" w:eastAsia="en-CA"/>
              </w:rPr>
              <w:t xml:space="preserve"> </w:t>
            </w:r>
          </w:p>
        </w:tc>
        <w:tc>
          <w:tcPr>
            <w:tcW w:w="1468" w:type="dxa"/>
            <w:tcBorders>
              <w:top w:val="single" w:sz="8" w:space="0" w:color="auto"/>
              <w:left w:val="nil"/>
              <w:bottom w:val="single" w:sz="12" w:space="0" w:color="auto"/>
              <w:right w:val="nil"/>
            </w:tcBorders>
            <w:shd w:val="clear" w:color="auto" w:fill="auto"/>
            <w:noWrap/>
            <w:vAlign w:val="center"/>
            <w:hideMark/>
          </w:tcPr>
          <w:p w14:paraId="40D13402" w14:textId="259B18BC" w:rsidR="00C82507" w:rsidRPr="00FC2211" w:rsidRDefault="000E416C" w:rsidP="00331A4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2,315,039</w:t>
            </w:r>
          </w:p>
        </w:tc>
      </w:tr>
      <w:tr w:rsidR="00C82507" w:rsidRPr="00FC2211" w14:paraId="7BE3BF0D" w14:textId="77777777" w:rsidTr="0035440F">
        <w:trPr>
          <w:trHeight w:val="288"/>
          <w:jc w:val="center"/>
        </w:trPr>
        <w:tc>
          <w:tcPr>
            <w:tcW w:w="4796" w:type="dxa"/>
            <w:tcBorders>
              <w:top w:val="nil"/>
              <w:left w:val="nil"/>
              <w:bottom w:val="nil"/>
              <w:right w:val="nil"/>
            </w:tcBorders>
            <w:shd w:val="clear" w:color="auto" w:fill="auto"/>
            <w:vAlign w:val="center"/>
            <w:hideMark/>
          </w:tcPr>
          <w:p w14:paraId="0638EE18" w14:textId="77777777" w:rsidR="00C82507" w:rsidRPr="00FC2211" w:rsidRDefault="00C82507" w:rsidP="00C82507">
            <w:pPr>
              <w:rPr>
                <w:rFonts w:ascii="Calibri" w:hAnsi="Calibri" w:cs="Calibri"/>
                <w:color w:val="000000"/>
                <w:szCs w:val="20"/>
                <w:lang w:val="en-CA" w:eastAsia="en-CA"/>
              </w:rPr>
            </w:pPr>
            <w:r w:rsidRPr="00FC2211">
              <w:rPr>
                <w:rFonts w:ascii="Calibri" w:hAnsi="Calibri" w:cs="Calibri"/>
                <w:color w:val="000000"/>
                <w:szCs w:val="20"/>
                <w:lang w:val="en-CA" w:eastAsia="en-CA"/>
              </w:rPr>
              <w:t>Change in cash</w:t>
            </w:r>
          </w:p>
        </w:tc>
        <w:tc>
          <w:tcPr>
            <w:tcW w:w="733" w:type="dxa"/>
            <w:tcBorders>
              <w:top w:val="nil"/>
              <w:left w:val="nil"/>
              <w:bottom w:val="nil"/>
              <w:right w:val="nil"/>
            </w:tcBorders>
            <w:shd w:val="clear" w:color="auto" w:fill="auto"/>
            <w:vAlign w:val="center"/>
            <w:hideMark/>
          </w:tcPr>
          <w:p w14:paraId="5112B981" w14:textId="77777777" w:rsidR="00C82507" w:rsidRPr="00FC2211" w:rsidRDefault="00C82507" w:rsidP="00C82507">
            <w:pPr>
              <w:rPr>
                <w:rFonts w:ascii="Calibri" w:hAnsi="Calibri" w:cs="Calibri"/>
                <w:color w:val="000000"/>
                <w:szCs w:val="20"/>
                <w:lang w:val="en-CA" w:eastAsia="en-CA"/>
              </w:rPr>
            </w:pPr>
          </w:p>
        </w:tc>
        <w:tc>
          <w:tcPr>
            <w:tcW w:w="1701" w:type="dxa"/>
            <w:tcBorders>
              <w:top w:val="nil"/>
              <w:left w:val="nil"/>
              <w:bottom w:val="nil"/>
              <w:right w:val="nil"/>
            </w:tcBorders>
            <w:shd w:val="clear" w:color="auto" w:fill="auto"/>
            <w:noWrap/>
            <w:vAlign w:val="center"/>
            <w:hideMark/>
          </w:tcPr>
          <w:p w14:paraId="566358D6" w14:textId="2B24309B" w:rsidR="00C82507" w:rsidRPr="00FC2211" w:rsidRDefault="00C82507" w:rsidP="006340EF">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0E416C" w:rsidRPr="00FC2211">
              <w:rPr>
                <w:rFonts w:ascii="Calibri" w:hAnsi="Calibri" w:cs="Calibri"/>
                <w:b/>
                <w:bCs/>
                <w:color w:val="000000"/>
                <w:szCs w:val="20"/>
                <w:lang w:val="en-CA" w:eastAsia="en-CA"/>
              </w:rPr>
              <w:t>347,695</w:t>
            </w:r>
            <w:r w:rsidRPr="00FC2211">
              <w:rPr>
                <w:rFonts w:ascii="Calibri" w:hAnsi="Calibri" w:cs="Calibri"/>
                <w:b/>
                <w:bCs/>
                <w:color w:val="000000"/>
                <w:szCs w:val="20"/>
                <w:lang w:val="en-CA" w:eastAsia="en-CA"/>
              </w:rPr>
              <w:t>)</w:t>
            </w:r>
          </w:p>
        </w:tc>
        <w:tc>
          <w:tcPr>
            <w:tcW w:w="1468" w:type="dxa"/>
            <w:tcBorders>
              <w:top w:val="nil"/>
              <w:left w:val="nil"/>
              <w:bottom w:val="nil"/>
              <w:right w:val="nil"/>
            </w:tcBorders>
            <w:shd w:val="clear" w:color="auto" w:fill="auto"/>
            <w:noWrap/>
            <w:vAlign w:val="center"/>
            <w:hideMark/>
          </w:tcPr>
          <w:p w14:paraId="3C53F4D1" w14:textId="7377B817" w:rsidR="00C82507" w:rsidRPr="00FC2211" w:rsidRDefault="00C82507" w:rsidP="00331A4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331A4E" w:rsidRPr="00FC2211">
              <w:rPr>
                <w:rFonts w:ascii="Calibri" w:hAnsi="Calibri" w:cs="Calibri"/>
                <w:color w:val="000000"/>
                <w:szCs w:val="20"/>
                <w:lang w:val="en-CA" w:eastAsia="en-CA"/>
              </w:rPr>
              <w:t>639,969</w:t>
            </w:r>
          </w:p>
        </w:tc>
      </w:tr>
      <w:tr w:rsidR="00C82507" w:rsidRPr="00FC2211" w14:paraId="378DAF6A" w14:textId="77777777" w:rsidTr="0035440F">
        <w:trPr>
          <w:trHeight w:val="288"/>
          <w:jc w:val="center"/>
        </w:trPr>
        <w:tc>
          <w:tcPr>
            <w:tcW w:w="4796" w:type="dxa"/>
            <w:tcBorders>
              <w:top w:val="nil"/>
              <w:left w:val="nil"/>
              <w:bottom w:val="single" w:sz="8" w:space="0" w:color="auto"/>
              <w:right w:val="nil"/>
            </w:tcBorders>
            <w:shd w:val="clear" w:color="auto" w:fill="auto"/>
            <w:vAlign w:val="center"/>
            <w:hideMark/>
          </w:tcPr>
          <w:p w14:paraId="6B2560B6" w14:textId="77777777" w:rsidR="00C82507" w:rsidRPr="00FC2211" w:rsidRDefault="00C82507" w:rsidP="00C82507">
            <w:pPr>
              <w:rPr>
                <w:rFonts w:ascii="Calibri" w:hAnsi="Calibri" w:cs="Calibri"/>
                <w:color w:val="000000"/>
                <w:szCs w:val="20"/>
                <w:lang w:val="en-CA" w:eastAsia="en-CA"/>
              </w:rPr>
            </w:pPr>
            <w:r w:rsidRPr="00FC2211">
              <w:rPr>
                <w:rFonts w:ascii="Calibri" w:hAnsi="Calibri" w:cs="Calibri"/>
                <w:color w:val="000000"/>
                <w:szCs w:val="20"/>
                <w:lang w:val="en-CA" w:eastAsia="en-CA"/>
              </w:rPr>
              <w:t>Cash, beginning of period</w:t>
            </w:r>
          </w:p>
        </w:tc>
        <w:tc>
          <w:tcPr>
            <w:tcW w:w="733" w:type="dxa"/>
            <w:tcBorders>
              <w:top w:val="nil"/>
              <w:left w:val="nil"/>
              <w:bottom w:val="single" w:sz="8" w:space="0" w:color="auto"/>
              <w:right w:val="nil"/>
            </w:tcBorders>
            <w:shd w:val="clear" w:color="auto" w:fill="auto"/>
            <w:vAlign w:val="center"/>
            <w:hideMark/>
          </w:tcPr>
          <w:p w14:paraId="13FC2439" w14:textId="77777777" w:rsidR="00C82507" w:rsidRPr="00FC2211" w:rsidRDefault="00C82507" w:rsidP="00C82507">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701" w:type="dxa"/>
            <w:tcBorders>
              <w:top w:val="nil"/>
              <w:left w:val="nil"/>
              <w:bottom w:val="single" w:sz="8" w:space="0" w:color="auto"/>
              <w:right w:val="nil"/>
            </w:tcBorders>
            <w:shd w:val="clear" w:color="auto" w:fill="auto"/>
            <w:noWrap/>
            <w:vAlign w:val="center"/>
            <w:hideMark/>
          </w:tcPr>
          <w:p w14:paraId="4B066D28" w14:textId="6FE9784D" w:rsidR="00C82507" w:rsidRPr="00FC2211" w:rsidRDefault="00C82507" w:rsidP="00C8250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362,510 </w:t>
            </w:r>
          </w:p>
        </w:tc>
        <w:tc>
          <w:tcPr>
            <w:tcW w:w="1468" w:type="dxa"/>
            <w:tcBorders>
              <w:top w:val="nil"/>
              <w:left w:val="nil"/>
              <w:bottom w:val="single" w:sz="8" w:space="0" w:color="auto"/>
              <w:right w:val="nil"/>
            </w:tcBorders>
            <w:shd w:val="clear" w:color="auto" w:fill="auto"/>
            <w:noWrap/>
            <w:vAlign w:val="center"/>
            <w:hideMark/>
          </w:tcPr>
          <w:p w14:paraId="50967830" w14:textId="70AF1364" w:rsidR="00C82507" w:rsidRPr="00FC2211" w:rsidRDefault="00C82507" w:rsidP="00C82507">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1,706,048 </w:t>
            </w:r>
          </w:p>
        </w:tc>
      </w:tr>
      <w:tr w:rsidR="00C82507" w:rsidRPr="00FC2211" w14:paraId="215CAF95" w14:textId="77777777" w:rsidTr="0035440F">
        <w:trPr>
          <w:trHeight w:val="288"/>
          <w:jc w:val="center"/>
        </w:trPr>
        <w:tc>
          <w:tcPr>
            <w:tcW w:w="4796" w:type="dxa"/>
            <w:tcBorders>
              <w:top w:val="nil"/>
              <w:left w:val="nil"/>
              <w:bottom w:val="single" w:sz="8" w:space="0" w:color="auto"/>
              <w:right w:val="nil"/>
            </w:tcBorders>
            <w:shd w:val="clear" w:color="auto" w:fill="auto"/>
            <w:vAlign w:val="center"/>
            <w:hideMark/>
          </w:tcPr>
          <w:p w14:paraId="518F5783" w14:textId="77777777" w:rsidR="00C82507" w:rsidRPr="00FC2211" w:rsidRDefault="00C82507" w:rsidP="00C82507">
            <w:pPr>
              <w:rPr>
                <w:rFonts w:ascii="Calibri" w:hAnsi="Calibri" w:cs="Calibri"/>
                <w:color w:val="000000"/>
                <w:szCs w:val="20"/>
                <w:lang w:val="en-CA" w:eastAsia="en-CA"/>
              </w:rPr>
            </w:pPr>
            <w:r w:rsidRPr="00FC2211">
              <w:rPr>
                <w:rFonts w:ascii="Calibri" w:hAnsi="Calibri" w:cs="Calibri"/>
                <w:color w:val="000000"/>
                <w:szCs w:val="20"/>
                <w:lang w:val="en-CA" w:eastAsia="en-CA"/>
              </w:rPr>
              <w:t>Cash, end of period</w:t>
            </w:r>
          </w:p>
        </w:tc>
        <w:tc>
          <w:tcPr>
            <w:tcW w:w="733" w:type="dxa"/>
            <w:tcBorders>
              <w:top w:val="nil"/>
              <w:left w:val="nil"/>
              <w:bottom w:val="single" w:sz="8" w:space="0" w:color="auto"/>
              <w:right w:val="nil"/>
            </w:tcBorders>
            <w:shd w:val="clear" w:color="auto" w:fill="auto"/>
            <w:vAlign w:val="center"/>
            <w:hideMark/>
          </w:tcPr>
          <w:p w14:paraId="031D2CE9" w14:textId="77777777" w:rsidR="00C82507" w:rsidRPr="00FC2211" w:rsidRDefault="00C82507" w:rsidP="00C82507">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701" w:type="dxa"/>
            <w:tcBorders>
              <w:top w:val="nil"/>
              <w:left w:val="nil"/>
              <w:bottom w:val="single" w:sz="8" w:space="0" w:color="auto"/>
              <w:right w:val="nil"/>
            </w:tcBorders>
            <w:shd w:val="clear" w:color="auto" w:fill="auto"/>
            <w:noWrap/>
            <w:vAlign w:val="center"/>
            <w:hideMark/>
          </w:tcPr>
          <w:p w14:paraId="1150A4D7" w14:textId="7F2BF433" w:rsidR="00C82507" w:rsidRPr="00FC2211" w:rsidRDefault="00C82507" w:rsidP="00C8250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331A4E" w:rsidRPr="00FC2211">
              <w:rPr>
                <w:rFonts w:ascii="Calibri" w:hAnsi="Calibri" w:cs="Calibri"/>
                <w:b/>
                <w:bCs/>
                <w:color w:val="000000"/>
                <w:szCs w:val="20"/>
                <w:lang w:val="en-CA" w:eastAsia="en-CA"/>
              </w:rPr>
              <w:t>14,815</w:t>
            </w:r>
            <w:r w:rsidRPr="00FC2211">
              <w:rPr>
                <w:rFonts w:ascii="Calibri" w:hAnsi="Calibri" w:cs="Calibri"/>
                <w:b/>
                <w:bCs/>
                <w:color w:val="000000"/>
                <w:szCs w:val="20"/>
                <w:lang w:val="en-CA" w:eastAsia="en-CA"/>
              </w:rPr>
              <w:t xml:space="preserve"> </w:t>
            </w:r>
          </w:p>
        </w:tc>
        <w:tc>
          <w:tcPr>
            <w:tcW w:w="1468" w:type="dxa"/>
            <w:tcBorders>
              <w:top w:val="nil"/>
              <w:left w:val="nil"/>
              <w:bottom w:val="single" w:sz="8" w:space="0" w:color="auto"/>
              <w:right w:val="nil"/>
            </w:tcBorders>
            <w:shd w:val="clear" w:color="auto" w:fill="auto"/>
            <w:noWrap/>
            <w:vAlign w:val="center"/>
            <w:hideMark/>
          </w:tcPr>
          <w:p w14:paraId="5DD07671" w14:textId="3F207FA7" w:rsidR="00C82507" w:rsidRPr="00FC2211" w:rsidRDefault="00C82507" w:rsidP="00C82507">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r w:rsidR="00331A4E" w:rsidRPr="00FC2211">
              <w:rPr>
                <w:rFonts w:ascii="Calibri" w:hAnsi="Calibri" w:cs="Calibri"/>
                <w:color w:val="000000"/>
                <w:szCs w:val="20"/>
                <w:lang w:val="en-CA" w:eastAsia="en-CA"/>
              </w:rPr>
              <w:t>2,346,017</w:t>
            </w:r>
            <w:r w:rsidRPr="00FC2211">
              <w:rPr>
                <w:rFonts w:ascii="Calibri" w:hAnsi="Calibri" w:cs="Calibri"/>
                <w:color w:val="000000"/>
                <w:szCs w:val="20"/>
                <w:lang w:val="en-CA" w:eastAsia="en-CA"/>
              </w:rPr>
              <w:t xml:space="preserve"> </w:t>
            </w:r>
          </w:p>
        </w:tc>
      </w:tr>
    </w:tbl>
    <w:p w14:paraId="774558DA" w14:textId="5A6C079D" w:rsidR="00FF447F" w:rsidRPr="00FC2211" w:rsidRDefault="00E81399" w:rsidP="009734E0">
      <w:pPr>
        <w:spacing w:before="100" w:beforeAutospacing="1" w:line="180" w:lineRule="exact"/>
        <w:rPr>
          <w:rFonts w:cstheme="minorHAnsi"/>
          <w:szCs w:val="20"/>
        </w:rPr>
      </w:pPr>
      <w:r w:rsidRPr="00FC2211">
        <w:rPr>
          <w:rFonts w:cstheme="minorHAnsi"/>
          <w:szCs w:val="20"/>
        </w:rPr>
        <w:t>The accompanying notes are an integral part of these unaudited interim condensed consolidated financial statements</w:t>
      </w:r>
    </w:p>
    <w:p w14:paraId="3A6EA74B" w14:textId="77777777" w:rsidR="00055560" w:rsidRPr="00FC2211" w:rsidRDefault="00055560" w:rsidP="00A1348E">
      <w:pPr>
        <w:rPr>
          <w:rFonts w:cstheme="minorHAnsi"/>
          <w:szCs w:val="20"/>
        </w:rPr>
        <w:sectPr w:rsidR="00055560" w:rsidRPr="00FC2211" w:rsidSect="0081636B">
          <w:headerReference w:type="default" r:id="rId24"/>
          <w:pgSz w:w="12240" w:h="15840" w:code="1"/>
          <w:pgMar w:top="851" w:right="1440" w:bottom="851" w:left="1440" w:header="720" w:footer="1021" w:gutter="0"/>
          <w:cols w:space="720"/>
          <w:docGrid w:linePitch="360"/>
        </w:sectPr>
      </w:pPr>
    </w:p>
    <w:p w14:paraId="4214CB14" w14:textId="77777777" w:rsidR="000943CB" w:rsidRPr="00FC2211" w:rsidRDefault="005C4B27" w:rsidP="00A17D4B">
      <w:pPr>
        <w:pStyle w:val="Heading1"/>
        <w:numPr>
          <w:ilvl w:val="0"/>
          <w:numId w:val="5"/>
        </w:numPr>
        <w:ind w:left="360"/>
        <w:rPr>
          <w:rFonts w:cstheme="minorHAnsi"/>
          <w:szCs w:val="20"/>
        </w:rPr>
      </w:pPr>
      <w:bookmarkStart w:id="0" w:name="_Hlk96503253"/>
      <w:r w:rsidRPr="00FC2211">
        <w:rPr>
          <w:rFonts w:cstheme="minorHAnsi"/>
          <w:szCs w:val="20"/>
        </w:rPr>
        <w:lastRenderedPageBreak/>
        <w:t>NATURE</w:t>
      </w:r>
      <w:r w:rsidR="00450BFC" w:rsidRPr="00FC2211">
        <w:rPr>
          <w:rFonts w:cstheme="minorHAnsi"/>
          <w:szCs w:val="20"/>
        </w:rPr>
        <w:t xml:space="preserve"> </w:t>
      </w:r>
      <w:r w:rsidR="009128B7" w:rsidRPr="00FC2211">
        <w:rPr>
          <w:rFonts w:cstheme="minorHAnsi"/>
          <w:szCs w:val="20"/>
        </w:rPr>
        <w:t>AND</w:t>
      </w:r>
      <w:r w:rsidR="00450BFC" w:rsidRPr="00FC2211">
        <w:rPr>
          <w:rFonts w:cstheme="minorHAnsi"/>
          <w:szCs w:val="20"/>
        </w:rPr>
        <w:t xml:space="preserve"> </w:t>
      </w:r>
      <w:r w:rsidR="009128B7" w:rsidRPr="00FC2211">
        <w:rPr>
          <w:rFonts w:cstheme="minorHAnsi"/>
          <w:szCs w:val="20"/>
        </w:rPr>
        <w:t>CONTINUANCE</w:t>
      </w:r>
      <w:r w:rsidR="00450BFC" w:rsidRPr="00FC2211">
        <w:rPr>
          <w:rFonts w:cstheme="minorHAnsi"/>
          <w:szCs w:val="20"/>
        </w:rPr>
        <w:t xml:space="preserve"> </w:t>
      </w:r>
      <w:r w:rsidRPr="00FC2211">
        <w:rPr>
          <w:rFonts w:cstheme="minorHAnsi"/>
          <w:szCs w:val="20"/>
        </w:rPr>
        <w:t>OF</w:t>
      </w:r>
      <w:r w:rsidR="00450BFC" w:rsidRPr="00FC2211">
        <w:rPr>
          <w:rFonts w:cstheme="minorHAnsi"/>
          <w:szCs w:val="20"/>
        </w:rPr>
        <w:t xml:space="preserve"> </w:t>
      </w:r>
      <w:r w:rsidRPr="00FC2211">
        <w:rPr>
          <w:rFonts w:cstheme="minorHAnsi"/>
          <w:szCs w:val="20"/>
        </w:rPr>
        <w:t>OPERATIONS</w:t>
      </w:r>
    </w:p>
    <w:bookmarkEnd w:id="0"/>
    <w:p w14:paraId="32BF8825" w14:textId="77777777" w:rsidR="00582D54" w:rsidRPr="00FC2211" w:rsidRDefault="00582D54" w:rsidP="005E325C">
      <w:pPr>
        <w:pStyle w:val="NormalWeb"/>
        <w:ind w:left="360"/>
        <w:rPr>
          <w:rFonts w:cstheme="minorHAnsi"/>
          <w:bCs/>
          <w:szCs w:val="20"/>
          <w:lang w:val="en-CA"/>
        </w:rPr>
      </w:pPr>
    </w:p>
    <w:p w14:paraId="78D6D106" w14:textId="19920C0E" w:rsidR="00663386" w:rsidRPr="00FC2211" w:rsidRDefault="30D1CAA2" w:rsidP="00475C4F">
      <w:pPr>
        <w:ind w:left="357"/>
        <w:jc w:val="both"/>
        <w:rPr>
          <w:rFonts w:cstheme="minorHAnsi"/>
          <w:szCs w:val="20"/>
          <w:lang w:val="en-CA"/>
        </w:rPr>
      </w:pPr>
      <w:r w:rsidRPr="00FC2211">
        <w:rPr>
          <w:rFonts w:cstheme="minorHAnsi"/>
          <w:szCs w:val="20"/>
          <w:lang w:val="en-CA"/>
        </w:rPr>
        <w:t xml:space="preserve">INEO </w:t>
      </w:r>
      <w:r w:rsidR="39EB5AAB" w:rsidRPr="00FC2211">
        <w:rPr>
          <w:rFonts w:cstheme="minorHAnsi"/>
          <w:szCs w:val="20"/>
          <w:lang w:val="en-CA"/>
        </w:rPr>
        <w:t>Tech Corp</w:t>
      </w:r>
      <w:r w:rsidR="3E27559A" w:rsidRPr="00FC2211">
        <w:rPr>
          <w:rFonts w:cstheme="minorHAnsi"/>
          <w:szCs w:val="20"/>
          <w:lang w:val="en-CA"/>
        </w:rPr>
        <w:t>.</w:t>
      </w:r>
      <w:r w:rsidR="39EB5AAB" w:rsidRPr="00FC2211">
        <w:rPr>
          <w:rFonts w:cstheme="minorHAnsi"/>
          <w:szCs w:val="20"/>
          <w:lang w:val="en-CA"/>
        </w:rPr>
        <w:t xml:space="preserve"> </w:t>
      </w:r>
      <w:r w:rsidR="00406DA6" w:rsidRPr="00FC2211">
        <w:rPr>
          <w:rFonts w:cstheme="minorHAnsi"/>
          <w:szCs w:val="20"/>
          <w:lang w:val="en-CA"/>
        </w:rPr>
        <w:t>(the “Company” or “INEO”)</w:t>
      </w:r>
      <w:r w:rsidR="2AD66C3E" w:rsidRPr="00FC2211">
        <w:rPr>
          <w:rFonts w:cstheme="minorHAnsi"/>
          <w:szCs w:val="20"/>
          <w:lang w:val="en-CA"/>
        </w:rPr>
        <w:t xml:space="preserve"> </w:t>
      </w:r>
      <w:r w:rsidR="062E5ABD" w:rsidRPr="00FC2211">
        <w:rPr>
          <w:rFonts w:cstheme="minorHAnsi"/>
          <w:szCs w:val="20"/>
          <w:lang w:val="en-CA"/>
        </w:rPr>
        <w:t>is a Canadian company incorporated under the laws of the Province of</w:t>
      </w:r>
      <w:r w:rsidR="1A6997D7" w:rsidRPr="00FC2211">
        <w:rPr>
          <w:rFonts w:cstheme="minorHAnsi"/>
          <w:szCs w:val="20"/>
          <w:lang w:val="en-CA"/>
        </w:rPr>
        <w:t xml:space="preserve"> </w:t>
      </w:r>
      <w:r w:rsidR="062E5ABD" w:rsidRPr="00FC2211">
        <w:rPr>
          <w:rFonts w:cstheme="minorHAnsi"/>
          <w:szCs w:val="20"/>
          <w:lang w:val="en-CA"/>
        </w:rPr>
        <w:t>British Columbia on March 4, 2008.</w:t>
      </w:r>
      <w:r w:rsidR="49F68024" w:rsidRPr="00FC2211">
        <w:rPr>
          <w:rFonts w:cstheme="minorHAnsi"/>
          <w:szCs w:val="20"/>
          <w:lang w:val="en-CA"/>
        </w:rPr>
        <w:t xml:space="preserve"> </w:t>
      </w:r>
      <w:r w:rsidR="062E5ABD" w:rsidRPr="00FC2211">
        <w:rPr>
          <w:rFonts w:cstheme="minorHAnsi"/>
          <w:szCs w:val="20"/>
          <w:lang w:val="en-CA"/>
        </w:rPr>
        <w:t>The Company’s shares trade on the TSX Venture Exchange (“TSX-V”)</w:t>
      </w:r>
      <w:r w:rsidR="1A6997D7" w:rsidRPr="00FC2211">
        <w:rPr>
          <w:rFonts w:cstheme="minorHAnsi"/>
          <w:szCs w:val="20"/>
          <w:lang w:val="en-CA"/>
        </w:rPr>
        <w:t xml:space="preserve"> </w:t>
      </w:r>
      <w:r w:rsidR="062E5ABD" w:rsidRPr="00FC2211">
        <w:rPr>
          <w:rFonts w:cstheme="minorHAnsi"/>
          <w:szCs w:val="20"/>
          <w:lang w:val="en-CA"/>
        </w:rPr>
        <w:t xml:space="preserve">under the symbol </w:t>
      </w:r>
      <w:r w:rsidR="00692BB4" w:rsidRPr="00FC2211">
        <w:rPr>
          <w:rFonts w:cstheme="minorHAnsi"/>
          <w:szCs w:val="20"/>
          <w:lang w:val="en-CA"/>
        </w:rPr>
        <w:t>‘</w:t>
      </w:r>
      <w:r w:rsidR="1F4D6546" w:rsidRPr="00FC2211">
        <w:rPr>
          <w:rFonts w:cstheme="minorHAnsi"/>
          <w:szCs w:val="20"/>
          <w:lang w:val="en-CA"/>
        </w:rPr>
        <w:t>INEO</w:t>
      </w:r>
      <w:r w:rsidR="007F5BF5" w:rsidRPr="00FC2211">
        <w:rPr>
          <w:rFonts w:cstheme="minorHAnsi"/>
          <w:szCs w:val="20"/>
          <w:lang w:val="en-CA"/>
        </w:rPr>
        <w:t>.’</w:t>
      </w:r>
      <w:r w:rsidR="2F3B6C7F" w:rsidRPr="00FC2211">
        <w:rPr>
          <w:rFonts w:cstheme="minorHAnsi"/>
          <w:szCs w:val="20"/>
          <w:lang w:val="en-CA"/>
        </w:rPr>
        <w:t xml:space="preserve"> </w:t>
      </w:r>
      <w:r w:rsidR="7154FC97" w:rsidRPr="00FC2211">
        <w:rPr>
          <w:rFonts w:cstheme="minorHAnsi"/>
          <w:szCs w:val="20"/>
          <w:lang w:val="en-CA"/>
        </w:rPr>
        <w:t xml:space="preserve">The </w:t>
      </w:r>
      <w:r w:rsidR="001926EE" w:rsidRPr="00FC2211">
        <w:rPr>
          <w:rFonts w:cstheme="minorHAnsi"/>
          <w:szCs w:val="20"/>
          <w:lang w:val="en-CA"/>
        </w:rPr>
        <w:t xml:space="preserve">Company’s </w:t>
      </w:r>
      <w:r w:rsidR="7154FC97" w:rsidRPr="00FC2211">
        <w:rPr>
          <w:rFonts w:cstheme="minorHAnsi"/>
          <w:szCs w:val="20"/>
          <w:lang w:val="en-CA"/>
        </w:rPr>
        <w:t>corporate head office</w:t>
      </w:r>
      <w:r w:rsidR="20315B9A" w:rsidRPr="00FC2211">
        <w:rPr>
          <w:rFonts w:cstheme="minorHAnsi"/>
          <w:szCs w:val="20"/>
          <w:lang w:val="en-CA"/>
        </w:rPr>
        <w:t xml:space="preserve"> and records office</w:t>
      </w:r>
      <w:r w:rsidR="7154FC97" w:rsidRPr="00FC2211">
        <w:rPr>
          <w:rFonts w:cstheme="minorHAnsi"/>
          <w:szCs w:val="20"/>
          <w:lang w:val="en-CA"/>
        </w:rPr>
        <w:t xml:space="preserve"> </w:t>
      </w:r>
      <w:r w:rsidR="00E416E6" w:rsidRPr="00FC2211">
        <w:rPr>
          <w:rFonts w:cstheme="minorHAnsi"/>
          <w:szCs w:val="20"/>
          <w:lang w:val="en-CA"/>
        </w:rPr>
        <w:t>are</w:t>
      </w:r>
      <w:r w:rsidR="7154FC97" w:rsidRPr="00FC2211">
        <w:rPr>
          <w:rFonts w:cstheme="minorHAnsi"/>
          <w:szCs w:val="20"/>
          <w:lang w:val="en-CA"/>
        </w:rPr>
        <w:t xml:space="preserve"> located at </w:t>
      </w:r>
      <w:r w:rsidR="1B2DD336" w:rsidRPr="00FC2211">
        <w:rPr>
          <w:rFonts w:cstheme="minorHAnsi"/>
          <w:szCs w:val="20"/>
          <w:lang w:val="en-CA"/>
        </w:rPr>
        <w:t>105 – 19130 24</w:t>
      </w:r>
      <w:r w:rsidR="5A9A7D0E" w:rsidRPr="00FC2211">
        <w:rPr>
          <w:rFonts w:cstheme="minorHAnsi"/>
          <w:szCs w:val="20"/>
          <w:lang w:val="en-CA"/>
        </w:rPr>
        <w:t xml:space="preserve"> Avenue</w:t>
      </w:r>
      <w:r w:rsidR="007F5BF5" w:rsidRPr="00FC2211">
        <w:rPr>
          <w:rFonts w:cstheme="minorHAnsi"/>
          <w:szCs w:val="20"/>
          <w:lang w:val="en-CA"/>
        </w:rPr>
        <w:t>,</w:t>
      </w:r>
      <w:r w:rsidR="37059173" w:rsidRPr="00FC2211">
        <w:rPr>
          <w:rFonts w:cstheme="minorHAnsi"/>
          <w:szCs w:val="20"/>
          <w:lang w:val="en-CA"/>
        </w:rPr>
        <w:t xml:space="preserve"> Surrey</w:t>
      </w:r>
      <w:r w:rsidR="7154FC97" w:rsidRPr="00FC2211">
        <w:rPr>
          <w:rFonts w:cstheme="minorHAnsi"/>
          <w:szCs w:val="20"/>
          <w:lang w:val="en-CA"/>
        </w:rPr>
        <w:t xml:space="preserve">, BC, </w:t>
      </w:r>
      <w:r w:rsidR="37059173" w:rsidRPr="00FC2211">
        <w:rPr>
          <w:rFonts w:cstheme="minorHAnsi"/>
          <w:szCs w:val="20"/>
          <w:lang w:val="en-CA"/>
        </w:rPr>
        <w:t>V3</w:t>
      </w:r>
      <w:r w:rsidR="21AF30A6" w:rsidRPr="00FC2211">
        <w:rPr>
          <w:rFonts w:cstheme="minorHAnsi"/>
          <w:szCs w:val="20"/>
          <w:lang w:val="en-CA"/>
        </w:rPr>
        <w:t>Z</w:t>
      </w:r>
      <w:r w:rsidR="37059173" w:rsidRPr="00FC2211">
        <w:rPr>
          <w:rFonts w:cstheme="minorHAnsi"/>
          <w:szCs w:val="20"/>
          <w:lang w:val="en-CA"/>
        </w:rPr>
        <w:t xml:space="preserve"> </w:t>
      </w:r>
      <w:r w:rsidR="65C6511D" w:rsidRPr="00FC2211">
        <w:rPr>
          <w:rFonts w:cstheme="minorHAnsi"/>
          <w:szCs w:val="20"/>
          <w:lang w:val="en-CA"/>
        </w:rPr>
        <w:t>3S9</w:t>
      </w:r>
      <w:r w:rsidR="7154FC97" w:rsidRPr="00FC2211">
        <w:rPr>
          <w:rFonts w:cstheme="minorHAnsi"/>
          <w:szCs w:val="20"/>
          <w:lang w:val="en-CA"/>
        </w:rPr>
        <w:t>.</w:t>
      </w:r>
    </w:p>
    <w:p w14:paraId="641DCE5C" w14:textId="77777777" w:rsidR="00663386" w:rsidRPr="00FC2211" w:rsidRDefault="00663386" w:rsidP="00475C4F">
      <w:pPr>
        <w:ind w:left="357"/>
        <w:jc w:val="both"/>
        <w:rPr>
          <w:rFonts w:cstheme="minorHAnsi"/>
          <w:szCs w:val="20"/>
          <w:lang w:val="en-CA"/>
        </w:rPr>
      </w:pPr>
    </w:p>
    <w:p w14:paraId="668290F0" w14:textId="2956123D" w:rsidR="000D0852" w:rsidRPr="00FC2211" w:rsidRDefault="000C61AB" w:rsidP="00475C4F">
      <w:pPr>
        <w:ind w:left="357"/>
        <w:jc w:val="both"/>
        <w:rPr>
          <w:w w:val="0"/>
          <w:lang w:val="en-CA"/>
        </w:rPr>
      </w:pPr>
      <w:r w:rsidRPr="00FC2211">
        <w:rPr>
          <w:w w:val="0"/>
          <w:lang w:val="en-CA"/>
        </w:rPr>
        <w:t xml:space="preserve">INEO is the inventor and operator of the </w:t>
      </w:r>
      <w:r w:rsidRPr="00FC2211">
        <w:rPr>
          <w:i/>
          <w:iCs/>
          <w:w w:val="0"/>
          <w:lang w:val="en-CA"/>
        </w:rPr>
        <w:t>INEO Media Network</w:t>
      </w:r>
      <w:r w:rsidRPr="00FC2211">
        <w:rPr>
          <w:w w:val="0"/>
          <w:lang w:val="en-CA"/>
        </w:rPr>
        <w:t xml:space="preserve"> for retailers</w:t>
      </w:r>
      <w:r w:rsidR="00D3433C" w:rsidRPr="00FC2211">
        <w:rPr>
          <w:w w:val="0"/>
          <w:lang w:val="en-CA"/>
        </w:rPr>
        <w:t>,</w:t>
      </w:r>
      <w:r w:rsidRPr="00FC2211">
        <w:rPr>
          <w:w w:val="0"/>
          <w:lang w:val="en-CA"/>
        </w:rPr>
        <w:t xml:space="preserve"> which provides retail analytics and targeted advertising through its cloud-based IoT (Internet of Things) and AI (Artificial Intelligence) technology.  The Company operates the </w:t>
      </w:r>
      <w:r w:rsidRPr="00FC2211">
        <w:rPr>
          <w:i/>
          <w:iCs/>
          <w:w w:val="0"/>
          <w:lang w:val="en-CA"/>
        </w:rPr>
        <w:t>INEO Media Network</w:t>
      </w:r>
      <w:r w:rsidRPr="00FC2211">
        <w:rPr>
          <w:w w:val="0"/>
          <w:lang w:val="en-CA"/>
        </w:rPr>
        <w:t xml:space="preserve"> using </w:t>
      </w:r>
      <w:r w:rsidR="00E416E6" w:rsidRPr="00FC2211">
        <w:rPr>
          <w:w w:val="0"/>
          <w:lang w:val="en-CA"/>
        </w:rPr>
        <w:t xml:space="preserve">a </w:t>
      </w:r>
      <w:r w:rsidRPr="00FC2211">
        <w:rPr>
          <w:w w:val="0"/>
          <w:lang w:val="en-CA"/>
        </w:rPr>
        <w:t xml:space="preserve">SaaS-based model </w:t>
      </w:r>
      <w:r w:rsidR="00E416E6" w:rsidRPr="00FC2211">
        <w:rPr>
          <w:w w:val="0"/>
          <w:lang w:val="en-CA"/>
        </w:rPr>
        <w:t>for</w:t>
      </w:r>
      <w:r w:rsidRPr="00FC2211">
        <w:rPr>
          <w:w w:val="0"/>
          <w:lang w:val="en-CA"/>
        </w:rPr>
        <w:t xml:space="preserve"> retail stores.  </w:t>
      </w:r>
    </w:p>
    <w:p w14:paraId="39FF2825" w14:textId="77777777" w:rsidR="005B41BA" w:rsidRPr="00FC2211" w:rsidRDefault="005B41BA" w:rsidP="00475C4F">
      <w:pPr>
        <w:ind w:left="357"/>
        <w:jc w:val="both"/>
        <w:rPr>
          <w:w w:val="0"/>
          <w:lang w:val="en-CA"/>
        </w:rPr>
      </w:pPr>
    </w:p>
    <w:p w14:paraId="0CB3EEEF" w14:textId="31B50E97" w:rsidR="00684C4E" w:rsidRPr="00FC2211" w:rsidRDefault="00684C4E" w:rsidP="00475C4F">
      <w:pPr>
        <w:ind w:left="357"/>
        <w:jc w:val="both"/>
        <w:rPr>
          <w:rFonts w:cstheme="minorHAnsi"/>
          <w:szCs w:val="20"/>
          <w:lang w:val="en-GB"/>
        </w:rPr>
      </w:pPr>
      <w:bookmarkStart w:id="1" w:name="_Hlk533059830"/>
      <w:bookmarkEnd w:id="1"/>
      <w:r w:rsidRPr="00FC2211">
        <w:rPr>
          <w:rFonts w:cstheme="minorHAnsi"/>
          <w:szCs w:val="20"/>
          <w:lang w:val="en-GB"/>
        </w:rPr>
        <w:t xml:space="preserve">These </w:t>
      </w:r>
      <w:r w:rsidR="008D761F" w:rsidRPr="00FC2211">
        <w:rPr>
          <w:rFonts w:cstheme="minorHAnsi"/>
          <w:szCs w:val="20"/>
          <w:lang w:val="en-GB"/>
        </w:rPr>
        <w:t>c</w:t>
      </w:r>
      <w:r w:rsidR="00A82940" w:rsidRPr="00FC2211">
        <w:rPr>
          <w:rFonts w:cstheme="minorHAnsi"/>
          <w:szCs w:val="20"/>
          <w:lang w:val="en-GB"/>
        </w:rPr>
        <w:t>onsolidated f</w:t>
      </w:r>
      <w:r w:rsidR="001937C9" w:rsidRPr="00FC2211">
        <w:rPr>
          <w:rFonts w:cstheme="minorHAnsi"/>
          <w:szCs w:val="20"/>
          <w:lang w:val="en-GB"/>
        </w:rPr>
        <w:t xml:space="preserve">inancial </w:t>
      </w:r>
      <w:r w:rsidR="00A82940" w:rsidRPr="00FC2211">
        <w:rPr>
          <w:rFonts w:cstheme="minorHAnsi"/>
          <w:szCs w:val="20"/>
          <w:lang w:val="en-GB"/>
        </w:rPr>
        <w:t>s</w:t>
      </w:r>
      <w:r w:rsidR="001937C9" w:rsidRPr="00FC2211">
        <w:rPr>
          <w:rFonts w:cstheme="minorHAnsi"/>
          <w:szCs w:val="20"/>
          <w:lang w:val="en-GB"/>
        </w:rPr>
        <w:t>tatements</w:t>
      </w:r>
      <w:r w:rsidR="00924F0D" w:rsidRPr="00FC2211">
        <w:rPr>
          <w:rFonts w:cstheme="minorHAnsi"/>
          <w:szCs w:val="20"/>
          <w:lang w:val="en-GB"/>
        </w:rPr>
        <w:t>, including comparatives (</w:t>
      </w:r>
      <w:r w:rsidR="00283514" w:rsidRPr="00FC2211">
        <w:rPr>
          <w:rFonts w:cstheme="minorHAnsi"/>
          <w:szCs w:val="20"/>
          <w:lang w:val="en-GB"/>
        </w:rPr>
        <w:t>t</w:t>
      </w:r>
      <w:r w:rsidR="00924F0D" w:rsidRPr="00FC2211">
        <w:rPr>
          <w:rFonts w:cstheme="minorHAnsi"/>
          <w:szCs w:val="20"/>
          <w:lang w:val="en-GB"/>
        </w:rPr>
        <w:t>he ’</w:t>
      </w:r>
      <w:r w:rsidR="001937C9" w:rsidRPr="00FC2211">
        <w:rPr>
          <w:rFonts w:cstheme="minorHAnsi"/>
          <w:szCs w:val="20"/>
          <w:lang w:val="en-GB"/>
        </w:rPr>
        <w:t>Financial Statements</w:t>
      </w:r>
      <w:r w:rsidR="00924F0D" w:rsidRPr="00FC2211">
        <w:rPr>
          <w:rFonts w:cstheme="minorHAnsi"/>
          <w:szCs w:val="20"/>
          <w:lang w:val="en-GB"/>
        </w:rPr>
        <w:t>’)</w:t>
      </w:r>
      <w:r w:rsidR="00D3433C" w:rsidRPr="00FC2211">
        <w:rPr>
          <w:rFonts w:cstheme="minorHAnsi"/>
          <w:szCs w:val="20"/>
          <w:lang w:val="en-GB"/>
        </w:rPr>
        <w:t>,</w:t>
      </w:r>
      <w:r w:rsidRPr="00FC2211">
        <w:rPr>
          <w:rFonts w:cstheme="minorHAnsi"/>
          <w:szCs w:val="20"/>
          <w:lang w:val="en-GB"/>
        </w:rPr>
        <w:t xml:space="preserve"> have been prepared in accordance with International Financial Reporting Standards (“IFRS”) with the going concern assumption, which assumes that the Company will continue operation</w:t>
      </w:r>
      <w:r w:rsidR="00A63433" w:rsidRPr="00FC2211">
        <w:rPr>
          <w:rFonts w:cstheme="minorHAnsi"/>
          <w:szCs w:val="20"/>
          <w:lang w:val="en-GB"/>
        </w:rPr>
        <w:t>s</w:t>
      </w:r>
      <w:r w:rsidRPr="00FC2211">
        <w:rPr>
          <w:rFonts w:cstheme="minorHAnsi"/>
          <w:szCs w:val="20"/>
          <w:lang w:val="en-GB"/>
        </w:rPr>
        <w:t xml:space="preserve"> for the foreseeable future and, accordingly, will be able to realize its assets and discharge its liabilities in the normal course of operations. The Company’s ability to realize its assets and discharge its liabilities </w:t>
      </w:r>
      <w:r w:rsidR="00D3433C" w:rsidRPr="00FC2211">
        <w:rPr>
          <w:rFonts w:cstheme="minorHAnsi"/>
          <w:szCs w:val="20"/>
          <w:lang w:val="en-GB"/>
        </w:rPr>
        <w:t>depends</w:t>
      </w:r>
      <w:r w:rsidRPr="00FC2211">
        <w:rPr>
          <w:rFonts w:cstheme="minorHAnsi"/>
          <w:szCs w:val="20"/>
          <w:lang w:val="en-GB"/>
        </w:rPr>
        <w:t xml:space="preserve"> upon the Company obtaining the necessary financing and</w:t>
      </w:r>
      <w:r w:rsidR="00D3433C" w:rsidRPr="00FC2211">
        <w:rPr>
          <w:rFonts w:cstheme="minorHAnsi"/>
          <w:szCs w:val="20"/>
          <w:lang w:val="en-GB"/>
        </w:rPr>
        <w:t>,</w:t>
      </w:r>
      <w:r w:rsidRPr="00FC2211">
        <w:rPr>
          <w:rFonts w:cstheme="minorHAnsi"/>
          <w:szCs w:val="20"/>
          <w:lang w:val="en-GB"/>
        </w:rPr>
        <w:t xml:space="preserve"> ultimately</w:t>
      </w:r>
      <w:r w:rsidR="00D3433C" w:rsidRPr="00FC2211">
        <w:rPr>
          <w:rFonts w:cstheme="minorHAnsi"/>
          <w:szCs w:val="20"/>
          <w:lang w:val="en-GB"/>
        </w:rPr>
        <w:t>,</w:t>
      </w:r>
      <w:r w:rsidRPr="00FC2211">
        <w:rPr>
          <w:rFonts w:cstheme="minorHAnsi"/>
          <w:szCs w:val="20"/>
          <w:lang w:val="en-GB"/>
        </w:rPr>
        <w:t xml:space="preserve"> upon its ability to achieve profitable operations. </w:t>
      </w:r>
    </w:p>
    <w:p w14:paraId="6DE1F1FB" w14:textId="77777777" w:rsidR="005D2737" w:rsidRPr="00FC2211" w:rsidRDefault="005D2737" w:rsidP="00475C4F">
      <w:pPr>
        <w:ind w:left="69"/>
        <w:jc w:val="both"/>
        <w:rPr>
          <w:rFonts w:cstheme="minorHAnsi"/>
          <w:szCs w:val="20"/>
          <w:lang w:val="en-GB"/>
        </w:rPr>
      </w:pPr>
    </w:p>
    <w:p w14:paraId="100D1C01" w14:textId="00C6CA84" w:rsidR="0093377E" w:rsidRPr="00FC2211" w:rsidRDefault="0093377E" w:rsidP="00475C4F">
      <w:pPr>
        <w:pStyle w:val="NormalWeb"/>
        <w:ind w:left="357"/>
        <w:jc w:val="both"/>
        <w:rPr>
          <w:rFonts w:cstheme="minorHAnsi"/>
          <w:bCs/>
          <w:szCs w:val="20"/>
          <w:lang w:val="en-CA"/>
        </w:rPr>
      </w:pPr>
      <w:r w:rsidRPr="00FC2211">
        <w:rPr>
          <w:rFonts w:cstheme="minorHAnsi"/>
          <w:bCs/>
          <w:szCs w:val="20"/>
          <w:lang w:val="en-CA"/>
        </w:rPr>
        <w:t xml:space="preserve">For significant expenditures, the Company will depend on external capital. Such external capital will include the issuance of additional equity shares. There can be no assurance that capital will be available, as necessary, to meet the Company’s operating commitments and development plans. The issuance of additional equity securities by the Company </w:t>
      </w:r>
      <w:r w:rsidR="001C597C" w:rsidRPr="00FC2211">
        <w:rPr>
          <w:rFonts w:cstheme="minorHAnsi"/>
          <w:bCs/>
          <w:szCs w:val="20"/>
          <w:lang w:val="en-CA"/>
        </w:rPr>
        <w:t xml:space="preserve">may </w:t>
      </w:r>
      <w:r w:rsidRPr="00FC2211">
        <w:rPr>
          <w:rFonts w:cstheme="minorHAnsi"/>
          <w:bCs/>
          <w:szCs w:val="20"/>
          <w:lang w:val="en-CA"/>
        </w:rPr>
        <w:t>result in</w:t>
      </w:r>
      <w:r w:rsidR="00CA4727" w:rsidRPr="00FC2211">
        <w:rPr>
          <w:rFonts w:cstheme="minorHAnsi"/>
          <w:bCs/>
          <w:szCs w:val="20"/>
          <w:lang w:val="en-CA"/>
        </w:rPr>
        <w:t xml:space="preserve"> the</w:t>
      </w:r>
      <w:r w:rsidRPr="00FC2211">
        <w:rPr>
          <w:rFonts w:cstheme="minorHAnsi"/>
          <w:bCs/>
          <w:szCs w:val="20"/>
          <w:lang w:val="en-CA"/>
        </w:rPr>
        <w:t xml:space="preserve"> dilution </w:t>
      </w:r>
      <w:r w:rsidR="00CA4727" w:rsidRPr="00FC2211">
        <w:rPr>
          <w:rFonts w:cstheme="minorHAnsi"/>
          <w:bCs/>
          <w:szCs w:val="20"/>
          <w:lang w:val="en-CA"/>
        </w:rPr>
        <w:t>of</w:t>
      </w:r>
      <w:r w:rsidRPr="00FC2211">
        <w:rPr>
          <w:rFonts w:cstheme="minorHAnsi"/>
          <w:bCs/>
          <w:szCs w:val="20"/>
          <w:lang w:val="en-CA"/>
        </w:rPr>
        <w:t xml:space="preserve"> current shareholders</w:t>
      </w:r>
      <w:r w:rsidR="00CA4727" w:rsidRPr="00FC2211">
        <w:rPr>
          <w:rFonts w:cstheme="minorHAnsi"/>
          <w:bCs/>
          <w:szCs w:val="20"/>
          <w:lang w:val="en-CA"/>
        </w:rPr>
        <w:t xml:space="preserve">’ </w:t>
      </w:r>
      <w:r w:rsidR="00310E6B" w:rsidRPr="00FC2211">
        <w:rPr>
          <w:rFonts w:cstheme="minorHAnsi"/>
          <w:bCs/>
          <w:szCs w:val="20"/>
          <w:lang w:val="en-CA"/>
        </w:rPr>
        <w:t>equity interests</w:t>
      </w:r>
      <w:r w:rsidRPr="00FC2211">
        <w:rPr>
          <w:rFonts w:cstheme="minorHAnsi"/>
          <w:bCs/>
          <w:szCs w:val="20"/>
          <w:lang w:val="en-CA"/>
        </w:rPr>
        <w:t xml:space="preserve">. </w:t>
      </w:r>
    </w:p>
    <w:p w14:paraId="61F8028A" w14:textId="77777777" w:rsidR="00F840F0" w:rsidRPr="00FC2211" w:rsidRDefault="00F840F0" w:rsidP="00475C4F">
      <w:pPr>
        <w:pStyle w:val="NormalWeb"/>
        <w:ind w:left="357"/>
        <w:jc w:val="both"/>
        <w:rPr>
          <w:rFonts w:cstheme="minorHAnsi"/>
          <w:bCs/>
          <w:szCs w:val="20"/>
          <w:lang w:val="en-CA"/>
        </w:rPr>
      </w:pPr>
    </w:p>
    <w:p w14:paraId="02866079" w14:textId="77777777" w:rsidR="005517AE" w:rsidRPr="00FC2211" w:rsidRDefault="004E13AC" w:rsidP="00475C4F">
      <w:pPr>
        <w:pStyle w:val="NormalWeb"/>
        <w:ind w:left="357"/>
        <w:jc w:val="both"/>
        <w:rPr>
          <w:rFonts w:cstheme="minorHAnsi"/>
          <w:bCs/>
          <w:szCs w:val="20"/>
          <w:lang w:val="en-CA"/>
        </w:rPr>
      </w:pPr>
      <w:r w:rsidRPr="00FC2211">
        <w:rPr>
          <w:rFonts w:cstheme="minorHAnsi"/>
          <w:bCs/>
          <w:szCs w:val="20"/>
          <w:lang w:val="en-CA"/>
        </w:rPr>
        <w:t xml:space="preserve">The Company’s future capital requirements will depend on many factors, including the </w:t>
      </w:r>
      <w:r w:rsidR="00F65679" w:rsidRPr="00FC2211">
        <w:rPr>
          <w:rFonts w:cstheme="minorHAnsi"/>
          <w:bCs/>
          <w:szCs w:val="20"/>
          <w:lang w:val="en-CA"/>
        </w:rPr>
        <w:t xml:space="preserve">cash flows from </w:t>
      </w:r>
      <w:r w:rsidR="006B7B7E" w:rsidRPr="00FC2211">
        <w:rPr>
          <w:rFonts w:cstheme="minorHAnsi"/>
          <w:bCs/>
          <w:szCs w:val="20"/>
          <w:lang w:val="en-CA"/>
        </w:rPr>
        <w:t xml:space="preserve">its operating activities, </w:t>
      </w:r>
      <w:r w:rsidRPr="00FC2211">
        <w:rPr>
          <w:rFonts w:cstheme="minorHAnsi"/>
          <w:bCs/>
          <w:szCs w:val="20"/>
          <w:lang w:val="en-CA"/>
        </w:rPr>
        <w:t xml:space="preserve">costs of </w:t>
      </w:r>
      <w:r w:rsidR="00A5293D" w:rsidRPr="00FC2211">
        <w:rPr>
          <w:rFonts w:cstheme="minorHAnsi"/>
          <w:bCs/>
          <w:szCs w:val="20"/>
          <w:lang w:val="en-CA"/>
        </w:rPr>
        <w:t xml:space="preserve">research and </w:t>
      </w:r>
      <w:r w:rsidRPr="00FC2211">
        <w:rPr>
          <w:rFonts w:cstheme="minorHAnsi"/>
          <w:bCs/>
          <w:szCs w:val="20"/>
          <w:lang w:val="en-CA"/>
        </w:rPr>
        <w:t>developing its pro</w:t>
      </w:r>
      <w:r w:rsidR="00A5293D" w:rsidRPr="00FC2211">
        <w:rPr>
          <w:rFonts w:cstheme="minorHAnsi"/>
          <w:bCs/>
          <w:szCs w:val="20"/>
          <w:lang w:val="en-CA"/>
        </w:rPr>
        <w:t>ducts</w:t>
      </w:r>
      <w:r w:rsidRPr="00FC2211">
        <w:rPr>
          <w:rFonts w:cstheme="minorHAnsi"/>
          <w:bCs/>
          <w:szCs w:val="20"/>
          <w:lang w:val="en-CA"/>
        </w:rPr>
        <w:t xml:space="preserve">, operating costs, the current capital market </w:t>
      </w:r>
      <w:r w:rsidR="005E612C" w:rsidRPr="00FC2211">
        <w:rPr>
          <w:rFonts w:cstheme="minorHAnsi"/>
          <w:bCs/>
          <w:szCs w:val="20"/>
          <w:lang w:val="en-CA"/>
        </w:rPr>
        <w:t>environment,</w:t>
      </w:r>
      <w:r w:rsidRPr="00FC2211">
        <w:rPr>
          <w:rFonts w:cstheme="minorHAnsi"/>
          <w:bCs/>
          <w:szCs w:val="20"/>
          <w:lang w:val="en-CA"/>
        </w:rPr>
        <w:t xml:space="preserve"> and global market conditions.</w:t>
      </w:r>
    </w:p>
    <w:p w14:paraId="782FAA7D" w14:textId="77777777" w:rsidR="00A41969" w:rsidRPr="00FC2211" w:rsidRDefault="00A41969" w:rsidP="00475C4F">
      <w:pPr>
        <w:pStyle w:val="NormalWeb"/>
        <w:ind w:left="357"/>
        <w:jc w:val="both"/>
        <w:rPr>
          <w:rFonts w:cstheme="minorHAnsi"/>
          <w:bCs/>
          <w:szCs w:val="20"/>
          <w:lang w:val="en-CA"/>
        </w:rPr>
      </w:pPr>
    </w:p>
    <w:p w14:paraId="10E5A712" w14:textId="391E5055" w:rsidR="00A0638E" w:rsidRPr="00FC2211" w:rsidRDefault="00C57DEE" w:rsidP="00475C4F">
      <w:pPr>
        <w:pStyle w:val="NormalWeb"/>
        <w:ind w:left="357"/>
        <w:jc w:val="both"/>
        <w:rPr>
          <w:rFonts w:cstheme="minorHAnsi"/>
          <w:bCs/>
          <w:szCs w:val="20"/>
          <w:lang w:val="en-CA"/>
        </w:rPr>
      </w:pPr>
      <w:r w:rsidRPr="00FC2211">
        <w:rPr>
          <w:rFonts w:cstheme="minorHAnsi"/>
          <w:bCs/>
          <w:szCs w:val="20"/>
          <w:lang w:val="en-CA"/>
        </w:rPr>
        <w:t>T</w:t>
      </w:r>
      <w:r w:rsidR="005517AE" w:rsidRPr="00FC2211">
        <w:rPr>
          <w:rFonts w:cstheme="minorHAnsi"/>
          <w:bCs/>
          <w:szCs w:val="20"/>
          <w:lang w:val="en-CA"/>
        </w:rPr>
        <w:t>he continued operations of the Company are dependent on its ability to</w:t>
      </w:r>
      <w:r w:rsidR="00966D44" w:rsidRPr="00FC2211">
        <w:rPr>
          <w:rFonts w:cstheme="minorHAnsi"/>
          <w:bCs/>
          <w:szCs w:val="20"/>
          <w:lang w:val="en-CA"/>
        </w:rPr>
        <w:t xml:space="preserve"> generate re</w:t>
      </w:r>
      <w:r w:rsidR="007C45ED" w:rsidRPr="00FC2211">
        <w:rPr>
          <w:rFonts w:cstheme="minorHAnsi"/>
          <w:bCs/>
          <w:szCs w:val="20"/>
          <w:lang w:val="en-CA"/>
        </w:rPr>
        <w:t xml:space="preserve">venues, </w:t>
      </w:r>
      <w:r w:rsidR="005517AE" w:rsidRPr="00FC2211">
        <w:rPr>
          <w:rFonts w:cstheme="minorHAnsi"/>
          <w:bCs/>
          <w:szCs w:val="20"/>
          <w:lang w:val="en-CA"/>
        </w:rPr>
        <w:t xml:space="preserve">develop a sufficient financing plan, receive continued financial support from related parties, complete sufficient public equity financing, and ultimately generate profitable operations in the future. The Company has no assurance that it will be successful in its efforts. If the Company </w:t>
      </w:r>
      <w:r w:rsidR="00D3433C" w:rsidRPr="00FC2211">
        <w:rPr>
          <w:rFonts w:cstheme="minorHAnsi"/>
          <w:bCs/>
          <w:szCs w:val="20"/>
          <w:lang w:val="en-CA"/>
        </w:rPr>
        <w:t>cannot obtain financing in the amounts and on terms deemed acceptable, the business's future success</w:t>
      </w:r>
      <w:r w:rsidR="005517AE" w:rsidRPr="00FC2211">
        <w:rPr>
          <w:rFonts w:cstheme="minorHAnsi"/>
          <w:bCs/>
          <w:szCs w:val="20"/>
          <w:lang w:val="en-CA"/>
        </w:rPr>
        <w:t xml:space="preserve"> could be adversely affected.</w:t>
      </w:r>
      <w:r w:rsidR="009734E0" w:rsidRPr="00FC2211">
        <w:rPr>
          <w:rFonts w:cstheme="minorHAnsi"/>
          <w:bCs/>
          <w:szCs w:val="20"/>
          <w:lang w:val="en-CA"/>
        </w:rPr>
        <w:t xml:space="preserve">  These matters result in </w:t>
      </w:r>
      <w:r w:rsidR="00A127DC" w:rsidRPr="00FC2211">
        <w:rPr>
          <w:rFonts w:cstheme="minorHAnsi"/>
          <w:bCs/>
          <w:szCs w:val="20"/>
          <w:lang w:val="en-CA"/>
        </w:rPr>
        <w:t>material uncertainties</w:t>
      </w:r>
      <w:r w:rsidR="00D3433C" w:rsidRPr="00FC2211">
        <w:rPr>
          <w:rFonts w:cstheme="minorHAnsi"/>
          <w:bCs/>
          <w:szCs w:val="20"/>
          <w:lang w:val="en-CA"/>
        </w:rPr>
        <w:t>,</w:t>
      </w:r>
      <w:r w:rsidR="00A127DC" w:rsidRPr="00FC2211">
        <w:rPr>
          <w:rFonts w:cstheme="minorHAnsi"/>
          <w:bCs/>
          <w:szCs w:val="20"/>
          <w:lang w:val="en-CA"/>
        </w:rPr>
        <w:t xml:space="preserve"> which may cast significant doubt on whether the Company will continue as a going concern. </w:t>
      </w:r>
    </w:p>
    <w:p w14:paraId="4F9E63F2" w14:textId="77777777" w:rsidR="00AD6993" w:rsidRPr="00FC2211" w:rsidRDefault="00AD6993" w:rsidP="00475C4F">
      <w:pPr>
        <w:pStyle w:val="NormalWeb"/>
        <w:ind w:left="357"/>
        <w:jc w:val="both"/>
        <w:rPr>
          <w:rFonts w:cstheme="minorHAnsi"/>
          <w:bCs/>
          <w:szCs w:val="20"/>
          <w:lang w:val="en-CA"/>
        </w:rPr>
      </w:pPr>
    </w:p>
    <w:p w14:paraId="5A8B7EC0" w14:textId="77777777" w:rsidR="008F0863" w:rsidRPr="00FC2211" w:rsidRDefault="008F0863" w:rsidP="008C777F">
      <w:pPr>
        <w:tabs>
          <w:tab w:val="left" w:pos="284"/>
        </w:tabs>
        <w:rPr>
          <w:rFonts w:cstheme="minorHAnsi"/>
          <w:b/>
          <w:bCs/>
          <w:szCs w:val="20"/>
        </w:rPr>
      </w:pPr>
      <w:r w:rsidRPr="00FC2211">
        <w:rPr>
          <w:rFonts w:cstheme="minorHAnsi"/>
          <w:b/>
          <w:bCs/>
          <w:szCs w:val="20"/>
        </w:rPr>
        <w:br w:type="page"/>
      </w:r>
    </w:p>
    <w:p w14:paraId="4D76F4DD" w14:textId="7A95A944" w:rsidR="005922C5" w:rsidRPr="00FC2211" w:rsidRDefault="008C777F" w:rsidP="008C777F">
      <w:pPr>
        <w:tabs>
          <w:tab w:val="left" w:pos="284"/>
        </w:tabs>
        <w:rPr>
          <w:rFonts w:cstheme="minorHAnsi"/>
          <w:szCs w:val="20"/>
        </w:rPr>
      </w:pPr>
      <w:r w:rsidRPr="00FC2211">
        <w:rPr>
          <w:rFonts w:cstheme="minorHAnsi"/>
          <w:b/>
          <w:bCs/>
          <w:szCs w:val="20"/>
        </w:rPr>
        <w:lastRenderedPageBreak/>
        <w:t xml:space="preserve">2.  </w:t>
      </w:r>
      <w:r w:rsidRPr="00FC2211">
        <w:rPr>
          <w:rFonts w:cstheme="minorHAnsi"/>
          <w:b/>
          <w:bCs/>
          <w:szCs w:val="20"/>
        </w:rPr>
        <w:tab/>
      </w:r>
      <w:r w:rsidR="005922C5" w:rsidRPr="00FC2211">
        <w:rPr>
          <w:rFonts w:cstheme="minorHAnsi"/>
          <w:b/>
          <w:bCs/>
          <w:szCs w:val="20"/>
        </w:rPr>
        <w:t>BASIS</w:t>
      </w:r>
      <w:r w:rsidR="00450BFC" w:rsidRPr="00FC2211">
        <w:rPr>
          <w:rFonts w:cstheme="minorHAnsi"/>
          <w:b/>
          <w:bCs/>
          <w:szCs w:val="20"/>
        </w:rPr>
        <w:t xml:space="preserve"> </w:t>
      </w:r>
      <w:r w:rsidR="005922C5" w:rsidRPr="00FC2211">
        <w:rPr>
          <w:rFonts w:cstheme="minorHAnsi"/>
          <w:b/>
          <w:bCs/>
          <w:szCs w:val="20"/>
        </w:rPr>
        <w:t>OF</w:t>
      </w:r>
      <w:r w:rsidR="00450BFC" w:rsidRPr="00FC2211">
        <w:rPr>
          <w:rFonts w:cstheme="minorHAnsi"/>
          <w:b/>
          <w:bCs/>
          <w:szCs w:val="20"/>
        </w:rPr>
        <w:t xml:space="preserve"> </w:t>
      </w:r>
      <w:r w:rsidR="007A4A94" w:rsidRPr="00FC2211">
        <w:rPr>
          <w:rFonts w:cstheme="minorHAnsi"/>
          <w:b/>
          <w:bCs/>
          <w:szCs w:val="20"/>
        </w:rPr>
        <w:t xml:space="preserve">CONSOLIDATION AND </w:t>
      </w:r>
      <w:r w:rsidR="005922C5" w:rsidRPr="00FC2211">
        <w:rPr>
          <w:rFonts w:cstheme="minorHAnsi"/>
          <w:b/>
          <w:bCs/>
          <w:szCs w:val="20"/>
        </w:rPr>
        <w:t>PREPARATION</w:t>
      </w:r>
      <w:r w:rsidR="00450BFC" w:rsidRPr="00FC2211">
        <w:rPr>
          <w:rFonts w:cstheme="minorHAnsi"/>
          <w:szCs w:val="20"/>
        </w:rPr>
        <w:t xml:space="preserve"> </w:t>
      </w:r>
    </w:p>
    <w:p w14:paraId="679C92AE" w14:textId="77777777" w:rsidR="00F222A8" w:rsidRPr="00FC2211" w:rsidRDefault="00F222A8" w:rsidP="00F222A8">
      <w:pPr>
        <w:pStyle w:val="NormalWeb"/>
        <w:ind w:left="360"/>
        <w:rPr>
          <w:rFonts w:cstheme="minorHAnsi"/>
          <w:bCs/>
          <w:szCs w:val="20"/>
          <w:lang w:val="en-CA"/>
        </w:rPr>
      </w:pPr>
    </w:p>
    <w:p w14:paraId="7CB41997" w14:textId="77777777" w:rsidR="00FD28F9" w:rsidRPr="00FC2211" w:rsidRDefault="00FD28F9" w:rsidP="00CF6721">
      <w:pPr>
        <w:pStyle w:val="BodyText"/>
        <w:ind w:left="360"/>
        <w:jc w:val="both"/>
        <w:rPr>
          <w:rFonts w:cstheme="minorHAnsi"/>
          <w:bCs/>
          <w:szCs w:val="20"/>
          <w:lang w:val="en-CA"/>
        </w:rPr>
      </w:pPr>
      <w:r w:rsidRPr="00FC2211">
        <w:rPr>
          <w:rFonts w:cstheme="minorHAnsi"/>
          <w:bCs/>
          <w:szCs w:val="20"/>
          <w:lang w:val="en-CA"/>
        </w:rPr>
        <w:t xml:space="preserve">The </w:t>
      </w:r>
      <w:r w:rsidR="001937C9" w:rsidRPr="00FC2211">
        <w:rPr>
          <w:rFonts w:cstheme="minorHAnsi"/>
          <w:bCs/>
          <w:szCs w:val="20"/>
          <w:lang w:val="en-CA"/>
        </w:rPr>
        <w:t>Financial Statements</w:t>
      </w:r>
      <w:r w:rsidRPr="00FC2211">
        <w:rPr>
          <w:rFonts w:cstheme="minorHAnsi"/>
          <w:bCs/>
          <w:szCs w:val="20"/>
          <w:lang w:val="en-CA"/>
        </w:rPr>
        <w:t xml:space="preserve">, including comparatives, have been prepared in accordance with IFRS issued by the International Accounting Standards Board ("IASB") and interpretations of the IFRS Interpretations Committee (“IFRIC”).  </w:t>
      </w:r>
    </w:p>
    <w:p w14:paraId="2446A3C7" w14:textId="3DF4791A" w:rsidR="00FD28F9" w:rsidRPr="00FC2211" w:rsidRDefault="00FD28F9" w:rsidP="00CF6721">
      <w:pPr>
        <w:pStyle w:val="BodyText"/>
        <w:ind w:left="360"/>
        <w:jc w:val="both"/>
        <w:rPr>
          <w:rFonts w:cstheme="minorHAnsi"/>
          <w:bCs/>
          <w:szCs w:val="20"/>
          <w:lang w:val="en-CA"/>
        </w:rPr>
      </w:pPr>
      <w:r w:rsidRPr="00FC2211">
        <w:rPr>
          <w:rFonts w:cstheme="minorHAnsi"/>
          <w:bCs/>
          <w:szCs w:val="20"/>
          <w:lang w:val="en-CA"/>
        </w:rPr>
        <w:t xml:space="preserve">These </w:t>
      </w:r>
      <w:r w:rsidR="001937C9" w:rsidRPr="00FC2211">
        <w:rPr>
          <w:rFonts w:cstheme="minorHAnsi"/>
          <w:bCs/>
          <w:szCs w:val="20"/>
          <w:lang w:val="en-CA"/>
        </w:rPr>
        <w:t>Financial Statements</w:t>
      </w:r>
      <w:r w:rsidRPr="00FC2211">
        <w:rPr>
          <w:rFonts w:cstheme="minorHAnsi"/>
          <w:bCs/>
          <w:szCs w:val="20"/>
          <w:lang w:val="en-CA"/>
        </w:rPr>
        <w:t xml:space="preserve"> have been prepared on a historical cost basis except for certain financial instruments</w:t>
      </w:r>
      <w:r w:rsidR="00D3433C" w:rsidRPr="00FC2211">
        <w:rPr>
          <w:rFonts w:cstheme="minorHAnsi"/>
          <w:bCs/>
          <w:szCs w:val="20"/>
          <w:lang w:val="en-CA"/>
        </w:rPr>
        <w:t>,</w:t>
      </w:r>
      <w:r w:rsidRPr="00FC2211">
        <w:rPr>
          <w:rFonts w:cstheme="minorHAnsi"/>
          <w:bCs/>
          <w:szCs w:val="20"/>
          <w:lang w:val="en-CA"/>
        </w:rPr>
        <w:t xml:space="preserve"> measured at fair value. In addition, the</w:t>
      </w:r>
      <w:r w:rsidR="004B5AFC" w:rsidRPr="00FC2211">
        <w:rPr>
          <w:rFonts w:cstheme="minorHAnsi"/>
          <w:bCs/>
          <w:szCs w:val="20"/>
          <w:lang w:val="en-CA"/>
        </w:rPr>
        <w:t xml:space="preserve">se </w:t>
      </w:r>
      <w:r w:rsidR="001937C9" w:rsidRPr="00FC2211">
        <w:rPr>
          <w:rFonts w:cstheme="minorHAnsi"/>
          <w:bCs/>
          <w:szCs w:val="20"/>
          <w:lang w:val="en-CA"/>
        </w:rPr>
        <w:t>Financial Statements</w:t>
      </w:r>
      <w:r w:rsidRPr="00FC2211">
        <w:rPr>
          <w:rFonts w:cstheme="minorHAnsi"/>
          <w:bCs/>
          <w:szCs w:val="20"/>
          <w:lang w:val="en-CA"/>
        </w:rPr>
        <w:t xml:space="preserve"> have been prepared using the accrual basis of accounting, except for the cash flow information.</w:t>
      </w:r>
    </w:p>
    <w:p w14:paraId="4505CEC0" w14:textId="416D28D1" w:rsidR="00675D0F" w:rsidRPr="00FC2211" w:rsidRDefault="00675D0F" w:rsidP="00CF6721">
      <w:pPr>
        <w:pStyle w:val="NormalWeb"/>
        <w:ind w:left="360"/>
        <w:jc w:val="both"/>
        <w:rPr>
          <w:rFonts w:cstheme="minorHAnsi"/>
          <w:bCs/>
          <w:szCs w:val="20"/>
          <w:lang w:val="en-CA"/>
        </w:rPr>
      </w:pPr>
      <w:r w:rsidRPr="00FC2211">
        <w:rPr>
          <w:rFonts w:cstheme="minorHAnsi"/>
          <w:bCs/>
          <w:szCs w:val="20"/>
          <w:lang w:val="en-CA"/>
        </w:rPr>
        <w:t>The</w:t>
      </w:r>
      <w:r w:rsidR="003A061E" w:rsidRPr="00FC2211">
        <w:rPr>
          <w:rFonts w:cstheme="minorHAnsi"/>
          <w:bCs/>
          <w:szCs w:val="20"/>
          <w:lang w:val="en-CA"/>
        </w:rPr>
        <w:t>se</w:t>
      </w:r>
      <w:r w:rsidRPr="00FC2211">
        <w:rPr>
          <w:rFonts w:cstheme="minorHAnsi"/>
          <w:bCs/>
          <w:szCs w:val="20"/>
          <w:lang w:val="en-CA"/>
        </w:rPr>
        <w:t xml:space="preserve"> </w:t>
      </w:r>
      <w:r w:rsidR="001937C9" w:rsidRPr="00FC2211">
        <w:rPr>
          <w:rFonts w:cstheme="minorHAnsi"/>
          <w:bCs/>
          <w:szCs w:val="20"/>
          <w:lang w:val="en-CA"/>
        </w:rPr>
        <w:t>Financial Statements</w:t>
      </w:r>
      <w:r w:rsidR="00A80CD2" w:rsidRPr="00FC2211">
        <w:rPr>
          <w:rFonts w:cstheme="minorHAnsi"/>
          <w:bCs/>
          <w:szCs w:val="20"/>
          <w:lang w:val="en-CA"/>
        </w:rPr>
        <w:t xml:space="preserve"> </w:t>
      </w:r>
      <w:r w:rsidR="66C10E5F" w:rsidRPr="00FC2211">
        <w:rPr>
          <w:rFonts w:cstheme="minorHAnsi"/>
          <w:szCs w:val="20"/>
          <w:lang w:val="en-CA"/>
        </w:rPr>
        <w:t xml:space="preserve">were </w:t>
      </w:r>
      <w:r w:rsidRPr="00FC2211">
        <w:rPr>
          <w:rFonts w:cstheme="minorHAnsi"/>
          <w:bCs/>
          <w:szCs w:val="20"/>
          <w:lang w:val="en-CA"/>
        </w:rPr>
        <w:t>authorized for issue by the Board of Directors on</w:t>
      </w:r>
      <w:r w:rsidR="005038DD" w:rsidRPr="00FC2211">
        <w:rPr>
          <w:rFonts w:cstheme="minorHAnsi"/>
          <w:szCs w:val="20"/>
          <w:lang w:val="en-CA"/>
        </w:rPr>
        <w:t xml:space="preserve"> </w:t>
      </w:r>
      <w:r w:rsidR="00270E63" w:rsidRPr="00FC2211">
        <w:rPr>
          <w:rFonts w:cstheme="minorHAnsi"/>
          <w:szCs w:val="20"/>
          <w:lang w:val="en-CA"/>
        </w:rPr>
        <w:t>February 22</w:t>
      </w:r>
      <w:r w:rsidR="00054B4E" w:rsidRPr="00FC2211">
        <w:rPr>
          <w:rFonts w:cstheme="minorHAnsi"/>
          <w:bCs/>
          <w:szCs w:val="20"/>
          <w:lang w:val="en-CA"/>
        </w:rPr>
        <w:t xml:space="preserve">, </w:t>
      </w:r>
      <w:r w:rsidR="008A0128" w:rsidRPr="00FC2211">
        <w:rPr>
          <w:rFonts w:cstheme="minorHAnsi"/>
          <w:bCs/>
          <w:szCs w:val="20"/>
          <w:lang w:val="en-CA"/>
        </w:rPr>
        <w:t>202</w:t>
      </w:r>
      <w:r w:rsidR="00ED1B16" w:rsidRPr="00FC2211">
        <w:rPr>
          <w:rFonts w:cstheme="minorHAnsi"/>
          <w:bCs/>
          <w:szCs w:val="20"/>
          <w:lang w:val="en-CA"/>
        </w:rPr>
        <w:t>4</w:t>
      </w:r>
      <w:r w:rsidRPr="00FC2211">
        <w:rPr>
          <w:rFonts w:cstheme="minorHAnsi"/>
          <w:bCs/>
          <w:szCs w:val="20"/>
          <w:lang w:val="en-CA"/>
        </w:rPr>
        <w:t>.</w:t>
      </w:r>
    </w:p>
    <w:p w14:paraId="0AD98434" w14:textId="77777777" w:rsidR="00837693" w:rsidRPr="00FC2211" w:rsidRDefault="00837693" w:rsidP="00CF6721">
      <w:pPr>
        <w:pStyle w:val="NormalWeb"/>
        <w:ind w:left="284" w:firstLine="76"/>
        <w:jc w:val="both"/>
        <w:rPr>
          <w:rFonts w:cstheme="minorHAnsi"/>
          <w:bCs/>
          <w:szCs w:val="20"/>
          <w:lang w:val="en-CA"/>
        </w:rPr>
      </w:pPr>
    </w:p>
    <w:p w14:paraId="55B17A4F" w14:textId="1069D6F5" w:rsidR="00675D0F" w:rsidRPr="00FC2211" w:rsidRDefault="00600AC3" w:rsidP="00CF6721">
      <w:pPr>
        <w:pStyle w:val="NormalWeb"/>
        <w:ind w:left="360"/>
        <w:jc w:val="both"/>
        <w:rPr>
          <w:rFonts w:cstheme="minorHAnsi"/>
          <w:bCs/>
          <w:szCs w:val="20"/>
          <w:lang w:val="en-CA"/>
        </w:rPr>
      </w:pPr>
      <w:r w:rsidRPr="00FC2211">
        <w:rPr>
          <w:rFonts w:cstheme="minorHAnsi"/>
          <w:bCs/>
          <w:szCs w:val="20"/>
          <w:lang w:val="en-CA"/>
        </w:rPr>
        <w:t>The</w:t>
      </w:r>
      <w:r w:rsidR="003A061E" w:rsidRPr="00FC2211">
        <w:rPr>
          <w:rFonts w:cstheme="minorHAnsi"/>
          <w:bCs/>
          <w:szCs w:val="20"/>
          <w:lang w:val="en-CA"/>
        </w:rPr>
        <w:t>se</w:t>
      </w:r>
      <w:r w:rsidR="00B24413" w:rsidRPr="00FC2211">
        <w:rPr>
          <w:rFonts w:cstheme="minorHAnsi"/>
          <w:bCs/>
          <w:szCs w:val="20"/>
          <w:lang w:val="en-CA"/>
        </w:rPr>
        <w:t xml:space="preserve"> </w:t>
      </w:r>
      <w:r w:rsidR="001937C9" w:rsidRPr="00FC2211">
        <w:rPr>
          <w:rFonts w:cstheme="minorHAnsi"/>
          <w:bCs/>
          <w:szCs w:val="20"/>
          <w:lang w:val="en-CA"/>
        </w:rPr>
        <w:t>Financial Statements</w:t>
      </w:r>
      <w:r w:rsidR="003A7974" w:rsidRPr="00FC2211">
        <w:rPr>
          <w:rFonts w:cstheme="minorHAnsi"/>
          <w:bCs/>
          <w:szCs w:val="20"/>
          <w:lang w:val="en-CA"/>
        </w:rPr>
        <w:t>, except as otherwise stated,</w:t>
      </w:r>
      <w:r w:rsidR="00B24413" w:rsidRPr="00FC2211">
        <w:rPr>
          <w:rFonts w:cstheme="minorHAnsi"/>
          <w:bCs/>
          <w:szCs w:val="20"/>
          <w:lang w:val="en-CA"/>
        </w:rPr>
        <w:t xml:space="preserve"> are presented in Canadian dollars and include the accounts of the Company and its wholly-owned subsidiaries, each having a Canadian functional currency.  </w:t>
      </w:r>
    </w:p>
    <w:p w14:paraId="14AE041D" w14:textId="77777777" w:rsidR="00B24413" w:rsidRPr="00FC2211" w:rsidRDefault="00B24413" w:rsidP="00C379E4">
      <w:pPr>
        <w:pStyle w:val="NormalWeb"/>
        <w:ind w:left="360"/>
        <w:rPr>
          <w:rFonts w:cstheme="minorHAnsi"/>
          <w:bCs/>
          <w:szCs w:val="20"/>
          <w:lang w:val="en-CA"/>
        </w:rPr>
      </w:pPr>
    </w:p>
    <w:tbl>
      <w:tblPr>
        <w:tblStyle w:val="TableGrid"/>
        <w:tblW w:w="4771" w:type="pct"/>
        <w:tblInd w:w="426" w:type="dxa"/>
        <w:tblLayout w:type="fixed"/>
        <w:tblLook w:val="04A0" w:firstRow="1" w:lastRow="0" w:firstColumn="1" w:lastColumn="0" w:noHBand="0" w:noVBand="1"/>
      </w:tblPr>
      <w:tblGrid>
        <w:gridCol w:w="2695"/>
        <w:gridCol w:w="1842"/>
        <w:gridCol w:w="2460"/>
        <w:gridCol w:w="1934"/>
      </w:tblGrid>
      <w:tr w:rsidR="0092726A" w:rsidRPr="00FC2211" w14:paraId="5D0DF794" w14:textId="77777777" w:rsidTr="00940887">
        <w:tc>
          <w:tcPr>
            <w:tcW w:w="1509" w:type="pct"/>
            <w:tcBorders>
              <w:top w:val="single" w:sz="8" w:space="0" w:color="auto"/>
              <w:left w:val="nil"/>
              <w:bottom w:val="single" w:sz="4" w:space="0" w:color="auto"/>
              <w:right w:val="nil"/>
            </w:tcBorders>
            <w:vAlign w:val="bottom"/>
          </w:tcPr>
          <w:p w14:paraId="72E09716" w14:textId="77777777" w:rsidR="0092726A" w:rsidRPr="00FC2211" w:rsidRDefault="0092726A" w:rsidP="008E2043">
            <w:pPr>
              <w:jc w:val="center"/>
              <w:rPr>
                <w:rFonts w:cstheme="minorHAnsi"/>
                <w:b/>
                <w:bCs/>
                <w:szCs w:val="20"/>
                <w:lang w:val="en-CA"/>
              </w:rPr>
            </w:pPr>
            <w:r w:rsidRPr="00FC2211">
              <w:rPr>
                <w:rFonts w:cstheme="minorHAnsi"/>
                <w:b/>
                <w:bCs/>
                <w:szCs w:val="20"/>
                <w:lang w:val="en-CA"/>
              </w:rPr>
              <w:t>Entity</w:t>
            </w:r>
          </w:p>
        </w:tc>
        <w:tc>
          <w:tcPr>
            <w:tcW w:w="1031" w:type="pct"/>
            <w:tcBorders>
              <w:top w:val="single" w:sz="8" w:space="0" w:color="auto"/>
              <w:left w:val="nil"/>
              <w:bottom w:val="single" w:sz="4" w:space="0" w:color="auto"/>
              <w:right w:val="nil"/>
            </w:tcBorders>
          </w:tcPr>
          <w:p w14:paraId="2D111CEE" w14:textId="77777777" w:rsidR="0092726A" w:rsidRPr="00FC2211" w:rsidRDefault="0092726A" w:rsidP="008E2043">
            <w:pPr>
              <w:ind w:left="-15"/>
              <w:jc w:val="center"/>
              <w:rPr>
                <w:rFonts w:cstheme="minorHAnsi"/>
                <w:b/>
                <w:bCs/>
                <w:szCs w:val="20"/>
                <w:lang w:val="en-CA"/>
              </w:rPr>
            </w:pPr>
            <w:r w:rsidRPr="00FC2211">
              <w:rPr>
                <w:rFonts w:cstheme="minorHAnsi"/>
                <w:b/>
                <w:bCs/>
                <w:szCs w:val="20"/>
                <w:lang w:val="en-CA"/>
              </w:rPr>
              <w:t>Parent</w:t>
            </w:r>
          </w:p>
        </w:tc>
        <w:tc>
          <w:tcPr>
            <w:tcW w:w="1377" w:type="pct"/>
            <w:tcBorders>
              <w:top w:val="single" w:sz="8" w:space="0" w:color="auto"/>
              <w:left w:val="nil"/>
              <w:bottom w:val="single" w:sz="4" w:space="0" w:color="auto"/>
              <w:right w:val="nil"/>
            </w:tcBorders>
            <w:vAlign w:val="bottom"/>
          </w:tcPr>
          <w:p w14:paraId="048FACB5" w14:textId="77777777" w:rsidR="0092726A" w:rsidRPr="00FC2211" w:rsidRDefault="0092726A" w:rsidP="008E2043">
            <w:pPr>
              <w:ind w:left="-15"/>
              <w:jc w:val="center"/>
              <w:rPr>
                <w:rFonts w:cstheme="minorHAnsi"/>
                <w:b/>
                <w:bCs/>
                <w:szCs w:val="20"/>
                <w:lang w:val="en-CA"/>
              </w:rPr>
            </w:pPr>
            <w:r w:rsidRPr="00FC2211">
              <w:rPr>
                <w:rFonts w:cstheme="minorHAnsi"/>
                <w:b/>
                <w:bCs/>
                <w:szCs w:val="20"/>
                <w:lang w:val="en-CA"/>
              </w:rPr>
              <w:t>Country of Incorporation</w:t>
            </w:r>
          </w:p>
        </w:tc>
        <w:tc>
          <w:tcPr>
            <w:tcW w:w="1083" w:type="pct"/>
            <w:tcBorders>
              <w:top w:val="single" w:sz="8" w:space="0" w:color="auto"/>
              <w:left w:val="nil"/>
              <w:bottom w:val="single" w:sz="4" w:space="0" w:color="auto"/>
              <w:right w:val="nil"/>
            </w:tcBorders>
            <w:vAlign w:val="bottom"/>
          </w:tcPr>
          <w:p w14:paraId="16E151DB" w14:textId="77777777" w:rsidR="0092726A" w:rsidRPr="00FC2211" w:rsidRDefault="0092726A" w:rsidP="008E2043">
            <w:pPr>
              <w:jc w:val="center"/>
              <w:rPr>
                <w:rFonts w:cstheme="minorHAnsi"/>
                <w:b/>
                <w:bCs/>
                <w:szCs w:val="20"/>
                <w:lang w:val="en-CA"/>
              </w:rPr>
            </w:pPr>
            <w:r w:rsidRPr="00FC2211">
              <w:rPr>
                <w:rFonts w:cstheme="minorHAnsi"/>
                <w:b/>
                <w:bCs/>
                <w:szCs w:val="20"/>
                <w:lang w:val="en-CA"/>
              </w:rPr>
              <w:t>Effective Interest</w:t>
            </w:r>
          </w:p>
        </w:tc>
      </w:tr>
      <w:tr w:rsidR="0092726A" w:rsidRPr="00FC2211" w14:paraId="67F7644D" w14:textId="77777777" w:rsidTr="00940887">
        <w:tc>
          <w:tcPr>
            <w:tcW w:w="1509" w:type="pct"/>
            <w:tcBorders>
              <w:top w:val="single" w:sz="4" w:space="0" w:color="auto"/>
              <w:left w:val="nil"/>
              <w:bottom w:val="nil"/>
              <w:right w:val="nil"/>
            </w:tcBorders>
          </w:tcPr>
          <w:p w14:paraId="7BDFCB5E" w14:textId="77777777" w:rsidR="0092726A" w:rsidRPr="00FC2211" w:rsidRDefault="0092726A" w:rsidP="008E2043">
            <w:pPr>
              <w:rPr>
                <w:rFonts w:cstheme="minorHAnsi"/>
                <w:szCs w:val="20"/>
              </w:rPr>
            </w:pPr>
            <w:r w:rsidRPr="00FC2211">
              <w:rPr>
                <w:rFonts w:cstheme="minorHAnsi"/>
                <w:szCs w:val="20"/>
              </w:rPr>
              <w:t xml:space="preserve">INEO Solutions Inc. </w:t>
            </w:r>
          </w:p>
        </w:tc>
        <w:tc>
          <w:tcPr>
            <w:tcW w:w="1031" w:type="pct"/>
            <w:tcBorders>
              <w:top w:val="single" w:sz="4" w:space="0" w:color="auto"/>
              <w:left w:val="nil"/>
              <w:bottom w:val="nil"/>
              <w:right w:val="nil"/>
            </w:tcBorders>
          </w:tcPr>
          <w:p w14:paraId="5389D6D9" w14:textId="77777777" w:rsidR="0092726A" w:rsidRPr="00FC2211" w:rsidRDefault="0092726A" w:rsidP="008E2043">
            <w:pPr>
              <w:ind w:left="-15"/>
              <w:jc w:val="center"/>
              <w:rPr>
                <w:rFonts w:cstheme="minorHAnsi"/>
                <w:bCs/>
                <w:szCs w:val="20"/>
                <w:lang w:val="en-CA"/>
              </w:rPr>
            </w:pPr>
            <w:r w:rsidRPr="00FC2211">
              <w:rPr>
                <w:rFonts w:cstheme="minorHAnsi"/>
                <w:bCs/>
                <w:szCs w:val="20"/>
                <w:lang w:val="en-CA"/>
              </w:rPr>
              <w:t>INEO Tech Corp.</w:t>
            </w:r>
          </w:p>
        </w:tc>
        <w:tc>
          <w:tcPr>
            <w:tcW w:w="1377" w:type="pct"/>
            <w:tcBorders>
              <w:top w:val="single" w:sz="4" w:space="0" w:color="auto"/>
              <w:left w:val="nil"/>
              <w:bottom w:val="nil"/>
              <w:right w:val="nil"/>
            </w:tcBorders>
          </w:tcPr>
          <w:p w14:paraId="6A042CDA" w14:textId="77777777" w:rsidR="0092726A" w:rsidRPr="00FC2211" w:rsidRDefault="001D4228" w:rsidP="008E2043">
            <w:pPr>
              <w:ind w:left="-15"/>
              <w:jc w:val="center"/>
              <w:rPr>
                <w:rFonts w:cstheme="minorHAnsi"/>
                <w:bCs/>
                <w:szCs w:val="20"/>
                <w:lang w:val="en-CA"/>
              </w:rPr>
            </w:pPr>
            <w:r w:rsidRPr="00FC2211">
              <w:rPr>
                <w:rFonts w:cstheme="minorHAnsi"/>
                <w:bCs/>
                <w:szCs w:val="20"/>
                <w:lang w:val="en-CA"/>
              </w:rPr>
              <w:t>Canada</w:t>
            </w:r>
          </w:p>
        </w:tc>
        <w:tc>
          <w:tcPr>
            <w:tcW w:w="1083" w:type="pct"/>
            <w:tcBorders>
              <w:top w:val="single" w:sz="4" w:space="0" w:color="auto"/>
              <w:left w:val="nil"/>
              <w:bottom w:val="nil"/>
              <w:right w:val="nil"/>
            </w:tcBorders>
          </w:tcPr>
          <w:p w14:paraId="3D39A839" w14:textId="77777777" w:rsidR="0092726A" w:rsidRPr="00FC2211" w:rsidRDefault="001D4228" w:rsidP="008E2043">
            <w:pPr>
              <w:jc w:val="center"/>
              <w:rPr>
                <w:rFonts w:cstheme="minorHAnsi"/>
                <w:bCs/>
                <w:szCs w:val="20"/>
                <w:lang w:val="en-CA"/>
              </w:rPr>
            </w:pPr>
            <w:r w:rsidRPr="00FC2211">
              <w:rPr>
                <w:rFonts w:cstheme="minorHAnsi"/>
                <w:bCs/>
                <w:szCs w:val="20"/>
                <w:lang w:val="en-CA"/>
              </w:rPr>
              <w:t>100%</w:t>
            </w:r>
          </w:p>
        </w:tc>
      </w:tr>
      <w:tr w:rsidR="0092726A" w:rsidRPr="00FC2211" w14:paraId="085F42A7" w14:textId="77777777" w:rsidTr="00940887">
        <w:tc>
          <w:tcPr>
            <w:tcW w:w="1509" w:type="pct"/>
            <w:tcBorders>
              <w:top w:val="nil"/>
              <w:left w:val="nil"/>
              <w:bottom w:val="single" w:sz="8" w:space="0" w:color="auto"/>
              <w:right w:val="nil"/>
            </w:tcBorders>
          </w:tcPr>
          <w:p w14:paraId="18CFD6C3" w14:textId="77777777" w:rsidR="0092726A" w:rsidRPr="00FC2211" w:rsidRDefault="0092726A" w:rsidP="008E2043">
            <w:pPr>
              <w:rPr>
                <w:rFonts w:cstheme="minorHAnsi"/>
                <w:szCs w:val="20"/>
              </w:rPr>
            </w:pPr>
            <w:r w:rsidRPr="00FC2211">
              <w:rPr>
                <w:rFonts w:cstheme="minorHAnsi"/>
                <w:szCs w:val="20"/>
              </w:rPr>
              <w:t>FG Manufacturing Inc. (“FG”)</w:t>
            </w:r>
          </w:p>
        </w:tc>
        <w:tc>
          <w:tcPr>
            <w:tcW w:w="1031" w:type="pct"/>
            <w:tcBorders>
              <w:top w:val="nil"/>
              <w:left w:val="nil"/>
              <w:bottom w:val="single" w:sz="8" w:space="0" w:color="auto"/>
              <w:right w:val="nil"/>
            </w:tcBorders>
          </w:tcPr>
          <w:p w14:paraId="786EA2D2" w14:textId="77777777" w:rsidR="0092726A" w:rsidRPr="00FC2211" w:rsidRDefault="0092726A" w:rsidP="008E2043">
            <w:pPr>
              <w:ind w:left="-15"/>
              <w:jc w:val="center"/>
              <w:rPr>
                <w:rFonts w:cstheme="minorHAnsi"/>
                <w:bCs/>
                <w:szCs w:val="20"/>
                <w:lang w:val="en-CA"/>
              </w:rPr>
            </w:pPr>
            <w:r w:rsidRPr="00FC2211">
              <w:rPr>
                <w:rFonts w:cstheme="minorHAnsi"/>
                <w:bCs/>
                <w:szCs w:val="20"/>
                <w:lang w:val="en-CA"/>
              </w:rPr>
              <w:t>INEO Solutions Inc.</w:t>
            </w:r>
          </w:p>
        </w:tc>
        <w:tc>
          <w:tcPr>
            <w:tcW w:w="1377" w:type="pct"/>
            <w:tcBorders>
              <w:top w:val="nil"/>
              <w:left w:val="nil"/>
              <w:bottom w:val="single" w:sz="8" w:space="0" w:color="auto"/>
              <w:right w:val="nil"/>
            </w:tcBorders>
          </w:tcPr>
          <w:p w14:paraId="47694408" w14:textId="77777777" w:rsidR="0092726A" w:rsidRPr="00FC2211" w:rsidRDefault="0092726A" w:rsidP="008E2043">
            <w:pPr>
              <w:ind w:left="-15"/>
              <w:jc w:val="center"/>
              <w:rPr>
                <w:rFonts w:cstheme="minorHAnsi"/>
                <w:bCs/>
                <w:szCs w:val="20"/>
                <w:lang w:val="en-CA"/>
              </w:rPr>
            </w:pPr>
            <w:r w:rsidRPr="00FC2211">
              <w:rPr>
                <w:rFonts w:cstheme="minorHAnsi"/>
                <w:bCs/>
                <w:szCs w:val="20"/>
                <w:lang w:val="en-CA"/>
              </w:rPr>
              <w:t>Canada</w:t>
            </w:r>
          </w:p>
        </w:tc>
        <w:tc>
          <w:tcPr>
            <w:tcW w:w="1083" w:type="pct"/>
            <w:tcBorders>
              <w:top w:val="nil"/>
              <w:left w:val="nil"/>
              <w:bottom w:val="single" w:sz="8" w:space="0" w:color="auto"/>
              <w:right w:val="nil"/>
            </w:tcBorders>
          </w:tcPr>
          <w:p w14:paraId="2C63B68E" w14:textId="77777777" w:rsidR="0092726A" w:rsidRPr="00FC2211" w:rsidRDefault="0092726A" w:rsidP="008E2043">
            <w:pPr>
              <w:jc w:val="center"/>
              <w:rPr>
                <w:rFonts w:cstheme="minorHAnsi"/>
                <w:bCs/>
                <w:szCs w:val="20"/>
                <w:lang w:val="en-CA"/>
              </w:rPr>
            </w:pPr>
            <w:r w:rsidRPr="00FC2211">
              <w:rPr>
                <w:rFonts w:cstheme="minorHAnsi"/>
                <w:bCs/>
                <w:szCs w:val="20"/>
                <w:lang w:val="en-CA"/>
              </w:rPr>
              <w:t>100%</w:t>
            </w:r>
          </w:p>
        </w:tc>
      </w:tr>
    </w:tbl>
    <w:p w14:paraId="498CA4B5" w14:textId="77777777" w:rsidR="006030C6" w:rsidRPr="00FC2211" w:rsidRDefault="006030C6" w:rsidP="006030C6">
      <w:pPr>
        <w:tabs>
          <w:tab w:val="left" w:pos="720"/>
        </w:tabs>
        <w:rPr>
          <w:rFonts w:cstheme="minorHAnsi"/>
          <w:szCs w:val="20"/>
        </w:rPr>
      </w:pPr>
    </w:p>
    <w:p w14:paraId="33979BC1" w14:textId="66D6B33C" w:rsidR="00427D66" w:rsidRPr="00FC2211" w:rsidRDefault="00427D66" w:rsidP="00940887">
      <w:pPr>
        <w:pStyle w:val="BodyText"/>
        <w:ind w:left="360"/>
        <w:jc w:val="both"/>
        <w:rPr>
          <w:rFonts w:cstheme="minorHAnsi"/>
          <w:bCs/>
          <w:szCs w:val="20"/>
          <w:lang w:val="en-CA"/>
        </w:rPr>
      </w:pPr>
      <w:r w:rsidRPr="00FC2211">
        <w:rPr>
          <w:rFonts w:cstheme="minorHAnsi"/>
          <w:bCs/>
          <w:szCs w:val="20"/>
          <w:lang w:val="en-CA"/>
        </w:rPr>
        <w:t>The</w:t>
      </w:r>
      <w:r w:rsidR="00223539" w:rsidRPr="00FC2211">
        <w:rPr>
          <w:rFonts w:cstheme="minorHAnsi"/>
          <w:bCs/>
          <w:szCs w:val="20"/>
          <w:lang w:val="en-CA"/>
        </w:rPr>
        <w:t>se</w:t>
      </w:r>
      <w:r w:rsidR="004B5AFC" w:rsidRPr="00FC2211">
        <w:rPr>
          <w:rFonts w:cstheme="minorHAnsi"/>
          <w:bCs/>
          <w:szCs w:val="20"/>
          <w:lang w:val="en-CA"/>
        </w:rPr>
        <w:t xml:space="preserve"> </w:t>
      </w:r>
      <w:r w:rsidR="001937C9" w:rsidRPr="00FC2211">
        <w:rPr>
          <w:rFonts w:cstheme="minorHAnsi"/>
          <w:bCs/>
          <w:szCs w:val="20"/>
          <w:lang w:val="en-CA"/>
        </w:rPr>
        <w:t>Financial Statements</w:t>
      </w:r>
      <w:r w:rsidRPr="00FC2211">
        <w:rPr>
          <w:rFonts w:cstheme="minorHAnsi"/>
          <w:bCs/>
          <w:szCs w:val="20"/>
          <w:lang w:val="en-CA"/>
        </w:rPr>
        <w:t xml:space="preserve"> include the accounts of the Company and its subsidiaries of which it has control. All intercompany balances, transactions</w:t>
      </w:r>
      <w:r w:rsidR="003A7974" w:rsidRPr="00FC2211">
        <w:rPr>
          <w:rFonts w:cstheme="minorHAnsi"/>
          <w:bCs/>
          <w:szCs w:val="20"/>
          <w:lang w:val="en-CA"/>
        </w:rPr>
        <w:t>,</w:t>
      </w:r>
      <w:r w:rsidRPr="00FC2211">
        <w:rPr>
          <w:rFonts w:cstheme="minorHAnsi"/>
          <w:bCs/>
          <w:szCs w:val="20"/>
          <w:lang w:val="en-CA"/>
        </w:rPr>
        <w:t xml:space="preserve"> and any unrealized gains and losses arising from intercompany transactions have been eliminated.</w:t>
      </w:r>
    </w:p>
    <w:p w14:paraId="5A3F1972" w14:textId="77777777" w:rsidR="00427D66" w:rsidRPr="00FC2211" w:rsidRDefault="00427D66" w:rsidP="00C243A5">
      <w:pPr>
        <w:tabs>
          <w:tab w:val="left" w:pos="720"/>
        </w:tabs>
        <w:rPr>
          <w:rFonts w:cstheme="minorHAnsi"/>
          <w:szCs w:val="20"/>
        </w:rPr>
      </w:pPr>
    </w:p>
    <w:p w14:paraId="41C01E8E" w14:textId="77777777" w:rsidR="00631F39" w:rsidRPr="00FC2211" w:rsidRDefault="0067698F" w:rsidP="00C243A5">
      <w:pPr>
        <w:widowControl w:val="0"/>
        <w:autoSpaceDE w:val="0"/>
        <w:autoSpaceDN w:val="0"/>
        <w:ind w:left="360"/>
        <w:outlineLvl w:val="1"/>
        <w:rPr>
          <w:rFonts w:eastAsia="Calibri" w:cstheme="minorHAnsi"/>
          <w:b/>
          <w:bCs/>
          <w:szCs w:val="20"/>
        </w:rPr>
      </w:pPr>
      <w:r w:rsidRPr="00FC2211">
        <w:rPr>
          <w:rFonts w:eastAsia="Calibri" w:cstheme="minorHAnsi"/>
          <w:b/>
          <w:bCs/>
          <w:szCs w:val="20"/>
        </w:rPr>
        <w:t xml:space="preserve"> </w:t>
      </w:r>
      <w:r w:rsidR="00631F39" w:rsidRPr="00FC2211">
        <w:rPr>
          <w:rFonts w:eastAsia="Calibri" w:cstheme="minorHAnsi"/>
          <w:b/>
          <w:bCs/>
          <w:szCs w:val="20"/>
        </w:rPr>
        <w:t>Use of estimates and judgments</w:t>
      </w:r>
    </w:p>
    <w:p w14:paraId="0260F5E5" w14:textId="77777777" w:rsidR="00631F39" w:rsidRPr="00FC2211" w:rsidRDefault="00631F39" w:rsidP="00C243A5">
      <w:pPr>
        <w:widowControl w:val="0"/>
        <w:autoSpaceDE w:val="0"/>
        <w:autoSpaceDN w:val="0"/>
        <w:rPr>
          <w:rFonts w:eastAsia="Calibri" w:cstheme="minorHAnsi"/>
          <w:b/>
          <w:szCs w:val="20"/>
        </w:rPr>
      </w:pPr>
    </w:p>
    <w:p w14:paraId="5CC61088" w14:textId="6B36662F" w:rsidR="00120548" w:rsidRPr="00FC2211" w:rsidRDefault="00631F39" w:rsidP="009D7FED">
      <w:pPr>
        <w:widowControl w:val="0"/>
        <w:autoSpaceDE w:val="0"/>
        <w:autoSpaceDN w:val="0"/>
        <w:ind w:left="432" w:right="4"/>
        <w:jc w:val="both"/>
        <w:rPr>
          <w:rFonts w:eastAsia="Calibri" w:cstheme="minorHAnsi"/>
          <w:szCs w:val="20"/>
        </w:rPr>
      </w:pPr>
      <w:r w:rsidRPr="00FC2211">
        <w:rPr>
          <w:rFonts w:eastAsia="Calibri" w:cstheme="minorHAnsi"/>
          <w:szCs w:val="20"/>
        </w:rPr>
        <w:t>The preparation of</w:t>
      </w:r>
      <w:r w:rsidR="00D73F43" w:rsidRPr="00FC2211">
        <w:rPr>
          <w:rFonts w:eastAsia="Calibri" w:cstheme="minorHAnsi"/>
          <w:szCs w:val="20"/>
        </w:rPr>
        <w:t xml:space="preserve"> </w:t>
      </w:r>
      <w:r w:rsidR="00283514" w:rsidRPr="00FC2211">
        <w:rPr>
          <w:rFonts w:eastAsia="Calibri" w:cstheme="minorHAnsi"/>
          <w:szCs w:val="20"/>
        </w:rPr>
        <w:t>the</w:t>
      </w:r>
      <w:r w:rsidR="003A061E" w:rsidRPr="00FC2211">
        <w:rPr>
          <w:rFonts w:eastAsia="Calibri" w:cstheme="minorHAnsi"/>
          <w:szCs w:val="20"/>
        </w:rPr>
        <w:t>se</w:t>
      </w:r>
      <w:r w:rsidR="00283514" w:rsidRPr="00FC2211">
        <w:rPr>
          <w:rFonts w:eastAsia="Calibri" w:cstheme="minorHAnsi"/>
          <w:szCs w:val="20"/>
        </w:rPr>
        <w:t xml:space="preserve"> </w:t>
      </w:r>
      <w:r w:rsidR="001937C9" w:rsidRPr="00FC2211">
        <w:rPr>
          <w:rFonts w:eastAsia="Calibri" w:cstheme="minorHAnsi"/>
          <w:szCs w:val="20"/>
        </w:rPr>
        <w:t>Financial Statements</w:t>
      </w:r>
      <w:r w:rsidRPr="00FC2211">
        <w:rPr>
          <w:rFonts w:eastAsia="Calibri" w:cstheme="minorHAnsi"/>
          <w:szCs w:val="20"/>
        </w:rPr>
        <w:t xml:space="preserve"> requires management to make judgments, estimates</w:t>
      </w:r>
      <w:r w:rsidR="00F8663B" w:rsidRPr="00FC2211">
        <w:rPr>
          <w:rFonts w:eastAsia="Calibri" w:cstheme="minorHAnsi"/>
          <w:szCs w:val="20"/>
        </w:rPr>
        <w:t>,</w:t>
      </w:r>
      <w:r w:rsidRPr="00FC2211">
        <w:rPr>
          <w:rFonts w:eastAsia="Calibri" w:cstheme="minorHAnsi"/>
          <w:szCs w:val="20"/>
        </w:rPr>
        <w:t xml:space="preserve"> and assumptions that affect the application of policies and reported amounts of assets, liabilities, </w:t>
      </w:r>
      <w:r w:rsidR="009D7FED" w:rsidRPr="00FC2211">
        <w:rPr>
          <w:rFonts w:eastAsia="Calibri" w:cstheme="minorHAnsi"/>
          <w:szCs w:val="20"/>
        </w:rPr>
        <w:t>revenues,</w:t>
      </w:r>
      <w:r w:rsidRPr="00FC2211">
        <w:rPr>
          <w:rFonts w:eastAsia="Calibri" w:cstheme="minorHAnsi"/>
          <w:szCs w:val="20"/>
        </w:rPr>
        <w:t xml:space="preserve"> and expenses. Estimates and associated assumptions applied in determining asset or liability values are based on historical experience and various other factors</w:t>
      </w:r>
      <w:r w:rsidR="00D3433C" w:rsidRPr="00FC2211">
        <w:rPr>
          <w:rFonts w:eastAsia="Calibri" w:cstheme="minorHAnsi"/>
          <w:szCs w:val="20"/>
        </w:rPr>
        <w:t>,</w:t>
      </w:r>
      <w:r w:rsidRPr="00FC2211">
        <w:rPr>
          <w:rFonts w:eastAsia="Calibri" w:cstheme="minorHAnsi"/>
          <w:szCs w:val="20"/>
        </w:rPr>
        <w:t xml:space="preserve"> including other sources that are believed to be reasonable under the circumstances</w:t>
      </w:r>
      <w:r w:rsidRPr="00FC2211">
        <w:rPr>
          <w:rFonts w:eastAsia="Calibri" w:cstheme="minorHAnsi"/>
          <w:spacing w:val="-9"/>
          <w:szCs w:val="20"/>
        </w:rPr>
        <w:t xml:space="preserve"> </w:t>
      </w:r>
      <w:r w:rsidRPr="00FC2211">
        <w:rPr>
          <w:rFonts w:eastAsia="Calibri" w:cstheme="minorHAnsi"/>
          <w:szCs w:val="20"/>
        </w:rPr>
        <w:t>but</w:t>
      </w:r>
      <w:r w:rsidRPr="00FC2211">
        <w:rPr>
          <w:rFonts w:eastAsia="Calibri" w:cstheme="minorHAnsi"/>
          <w:spacing w:val="-8"/>
          <w:szCs w:val="20"/>
        </w:rPr>
        <w:t xml:space="preserve"> </w:t>
      </w:r>
      <w:r w:rsidRPr="00FC2211">
        <w:rPr>
          <w:rFonts w:eastAsia="Calibri" w:cstheme="minorHAnsi"/>
          <w:szCs w:val="20"/>
        </w:rPr>
        <w:t>are</w:t>
      </w:r>
      <w:r w:rsidRPr="00FC2211">
        <w:rPr>
          <w:rFonts w:eastAsia="Calibri" w:cstheme="minorHAnsi"/>
          <w:spacing w:val="-7"/>
          <w:szCs w:val="20"/>
        </w:rPr>
        <w:t xml:space="preserve"> </w:t>
      </w:r>
      <w:r w:rsidRPr="00FC2211">
        <w:rPr>
          <w:rFonts w:eastAsia="Calibri" w:cstheme="minorHAnsi"/>
          <w:szCs w:val="20"/>
        </w:rPr>
        <w:t>not</w:t>
      </w:r>
      <w:r w:rsidRPr="00FC2211">
        <w:rPr>
          <w:rFonts w:eastAsia="Calibri" w:cstheme="minorHAnsi"/>
          <w:spacing w:val="-9"/>
          <w:szCs w:val="20"/>
        </w:rPr>
        <w:t xml:space="preserve"> </w:t>
      </w:r>
      <w:r w:rsidRPr="00FC2211">
        <w:rPr>
          <w:rFonts w:eastAsia="Calibri" w:cstheme="minorHAnsi"/>
          <w:szCs w:val="20"/>
        </w:rPr>
        <w:t>necessarily</w:t>
      </w:r>
      <w:r w:rsidRPr="00FC2211">
        <w:rPr>
          <w:rFonts w:eastAsia="Calibri" w:cstheme="minorHAnsi"/>
          <w:spacing w:val="-7"/>
          <w:szCs w:val="20"/>
        </w:rPr>
        <w:t xml:space="preserve"> </w:t>
      </w:r>
      <w:r w:rsidRPr="00FC2211">
        <w:rPr>
          <w:rFonts w:eastAsia="Calibri" w:cstheme="minorHAnsi"/>
          <w:szCs w:val="20"/>
        </w:rPr>
        <w:t>readily</w:t>
      </w:r>
      <w:r w:rsidRPr="00FC2211">
        <w:rPr>
          <w:rFonts w:eastAsia="Calibri" w:cstheme="minorHAnsi"/>
          <w:spacing w:val="-7"/>
          <w:szCs w:val="20"/>
        </w:rPr>
        <w:t xml:space="preserve"> </w:t>
      </w:r>
      <w:r w:rsidRPr="00FC2211">
        <w:rPr>
          <w:rFonts w:eastAsia="Calibri" w:cstheme="minorHAnsi"/>
          <w:szCs w:val="20"/>
        </w:rPr>
        <w:t>apparent</w:t>
      </w:r>
      <w:r w:rsidRPr="00FC2211">
        <w:rPr>
          <w:rFonts w:eastAsia="Calibri" w:cstheme="minorHAnsi"/>
          <w:spacing w:val="-8"/>
          <w:szCs w:val="20"/>
        </w:rPr>
        <w:t xml:space="preserve"> </w:t>
      </w:r>
      <w:r w:rsidRPr="00FC2211">
        <w:rPr>
          <w:rFonts w:eastAsia="Calibri" w:cstheme="minorHAnsi"/>
          <w:szCs w:val="20"/>
        </w:rPr>
        <w:t>or</w:t>
      </w:r>
      <w:r w:rsidRPr="00FC2211">
        <w:rPr>
          <w:rFonts w:eastAsia="Calibri" w:cstheme="minorHAnsi"/>
          <w:spacing w:val="-7"/>
          <w:szCs w:val="20"/>
        </w:rPr>
        <w:t xml:space="preserve"> </w:t>
      </w:r>
      <w:r w:rsidRPr="00FC2211">
        <w:rPr>
          <w:rFonts w:eastAsia="Calibri" w:cstheme="minorHAnsi"/>
          <w:szCs w:val="20"/>
        </w:rPr>
        <w:t>recognizable</w:t>
      </w:r>
      <w:r w:rsidRPr="00FC2211">
        <w:rPr>
          <w:rFonts w:eastAsia="Calibri" w:cstheme="minorHAnsi"/>
          <w:spacing w:val="-8"/>
          <w:szCs w:val="20"/>
        </w:rPr>
        <w:t xml:space="preserve"> </w:t>
      </w:r>
      <w:r w:rsidR="00D3433C" w:rsidRPr="00FC2211">
        <w:rPr>
          <w:rFonts w:eastAsia="Calibri" w:cstheme="minorHAnsi"/>
          <w:szCs w:val="20"/>
        </w:rPr>
        <w:t>when</w:t>
      </w:r>
      <w:r w:rsidRPr="00FC2211">
        <w:rPr>
          <w:rFonts w:eastAsia="Calibri" w:cstheme="minorHAnsi"/>
          <w:spacing w:val="-7"/>
          <w:szCs w:val="20"/>
        </w:rPr>
        <w:t xml:space="preserve"> </w:t>
      </w:r>
      <w:r w:rsidRPr="00FC2211">
        <w:rPr>
          <w:rFonts w:eastAsia="Calibri" w:cstheme="minorHAnsi"/>
          <w:szCs w:val="20"/>
        </w:rPr>
        <w:t>such</w:t>
      </w:r>
      <w:r w:rsidRPr="00FC2211">
        <w:rPr>
          <w:rFonts w:eastAsia="Calibri" w:cstheme="minorHAnsi"/>
          <w:spacing w:val="-7"/>
          <w:szCs w:val="20"/>
        </w:rPr>
        <w:t xml:space="preserve"> </w:t>
      </w:r>
      <w:r w:rsidRPr="00FC2211">
        <w:rPr>
          <w:rFonts w:eastAsia="Calibri" w:cstheme="minorHAnsi"/>
          <w:szCs w:val="20"/>
        </w:rPr>
        <w:t>estimate</w:t>
      </w:r>
      <w:r w:rsidRPr="00FC2211">
        <w:rPr>
          <w:rFonts w:eastAsia="Calibri" w:cstheme="minorHAnsi"/>
          <w:spacing w:val="-7"/>
          <w:szCs w:val="20"/>
        </w:rPr>
        <w:t xml:space="preserve"> </w:t>
      </w:r>
      <w:r w:rsidRPr="00FC2211">
        <w:rPr>
          <w:rFonts w:eastAsia="Calibri" w:cstheme="minorHAnsi"/>
          <w:szCs w:val="20"/>
        </w:rPr>
        <w:t>or</w:t>
      </w:r>
      <w:r w:rsidRPr="00FC2211">
        <w:rPr>
          <w:rFonts w:eastAsia="Calibri" w:cstheme="minorHAnsi"/>
          <w:spacing w:val="-8"/>
          <w:szCs w:val="20"/>
        </w:rPr>
        <w:t xml:space="preserve"> </w:t>
      </w:r>
      <w:r w:rsidRPr="00FC2211">
        <w:rPr>
          <w:rFonts w:eastAsia="Calibri" w:cstheme="minorHAnsi"/>
          <w:szCs w:val="20"/>
        </w:rPr>
        <w:t>assumption is made. Actual results may differ from these</w:t>
      </w:r>
      <w:r w:rsidRPr="00FC2211">
        <w:rPr>
          <w:rFonts w:eastAsia="Calibri" w:cstheme="minorHAnsi"/>
          <w:spacing w:val="-3"/>
          <w:szCs w:val="20"/>
        </w:rPr>
        <w:t xml:space="preserve"> </w:t>
      </w:r>
      <w:r w:rsidRPr="00FC2211">
        <w:rPr>
          <w:rFonts w:eastAsia="Calibri" w:cstheme="minorHAnsi"/>
          <w:szCs w:val="20"/>
        </w:rPr>
        <w:t>estimates.</w:t>
      </w:r>
    </w:p>
    <w:p w14:paraId="3575100B" w14:textId="77777777" w:rsidR="00AC1CF9" w:rsidRPr="00FC2211" w:rsidRDefault="00AC1CF9" w:rsidP="00F90739">
      <w:pPr>
        <w:rPr>
          <w:rFonts w:eastAsia="Calibri" w:cstheme="minorHAnsi"/>
          <w:szCs w:val="20"/>
        </w:rPr>
      </w:pPr>
    </w:p>
    <w:p w14:paraId="66F55048" w14:textId="77777777" w:rsidR="00AC1CF9" w:rsidRPr="00FC2211" w:rsidRDefault="00AC1CF9" w:rsidP="001A520A">
      <w:pPr>
        <w:widowControl w:val="0"/>
        <w:autoSpaceDE w:val="0"/>
        <w:autoSpaceDN w:val="0"/>
        <w:ind w:left="432" w:right="4"/>
        <w:jc w:val="both"/>
        <w:rPr>
          <w:rFonts w:eastAsia="Calibri" w:cstheme="minorHAnsi"/>
          <w:szCs w:val="20"/>
        </w:rPr>
      </w:pPr>
      <w:r w:rsidRPr="00FC2211">
        <w:rPr>
          <w:rFonts w:eastAsia="Calibri" w:cstheme="minorHAnsi"/>
          <w:szCs w:val="20"/>
        </w:rPr>
        <w:t xml:space="preserve">The information about significant areas of estimation uncertainty considered by management in preparing the </w:t>
      </w:r>
      <w:r w:rsidR="001937C9" w:rsidRPr="00FC2211">
        <w:rPr>
          <w:rFonts w:eastAsia="Calibri" w:cstheme="minorHAnsi"/>
          <w:szCs w:val="20"/>
        </w:rPr>
        <w:t>Financial Statements</w:t>
      </w:r>
      <w:r w:rsidRPr="00FC2211">
        <w:rPr>
          <w:rFonts w:eastAsia="Calibri" w:cstheme="minorHAnsi"/>
          <w:szCs w:val="20"/>
        </w:rPr>
        <w:t xml:space="preserve"> is as follows:</w:t>
      </w:r>
    </w:p>
    <w:p w14:paraId="6C15D5A3" w14:textId="77777777" w:rsidR="00AC1CF9" w:rsidRPr="00FC2211" w:rsidRDefault="00AC1CF9" w:rsidP="00AC1CF9">
      <w:pPr>
        <w:widowControl w:val="0"/>
        <w:autoSpaceDE w:val="0"/>
        <w:autoSpaceDN w:val="0"/>
        <w:rPr>
          <w:rFonts w:eastAsia="Calibri" w:cstheme="minorHAnsi"/>
          <w:szCs w:val="20"/>
        </w:rPr>
      </w:pPr>
    </w:p>
    <w:p w14:paraId="1CB1B53E" w14:textId="77777777" w:rsidR="00AC1CF9" w:rsidRPr="00FC2211" w:rsidRDefault="00AC1CF9" w:rsidP="00AC1CF9">
      <w:pPr>
        <w:widowControl w:val="0"/>
        <w:autoSpaceDE w:val="0"/>
        <w:autoSpaceDN w:val="0"/>
        <w:ind w:left="879"/>
        <w:rPr>
          <w:rFonts w:eastAsia="Calibri" w:cstheme="minorHAnsi"/>
          <w:i/>
          <w:szCs w:val="20"/>
        </w:rPr>
      </w:pPr>
      <w:r w:rsidRPr="00FC2211">
        <w:rPr>
          <w:rFonts w:eastAsia="Calibri" w:cstheme="minorHAnsi"/>
          <w:i/>
          <w:szCs w:val="20"/>
        </w:rPr>
        <w:t>Inventories</w:t>
      </w:r>
    </w:p>
    <w:p w14:paraId="6882DC12" w14:textId="77777777" w:rsidR="00AC1CF9" w:rsidRPr="00FC2211" w:rsidRDefault="00AC1CF9" w:rsidP="00AC1CF9">
      <w:pPr>
        <w:widowControl w:val="0"/>
        <w:autoSpaceDE w:val="0"/>
        <w:autoSpaceDN w:val="0"/>
        <w:rPr>
          <w:rFonts w:eastAsia="Calibri" w:cstheme="minorHAnsi"/>
          <w:i/>
          <w:szCs w:val="20"/>
        </w:rPr>
      </w:pPr>
    </w:p>
    <w:p w14:paraId="7F41827D" w14:textId="3AB313C4" w:rsidR="00AC1CF9" w:rsidRPr="00FC2211" w:rsidRDefault="00AC1CF9" w:rsidP="00060D90">
      <w:pPr>
        <w:widowControl w:val="0"/>
        <w:autoSpaceDE w:val="0"/>
        <w:autoSpaceDN w:val="0"/>
        <w:ind w:left="879" w:right="4"/>
        <w:jc w:val="both"/>
        <w:rPr>
          <w:rFonts w:cstheme="minorHAnsi"/>
          <w:szCs w:val="20"/>
        </w:rPr>
      </w:pPr>
      <w:r w:rsidRPr="00FC2211">
        <w:rPr>
          <w:rFonts w:eastAsia="Calibri" w:cstheme="minorHAnsi"/>
          <w:szCs w:val="20"/>
        </w:rPr>
        <w:t>Inventories are valued at the lower of cost and net realizable value. Cost of inventory includes cost of purchase (purchase price, import duties, transport, handling, and other costs directly attributable to the acquisition</w:t>
      </w:r>
      <w:r w:rsidRPr="00FC2211">
        <w:rPr>
          <w:rFonts w:eastAsia="Calibri" w:cstheme="minorHAnsi"/>
          <w:spacing w:val="-11"/>
          <w:szCs w:val="20"/>
        </w:rPr>
        <w:t xml:space="preserve"> </w:t>
      </w:r>
      <w:r w:rsidRPr="00FC2211">
        <w:rPr>
          <w:rFonts w:eastAsia="Calibri" w:cstheme="minorHAnsi"/>
          <w:szCs w:val="20"/>
        </w:rPr>
        <w:t>of</w:t>
      </w:r>
      <w:r w:rsidRPr="00FC2211">
        <w:rPr>
          <w:rFonts w:eastAsia="Calibri" w:cstheme="minorHAnsi"/>
          <w:spacing w:val="-11"/>
          <w:szCs w:val="20"/>
        </w:rPr>
        <w:t xml:space="preserve"> </w:t>
      </w:r>
      <w:r w:rsidRPr="00FC2211">
        <w:rPr>
          <w:rFonts w:eastAsia="Calibri" w:cstheme="minorHAnsi"/>
          <w:szCs w:val="20"/>
        </w:rPr>
        <w:t>inventories)</w:t>
      </w:r>
      <w:r w:rsidRPr="00FC2211">
        <w:rPr>
          <w:rFonts w:eastAsia="Calibri" w:cstheme="minorHAnsi"/>
          <w:spacing w:val="-11"/>
          <w:szCs w:val="20"/>
        </w:rPr>
        <w:t xml:space="preserve"> </w:t>
      </w:r>
      <w:r w:rsidRPr="00FC2211">
        <w:rPr>
          <w:rFonts w:eastAsia="Calibri" w:cstheme="minorHAnsi"/>
          <w:szCs w:val="20"/>
        </w:rPr>
        <w:t>and</w:t>
      </w:r>
      <w:r w:rsidRPr="00FC2211">
        <w:rPr>
          <w:rFonts w:eastAsia="Calibri" w:cstheme="minorHAnsi"/>
          <w:spacing w:val="-10"/>
          <w:szCs w:val="20"/>
        </w:rPr>
        <w:t xml:space="preserve"> </w:t>
      </w:r>
      <w:r w:rsidRPr="00FC2211">
        <w:rPr>
          <w:rFonts w:eastAsia="Calibri" w:cstheme="minorHAnsi"/>
          <w:szCs w:val="20"/>
        </w:rPr>
        <w:t>other</w:t>
      </w:r>
      <w:r w:rsidRPr="00FC2211">
        <w:rPr>
          <w:rFonts w:eastAsia="Calibri" w:cstheme="minorHAnsi"/>
          <w:spacing w:val="-12"/>
          <w:szCs w:val="20"/>
        </w:rPr>
        <w:t xml:space="preserve"> </w:t>
      </w:r>
      <w:r w:rsidRPr="00FC2211">
        <w:rPr>
          <w:rFonts w:eastAsia="Calibri" w:cstheme="minorHAnsi"/>
          <w:szCs w:val="20"/>
        </w:rPr>
        <w:t>costs</w:t>
      </w:r>
      <w:r w:rsidRPr="00FC2211">
        <w:rPr>
          <w:rFonts w:eastAsia="Calibri" w:cstheme="minorHAnsi"/>
          <w:spacing w:val="-10"/>
          <w:szCs w:val="20"/>
        </w:rPr>
        <w:t xml:space="preserve"> </w:t>
      </w:r>
      <w:r w:rsidRPr="00FC2211">
        <w:rPr>
          <w:rFonts w:eastAsia="Calibri" w:cstheme="minorHAnsi"/>
          <w:szCs w:val="20"/>
        </w:rPr>
        <w:t>incurred</w:t>
      </w:r>
      <w:r w:rsidRPr="00FC2211">
        <w:rPr>
          <w:rFonts w:eastAsia="Calibri" w:cstheme="minorHAnsi"/>
          <w:spacing w:val="-11"/>
          <w:szCs w:val="20"/>
        </w:rPr>
        <w:t xml:space="preserve"> </w:t>
      </w:r>
      <w:r w:rsidRPr="00FC2211">
        <w:rPr>
          <w:rFonts w:eastAsia="Calibri" w:cstheme="minorHAnsi"/>
          <w:szCs w:val="20"/>
        </w:rPr>
        <w:t>in</w:t>
      </w:r>
      <w:r w:rsidRPr="00FC2211">
        <w:rPr>
          <w:rFonts w:eastAsia="Calibri" w:cstheme="minorHAnsi"/>
          <w:spacing w:val="-12"/>
          <w:szCs w:val="20"/>
        </w:rPr>
        <w:t xml:space="preserve"> </w:t>
      </w:r>
      <w:r w:rsidRPr="00FC2211">
        <w:rPr>
          <w:rFonts w:eastAsia="Calibri" w:cstheme="minorHAnsi"/>
          <w:szCs w:val="20"/>
        </w:rPr>
        <w:t>bringing</w:t>
      </w:r>
      <w:r w:rsidRPr="00FC2211">
        <w:rPr>
          <w:rFonts w:eastAsia="Calibri" w:cstheme="minorHAnsi"/>
          <w:spacing w:val="-11"/>
          <w:szCs w:val="20"/>
        </w:rPr>
        <w:t xml:space="preserve"> </w:t>
      </w:r>
      <w:r w:rsidRPr="00FC2211">
        <w:rPr>
          <w:rFonts w:eastAsia="Calibri" w:cstheme="minorHAnsi"/>
          <w:szCs w:val="20"/>
        </w:rPr>
        <w:t>the</w:t>
      </w:r>
      <w:r w:rsidRPr="00FC2211">
        <w:rPr>
          <w:rFonts w:eastAsia="Calibri" w:cstheme="minorHAnsi"/>
          <w:spacing w:val="-12"/>
          <w:szCs w:val="20"/>
        </w:rPr>
        <w:t xml:space="preserve"> </w:t>
      </w:r>
      <w:r w:rsidRPr="00FC2211">
        <w:rPr>
          <w:rFonts w:eastAsia="Calibri" w:cstheme="minorHAnsi"/>
          <w:szCs w:val="20"/>
        </w:rPr>
        <w:t>inventories</w:t>
      </w:r>
      <w:r w:rsidRPr="00FC2211">
        <w:rPr>
          <w:rFonts w:eastAsia="Calibri" w:cstheme="minorHAnsi"/>
          <w:spacing w:val="-10"/>
          <w:szCs w:val="20"/>
        </w:rPr>
        <w:t xml:space="preserve"> </w:t>
      </w:r>
      <w:r w:rsidRPr="00FC2211">
        <w:rPr>
          <w:rFonts w:eastAsia="Calibri" w:cstheme="minorHAnsi"/>
          <w:szCs w:val="20"/>
        </w:rPr>
        <w:t>to</w:t>
      </w:r>
      <w:r w:rsidRPr="00FC2211">
        <w:rPr>
          <w:rFonts w:eastAsia="Calibri" w:cstheme="minorHAnsi"/>
          <w:spacing w:val="-11"/>
          <w:szCs w:val="20"/>
        </w:rPr>
        <w:t xml:space="preserve"> </w:t>
      </w:r>
      <w:r w:rsidRPr="00FC2211">
        <w:rPr>
          <w:rFonts w:eastAsia="Calibri" w:cstheme="minorHAnsi"/>
          <w:szCs w:val="20"/>
        </w:rPr>
        <w:t>their</w:t>
      </w:r>
      <w:r w:rsidRPr="00FC2211">
        <w:rPr>
          <w:rFonts w:eastAsia="Calibri" w:cstheme="minorHAnsi"/>
          <w:spacing w:val="-12"/>
          <w:szCs w:val="20"/>
        </w:rPr>
        <w:t xml:space="preserve"> </w:t>
      </w:r>
      <w:r w:rsidRPr="00FC2211">
        <w:rPr>
          <w:rFonts w:eastAsia="Calibri" w:cstheme="minorHAnsi"/>
          <w:szCs w:val="20"/>
        </w:rPr>
        <w:t>present</w:t>
      </w:r>
      <w:r w:rsidRPr="00FC2211">
        <w:rPr>
          <w:rFonts w:eastAsia="Calibri" w:cstheme="minorHAnsi"/>
          <w:spacing w:val="-11"/>
          <w:szCs w:val="20"/>
        </w:rPr>
        <w:t xml:space="preserve"> </w:t>
      </w:r>
      <w:r w:rsidRPr="00FC2211">
        <w:rPr>
          <w:rFonts w:eastAsia="Calibri" w:cstheme="minorHAnsi"/>
          <w:szCs w:val="20"/>
        </w:rPr>
        <w:t>location</w:t>
      </w:r>
      <w:r w:rsidRPr="00FC2211">
        <w:rPr>
          <w:rFonts w:eastAsia="Calibri" w:cstheme="minorHAnsi"/>
          <w:spacing w:val="-11"/>
          <w:szCs w:val="20"/>
        </w:rPr>
        <w:t xml:space="preserve"> </w:t>
      </w:r>
      <w:r w:rsidRPr="00FC2211">
        <w:rPr>
          <w:rFonts w:eastAsia="Calibri" w:cstheme="minorHAnsi"/>
          <w:szCs w:val="20"/>
        </w:rPr>
        <w:t>and condition. Net realizable value for inventories is the estimated selling price in the ordinary course of business</w:t>
      </w:r>
      <w:r w:rsidR="00D3433C" w:rsidRPr="00FC2211">
        <w:rPr>
          <w:rFonts w:eastAsia="Calibri" w:cstheme="minorHAnsi"/>
          <w:szCs w:val="20"/>
        </w:rPr>
        <w:t>,</w:t>
      </w:r>
      <w:r w:rsidRPr="00FC2211">
        <w:rPr>
          <w:rFonts w:eastAsia="Calibri" w:cstheme="minorHAnsi"/>
          <w:szCs w:val="20"/>
        </w:rPr>
        <w:t xml:space="preserve"> less the estimated </w:t>
      </w:r>
      <w:r w:rsidR="00D3433C" w:rsidRPr="00FC2211">
        <w:rPr>
          <w:rFonts w:eastAsia="Calibri" w:cstheme="minorHAnsi"/>
          <w:szCs w:val="20"/>
        </w:rPr>
        <w:t>completion costs and</w:t>
      </w:r>
      <w:r w:rsidRPr="00FC2211">
        <w:rPr>
          <w:rFonts w:eastAsia="Calibri" w:cstheme="minorHAnsi"/>
          <w:szCs w:val="20"/>
        </w:rPr>
        <w:t xml:space="preserve"> costs necessary to make the sale. Provisions</w:t>
      </w:r>
      <w:r w:rsidRPr="00FC2211">
        <w:rPr>
          <w:rFonts w:eastAsia="Calibri" w:cstheme="minorHAnsi"/>
          <w:spacing w:val="-6"/>
          <w:szCs w:val="20"/>
        </w:rPr>
        <w:t xml:space="preserve"> </w:t>
      </w:r>
      <w:r w:rsidRPr="00FC2211">
        <w:rPr>
          <w:rFonts w:eastAsia="Calibri" w:cstheme="minorHAnsi"/>
          <w:szCs w:val="20"/>
        </w:rPr>
        <w:t>are</w:t>
      </w:r>
      <w:r w:rsidRPr="00FC2211">
        <w:rPr>
          <w:rFonts w:eastAsia="Calibri" w:cstheme="minorHAnsi"/>
          <w:spacing w:val="-7"/>
          <w:szCs w:val="20"/>
        </w:rPr>
        <w:t xml:space="preserve"> </w:t>
      </w:r>
      <w:r w:rsidRPr="00FC2211">
        <w:rPr>
          <w:rFonts w:eastAsia="Calibri" w:cstheme="minorHAnsi"/>
          <w:szCs w:val="20"/>
        </w:rPr>
        <w:t>made</w:t>
      </w:r>
      <w:r w:rsidRPr="00FC2211">
        <w:rPr>
          <w:rFonts w:eastAsia="Calibri" w:cstheme="minorHAnsi"/>
          <w:spacing w:val="-5"/>
          <w:szCs w:val="20"/>
        </w:rPr>
        <w:t xml:space="preserve"> </w:t>
      </w:r>
      <w:r w:rsidRPr="00FC2211">
        <w:rPr>
          <w:rFonts w:eastAsia="Calibri" w:cstheme="minorHAnsi"/>
          <w:szCs w:val="20"/>
        </w:rPr>
        <w:t>in</w:t>
      </w:r>
      <w:r w:rsidRPr="00FC2211">
        <w:rPr>
          <w:rFonts w:eastAsia="Calibri" w:cstheme="minorHAnsi"/>
          <w:spacing w:val="-6"/>
          <w:szCs w:val="20"/>
        </w:rPr>
        <w:t xml:space="preserve"> </w:t>
      </w:r>
      <w:r w:rsidRPr="00FC2211">
        <w:rPr>
          <w:rFonts w:eastAsia="Calibri" w:cstheme="minorHAnsi"/>
          <w:szCs w:val="20"/>
        </w:rPr>
        <w:t>profit</w:t>
      </w:r>
      <w:r w:rsidRPr="00FC2211">
        <w:rPr>
          <w:rFonts w:eastAsia="Calibri" w:cstheme="minorHAnsi"/>
          <w:spacing w:val="-7"/>
          <w:szCs w:val="20"/>
        </w:rPr>
        <w:t xml:space="preserve"> </w:t>
      </w:r>
      <w:r w:rsidRPr="00FC2211">
        <w:rPr>
          <w:rFonts w:eastAsia="Calibri" w:cstheme="minorHAnsi"/>
          <w:szCs w:val="20"/>
        </w:rPr>
        <w:t>or</w:t>
      </w:r>
      <w:r w:rsidRPr="00FC2211">
        <w:rPr>
          <w:rFonts w:eastAsia="Calibri" w:cstheme="minorHAnsi"/>
          <w:spacing w:val="-5"/>
          <w:szCs w:val="20"/>
        </w:rPr>
        <w:t xml:space="preserve"> </w:t>
      </w:r>
      <w:r w:rsidRPr="00FC2211">
        <w:rPr>
          <w:rFonts w:eastAsia="Calibri" w:cstheme="minorHAnsi"/>
          <w:szCs w:val="20"/>
        </w:rPr>
        <w:t>loss</w:t>
      </w:r>
      <w:r w:rsidRPr="00FC2211">
        <w:rPr>
          <w:rFonts w:eastAsia="Calibri" w:cstheme="minorHAnsi"/>
          <w:spacing w:val="-6"/>
          <w:szCs w:val="20"/>
        </w:rPr>
        <w:t xml:space="preserve"> </w:t>
      </w:r>
      <w:r w:rsidRPr="00FC2211">
        <w:rPr>
          <w:rFonts w:eastAsia="Calibri" w:cstheme="minorHAnsi"/>
          <w:szCs w:val="20"/>
        </w:rPr>
        <w:t>in</w:t>
      </w:r>
      <w:r w:rsidRPr="00FC2211">
        <w:rPr>
          <w:rFonts w:eastAsia="Calibri" w:cstheme="minorHAnsi"/>
          <w:spacing w:val="-7"/>
          <w:szCs w:val="20"/>
        </w:rPr>
        <w:t xml:space="preserve"> </w:t>
      </w:r>
      <w:r w:rsidRPr="00FC2211">
        <w:rPr>
          <w:rFonts w:eastAsia="Calibri" w:cstheme="minorHAnsi"/>
          <w:szCs w:val="20"/>
        </w:rPr>
        <w:t>the</w:t>
      </w:r>
      <w:r w:rsidRPr="00FC2211">
        <w:rPr>
          <w:rFonts w:eastAsia="Calibri" w:cstheme="minorHAnsi"/>
          <w:spacing w:val="-5"/>
          <w:szCs w:val="20"/>
        </w:rPr>
        <w:t xml:space="preserve"> </w:t>
      </w:r>
      <w:r w:rsidR="00346BCD" w:rsidRPr="00FC2211">
        <w:rPr>
          <w:rFonts w:eastAsia="Calibri" w:cstheme="minorHAnsi"/>
          <w:spacing w:val="-5"/>
          <w:szCs w:val="20"/>
        </w:rPr>
        <w:t>period</w:t>
      </w:r>
      <w:r w:rsidRPr="00FC2211">
        <w:rPr>
          <w:rFonts w:eastAsia="Calibri" w:cstheme="minorHAnsi"/>
          <w:spacing w:val="-6"/>
          <w:szCs w:val="20"/>
        </w:rPr>
        <w:t xml:space="preserve"> </w:t>
      </w:r>
      <w:r w:rsidRPr="00FC2211">
        <w:rPr>
          <w:rFonts w:eastAsia="Calibri" w:cstheme="minorHAnsi"/>
          <w:szCs w:val="20"/>
        </w:rPr>
        <w:t>for</w:t>
      </w:r>
      <w:r w:rsidRPr="00FC2211">
        <w:rPr>
          <w:rFonts w:eastAsia="Calibri" w:cstheme="minorHAnsi"/>
          <w:spacing w:val="-7"/>
          <w:szCs w:val="20"/>
        </w:rPr>
        <w:t xml:space="preserve"> </w:t>
      </w:r>
      <w:r w:rsidRPr="00FC2211">
        <w:rPr>
          <w:rFonts w:eastAsia="Calibri" w:cstheme="minorHAnsi"/>
          <w:szCs w:val="20"/>
        </w:rPr>
        <w:t>any</w:t>
      </w:r>
      <w:r w:rsidRPr="00FC2211">
        <w:rPr>
          <w:rFonts w:eastAsia="Calibri" w:cstheme="minorHAnsi"/>
          <w:spacing w:val="-6"/>
          <w:szCs w:val="20"/>
        </w:rPr>
        <w:t xml:space="preserve"> </w:t>
      </w:r>
      <w:r w:rsidRPr="00FC2211">
        <w:rPr>
          <w:rFonts w:eastAsia="Calibri" w:cstheme="minorHAnsi"/>
          <w:szCs w:val="20"/>
        </w:rPr>
        <w:t>difference</w:t>
      </w:r>
      <w:r w:rsidRPr="00FC2211">
        <w:rPr>
          <w:rFonts w:eastAsia="Calibri" w:cstheme="minorHAnsi"/>
          <w:spacing w:val="-6"/>
          <w:szCs w:val="20"/>
        </w:rPr>
        <w:t xml:space="preserve"> </w:t>
      </w:r>
      <w:r w:rsidRPr="00FC2211">
        <w:rPr>
          <w:rFonts w:eastAsia="Calibri" w:cstheme="minorHAnsi"/>
          <w:szCs w:val="20"/>
        </w:rPr>
        <w:t>between</w:t>
      </w:r>
      <w:r w:rsidRPr="00FC2211">
        <w:rPr>
          <w:rFonts w:eastAsia="Calibri" w:cstheme="minorHAnsi"/>
          <w:spacing w:val="-7"/>
          <w:szCs w:val="20"/>
        </w:rPr>
        <w:t xml:space="preserve"> </w:t>
      </w:r>
      <w:r w:rsidRPr="00FC2211">
        <w:rPr>
          <w:rFonts w:eastAsia="Calibri" w:cstheme="minorHAnsi"/>
          <w:szCs w:val="20"/>
        </w:rPr>
        <w:t>book</w:t>
      </w:r>
      <w:r w:rsidRPr="00FC2211">
        <w:rPr>
          <w:rFonts w:eastAsia="Calibri" w:cstheme="minorHAnsi"/>
          <w:spacing w:val="-5"/>
          <w:szCs w:val="20"/>
        </w:rPr>
        <w:t xml:space="preserve"> </w:t>
      </w:r>
      <w:r w:rsidRPr="00FC2211">
        <w:rPr>
          <w:rFonts w:eastAsia="Calibri" w:cstheme="minorHAnsi"/>
          <w:szCs w:val="20"/>
        </w:rPr>
        <w:t>value</w:t>
      </w:r>
      <w:r w:rsidRPr="00FC2211">
        <w:rPr>
          <w:rFonts w:eastAsia="Calibri" w:cstheme="minorHAnsi"/>
          <w:spacing w:val="-6"/>
          <w:szCs w:val="20"/>
        </w:rPr>
        <w:t xml:space="preserve"> </w:t>
      </w:r>
      <w:r w:rsidRPr="00FC2211">
        <w:rPr>
          <w:rFonts w:eastAsia="Calibri" w:cstheme="minorHAnsi"/>
          <w:szCs w:val="20"/>
        </w:rPr>
        <w:t>and</w:t>
      </w:r>
      <w:r w:rsidRPr="00FC2211">
        <w:rPr>
          <w:rFonts w:eastAsia="Calibri" w:cstheme="minorHAnsi"/>
          <w:spacing w:val="-7"/>
          <w:szCs w:val="20"/>
        </w:rPr>
        <w:t xml:space="preserve"> </w:t>
      </w:r>
      <w:r w:rsidRPr="00FC2211">
        <w:rPr>
          <w:rFonts w:eastAsia="Calibri" w:cstheme="minorHAnsi"/>
          <w:szCs w:val="20"/>
        </w:rPr>
        <w:t>net</w:t>
      </w:r>
      <w:r w:rsidRPr="00FC2211">
        <w:rPr>
          <w:rFonts w:eastAsia="Calibri" w:cstheme="minorHAnsi"/>
          <w:spacing w:val="-5"/>
          <w:szCs w:val="20"/>
        </w:rPr>
        <w:t xml:space="preserve"> </w:t>
      </w:r>
      <w:r w:rsidRPr="00FC2211">
        <w:rPr>
          <w:rFonts w:eastAsia="Calibri" w:cstheme="minorHAnsi"/>
          <w:szCs w:val="20"/>
        </w:rPr>
        <w:t>realizable value.</w:t>
      </w:r>
    </w:p>
    <w:p w14:paraId="0F380174" w14:textId="77777777" w:rsidR="00AC1CF9" w:rsidRPr="00FC2211" w:rsidRDefault="00AC1CF9" w:rsidP="00AC1CF9">
      <w:pPr>
        <w:tabs>
          <w:tab w:val="left" w:pos="720"/>
        </w:tabs>
        <w:rPr>
          <w:rFonts w:cstheme="minorHAnsi"/>
          <w:szCs w:val="20"/>
        </w:rPr>
      </w:pPr>
    </w:p>
    <w:p w14:paraId="729C8558" w14:textId="46F6DD15" w:rsidR="00AC1CF9" w:rsidRPr="00FC2211" w:rsidRDefault="00071F45" w:rsidP="00AC1CF9">
      <w:pPr>
        <w:widowControl w:val="0"/>
        <w:autoSpaceDE w:val="0"/>
        <w:autoSpaceDN w:val="0"/>
        <w:ind w:left="869" w:right="630"/>
        <w:rPr>
          <w:rFonts w:eastAsia="Calibri" w:cstheme="minorHAnsi"/>
          <w:i/>
          <w:szCs w:val="20"/>
        </w:rPr>
      </w:pPr>
      <w:r w:rsidRPr="00FC2211">
        <w:rPr>
          <w:rFonts w:eastAsia="Calibri" w:cstheme="minorHAnsi"/>
          <w:i/>
          <w:szCs w:val="20"/>
        </w:rPr>
        <w:t>Equipment</w:t>
      </w:r>
    </w:p>
    <w:p w14:paraId="79B488BC" w14:textId="77777777" w:rsidR="00AC1CF9" w:rsidRPr="00FC2211" w:rsidRDefault="00AC1CF9" w:rsidP="00AC1CF9">
      <w:pPr>
        <w:widowControl w:val="0"/>
        <w:autoSpaceDE w:val="0"/>
        <w:autoSpaceDN w:val="0"/>
        <w:ind w:right="630"/>
        <w:rPr>
          <w:rFonts w:eastAsia="Calibri" w:cstheme="minorHAnsi"/>
          <w:i/>
          <w:szCs w:val="20"/>
        </w:rPr>
      </w:pPr>
    </w:p>
    <w:p w14:paraId="0D0BE0DE" w14:textId="77777777" w:rsidR="00BF2598" w:rsidRPr="00FC2211" w:rsidRDefault="00BF2598" w:rsidP="00BF2598">
      <w:pPr>
        <w:ind w:left="852" w:right="4"/>
        <w:jc w:val="both"/>
        <w:rPr>
          <w:rFonts w:eastAsia="Calibri" w:cstheme="minorHAnsi"/>
          <w:szCs w:val="20"/>
        </w:rPr>
      </w:pPr>
      <w:r w:rsidRPr="00FC2211">
        <w:rPr>
          <w:rFonts w:eastAsia="Calibri" w:cstheme="minorHAnsi"/>
          <w:szCs w:val="20"/>
        </w:rPr>
        <w:t>The estimated useful lives of assets are reviewed by management and adjusted if necessary. To estimate equipment’s useful life, management uses its experience with the same or similar assets and may review industry practices for similar pieces of equipment and apply statistical methods to assist in its determination of useful life.</w:t>
      </w:r>
    </w:p>
    <w:p w14:paraId="7F259D1D" w14:textId="77777777" w:rsidR="001446FB" w:rsidRPr="00FC2211" w:rsidRDefault="001446FB" w:rsidP="001446FB">
      <w:pPr>
        <w:rPr>
          <w:rFonts w:cstheme="minorHAnsi"/>
          <w:szCs w:val="20"/>
        </w:rPr>
      </w:pPr>
      <w:r w:rsidRPr="00FC2211">
        <w:rPr>
          <w:rFonts w:cstheme="minorHAnsi"/>
          <w:szCs w:val="20"/>
        </w:rPr>
        <w:br w:type="page"/>
      </w:r>
    </w:p>
    <w:p w14:paraId="19B91BB0" w14:textId="77777777" w:rsidR="005B40D6" w:rsidRPr="00FC2211" w:rsidRDefault="005B40D6" w:rsidP="005B40D6">
      <w:pPr>
        <w:pStyle w:val="Heading2"/>
        <w:tabs>
          <w:tab w:val="left" w:pos="519"/>
        </w:tabs>
        <w:spacing w:before="0"/>
        <w:rPr>
          <w:rFonts w:asciiTheme="minorHAnsi" w:eastAsia="Calibri" w:hAnsiTheme="minorHAnsi" w:cstheme="minorHAnsi"/>
          <w:b/>
          <w:bCs/>
          <w:color w:val="auto"/>
          <w:sz w:val="20"/>
          <w:szCs w:val="20"/>
        </w:rPr>
      </w:pPr>
      <w:r w:rsidRPr="00FC2211">
        <w:rPr>
          <w:rFonts w:asciiTheme="minorHAnsi" w:eastAsia="Calibri" w:hAnsiTheme="minorHAnsi" w:cstheme="minorHAnsi"/>
          <w:b/>
          <w:bCs/>
          <w:color w:val="auto"/>
          <w:sz w:val="20"/>
          <w:szCs w:val="20"/>
        </w:rPr>
        <w:lastRenderedPageBreak/>
        <w:t>2.    BASIS OF CONSOLIDATION AND PREPARATION</w:t>
      </w:r>
      <w:r w:rsidRPr="00FC2211">
        <w:rPr>
          <w:rFonts w:asciiTheme="minorHAnsi" w:eastAsia="Calibri" w:hAnsiTheme="minorHAnsi" w:cstheme="minorHAnsi"/>
          <w:b/>
          <w:bCs/>
          <w:color w:val="auto"/>
          <w:spacing w:val="-1"/>
          <w:sz w:val="20"/>
          <w:szCs w:val="20"/>
        </w:rPr>
        <w:t xml:space="preserve"> </w:t>
      </w:r>
      <w:r w:rsidRPr="00FC2211">
        <w:rPr>
          <w:rFonts w:asciiTheme="minorHAnsi" w:eastAsia="Calibri" w:hAnsiTheme="minorHAnsi" w:cstheme="minorHAnsi"/>
          <w:b/>
          <w:bCs/>
          <w:color w:val="auto"/>
          <w:sz w:val="20"/>
          <w:szCs w:val="20"/>
        </w:rPr>
        <w:t>(CONTINUED)</w:t>
      </w:r>
    </w:p>
    <w:p w14:paraId="6D67FDFC" w14:textId="77777777" w:rsidR="005B40D6" w:rsidRPr="00FC2211" w:rsidRDefault="005B40D6" w:rsidP="005B40D6">
      <w:pPr>
        <w:widowControl w:val="0"/>
        <w:autoSpaceDE w:val="0"/>
        <w:autoSpaceDN w:val="0"/>
        <w:ind w:left="520"/>
        <w:rPr>
          <w:rFonts w:eastAsia="Calibri" w:cstheme="minorHAnsi"/>
          <w:b/>
          <w:szCs w:val="20"/>
        </w:rPr>
      </w:pPr>
    </w:p>
    <w:p w14:paraId="49879E96" w14:textId="77777777" w:rsidR="005B40D6" w:rsidRPr="00FC2211" w:rsidRDefault="005B40D6" w:rsidP="005B40D6">
      <w:pPr>
        <w:widowControl w:val="0"/>
        <w:autoSpaceDE w:val="0"/>
        <w:autoSpaceDN w:val="0"/>
        <w:rPr>
          <w:rFonts w:eastAsia="Calibri" w:cstheme="minorHAnsi"/>
          <w:b/>
          <w:szCs w:val="20"/>
        </w:rPr>
      </w:pPr>
      <w:r w:rsidRPr="00FC2211">
        <w:rPr>
          <w:rFonts w:eastAsia="Calibri" w:cstheme="minorHAnsi"/>
          <w:b/>
          <w:szCs w:val="20"/>
        </w:rPr>
        <w:t xml:space="preserve">        Use of estimates and judgments (continued)</w:t>
      </w:r>
    </w:p>
    <w:p w14:paraId="5BB06900" w14:textId="77777777" w:rsidR="005B40D6" w:rsidRPr="00FC2211" w:rsidRDefault="005B40D6" w:rsidP="00D25034">
      <w:pPr>
        <w:ind w:left="852" w:right="4"/>
        <w:rPr>
          <w:rFonts w:eastAsia="Calibri" w:cstheme="minorHAnsi"/>
          <w:szCs w:val="20"/>
        </w:rPr>
      </w:pPr>
    </w:p>
    <w:p w14:paraId="79140C82" w14:textId="77777777" w:rsidR="005842BE" w:rsidRPr="00FC2211" w:rsidRDefault="005842BE" w:rsidP="00743579">
      <w:pPr>
        <w:widowControl w:val="0"/>
        <w:autoSpaceDE w:val="0"/>
        <w:autoSpaceDN w:val="0"/>
        <w:spacing w:before="1"/>
        <w:ind w:left="880" w:right="630"/>
        <w:rPr>
          <w:rFonts w:eastAsia="Calibri" w:cstheme="minorHAnsi"/>
          <w:i/>
          <w:szCs w:val="20"/>
        </w:rPr>
      </w:pPr>
      <w:r w:rsidRPr="00FC2211">
        <w:rPr>
          <w:rFonts w:eastAsia="Calibri" w:cstheme="minorHAnsi"/>
          <w:i/>
          <w:szCs w:val="20"/>
        </w:rPr>
        <w:t>Income taxes</w:t>
      </w:r>
    </w:p>
    <w:p w14:paraId="1130D629" w14:textId="77777777" w:rsidR="005842BE" w:rsidRPr="00FC2211" w:rsidRDefault="005842BE" w:rsidP="00743579">
      <w:pPr>
        <w:widowControl w:val="0"/>
        <w:autoSpaceDE w:val="0"/>
        <w:autoSpaceDN w:val="0"/>
        <w:spacing w:before="12"/>
        <w:ind w:right="630"/>
        <w:rPr>
          <w:rFonts w:eastAsia="Calibri" w:cstheme="minorHAnsi"/>
          <w:i/>
          <w:szCs w:val="20"/>
        </w:rPr>
      </w:pPr>
    </w:p>
    <w:p w14:paraId="19948AFC" w14:textId="5CE3A8CC" w:rsidR="005842BE" w:rsidRPr="00FC2211" w:rsidRDefault="005842BE" w:rsidP="00CF01E6">
      <w:pPr>
        <w:widowControl w:val="0"/>
        <w:autoSpaceDE w:val="0"/>
        <w:autoSpaceDN w:val="0"/>
        <w:ind w:left="880" w:right="4"/>
        <w:jc w:val="both"/>
        <w:rPr>
          <w:rFonts w:eastAsia="Calibri" w:cstheme="minorHAnsi"/>
          <w:szCs w:val="20"/>
        </w:rPr>
      </w:pPr>
      <w:r w:rsidRPr="00FC2211">
        <w:rPr>
          <w:rFonts w:eastAsia="Calibri" w:cstheme="minorHAnsi"/>
          <w:szCs w:val="20"/>
        </w:rPr>
        <w:t>Tax provisions are based on enacted or substantively enacted laws. Changes in those laws could affect amounts recognized in profit or loss both in the</w:t>
      </w:r>
      <w:r w:rsidR="00B62E86" w:rsidRPr="00FC2211">
        <w:rPr>
          <w:rFonts w:eastAsia="Calibri" w:cstheme="minorHAnsi"/>
          <w:szCs w:val="20"/>
        </w:rPr>
        <w:t xml:space="preserve"> period</w:t>
      </w:r>
      <w:r w:rsidRPr="00FC2211">
        <w:rPr>
          <w:rFonts w:eastAsia="Calibri" w:cstheme="minorHAnsi"/>
          <w:szCs w:val="20"/>
        </w:rPr>
        <w:t xml:space="preserve"> of change, which would include any impact on cumulative provisions, and in future</w:t>
      </w:r>
      <w:r w:rsidR="00A82940" w:rsidRPr="00FC2211">
        <w:rPr>
          <w:rFonts w:eastAsia="Calibri" w:cstheme="minorHAnsi"/>
          <w:szCs w:val="20"/>
        </w:rPr>
        <w:t xml:space="preserve"> period</w:t>
      </w:r>
      <w:r w:rsidRPr="00FC2211">
        <w:rPr>
          <w:rFonts w:eastAsia="Calibri" w:cstheme="minorHAnsi"/>
          <w:szCs w:val="20"/>
        </w:rPr>
        <w:t xml:space="preserve">s. Deferred tax assets (if any) are recognized only to the extent it is considered probable that those assets will be recoverable. This involves </w:t>
      </w:r>
      <w:r w:rsidR="00D3433C" w:rsidRPr="00FC2211">
        <w:rPr>
          <w:rFonts w:eastAsia="Calibri" w:cstheme="minorHAnsi"/>
          <w:szCs w:val="20"/>
        </w:rPr>
        <w:t>assessing</w:t>
      </w:r>
      <w:r w:rsidRPr="00FC2211">
        <w:rPr>
          <w:rFonts w:eastAsia="Calibri" w:cstheme="minorHAnsi"/>
          <w:szCs w:val="20"/>
        </w:rPr>
        <w:t xml:space="preserve"> when those deferred</w:t>
      </w:r>
      <w:r w:rsidRPr="00FC2211">
        <w:rPr>
          <w:rFonts w:eastAsia="Calibri" w:cstheme="minorHAnsi"/>
          <w:spacing w:val="-8"/>
          <w:szCs w:val="20"/>
        </w:rPr>
        <w:t xml:space="preserve"> </w:t>
      </w:r>
      <w:r w:rsidRPr="00FC2211">
        <w:rPr>
          <w:rFonts w:eastAsia="Calibri" w:cstheme="minorHAnsi"/>
          <w:szCs w:val="20"/>
        </w:rPr>
        <w:t>tax</w:t>
      </w:r>
      <w:r w:rsidRPr="00FC2211">
        <w:rPr>
          <w:rFonts w:eastAsia="Calibri" w:cstheme="minorHAnsi"/>
          <w:spacing w:val="-8"/>
          <w:szCs w:val="20"/>
        </w:rPr>
        <w:t xml:space="preserve"> </w:t>
      </w:r>
      <w:r w:rsidRPr="00FC2211">
        <w:rPr>
          <w:rFonts w:eastAsia="Calibri" w:cstheme="minorHAnsi"/>
          <w:szCs w:val="20"/>
        </w:rPr>
        <w:t>assets</w:t>
      </w:r>
      <w:r w:rsidRPr="00FC2211">
        <w:rPr>
          <w:rFonts w:eastAsia="Calibri" w:cstheme="minorHAnsi"/>
          <w:spacing w:val="-8"/>
          <w:szCs w:val="20"/>
        </w:rPr>
        <w:t xml:space="preserve"> </w:t>
      </w:r>
      <w:r w:rsidRPr="00FC2211">
        <w:rPr>
          <w:rFonts w:eastAsia="Calibri" w:cstheme="minorHAnsi"/>
          <w:szCs w:val="20"/>
        </w:rPr>
        <w:t>are</w:t>
      </w:r>
      <w:r w:rsidRPr="00FC2211">
        <w:rPr>
          <w:rFonts w:eastAsia="Calibri" w:cstheme="minorHAnsi"/>
          <w:spacing w:val="-7"/>
          <w:szCs w:val="20"/>
        </w:rPr>
        <w:t xml:space="preserve"> </w:t>
      </w:r>
      <w:r w:rsidRPr="00FC2211">
        <w:rPr>
          <w:rFonts w:eastAsia="Calibri" w:cstheme="minorHAnsi"/>
          <w:szCs w:val="20"/>
        </w:rPr>
        <w:t>likely</w:t>
      </w:r>
      <w:r w:rsidRPr="00FC2211">
        <w:rPr>
          <w:rFonts w:eastAsia="Calibri" w:cstheme="minorHAnsi"/>
          <w:spacing w:val="-8"/>
          <w:szCs w:val="20"/>
        </w:rPr>
        <w:t xml:space="preserve"> </w:t>
      </w:r>
      <w:r w:rsidRPr="00FC2211">
        <w:rPr>
          <w:rFonts w:eastAsia="Calibri" w:cstheme="minorHAnsi"/>
          <w:szCs w:val="20"/>
        </w:rPr>
        <w:t>to</w:t>
      </w:r>
      <w:r w:rsidRPr="00FC2211">
        <w:rPr>
          <w:rFonts w:eastAsia="Calibri" w:cstheme="minorHAnsi"/>
          <w:spacing w:val="-7"/>
          <w:szCs w:val="20"/>
        </w:rPr>
        <w:t xml:space="preserve"> </w:t>
      </w:r>
      <w:r w:rsidRPr="00FC2211">
        <w:rPr>
          <w:rFonts w:eastAsia="Calibri" w:cstheme="minorHAnsi"/>
          <w:szCs w:val="20"/>
        </w:rPr>
        <w:t>reverse</w:t>
      </w:r>
      <w:r w:rsidRPr="00FC2211">
        <w:rPr>
          <w:rFonts w:eastAsia="Calibri" w:cstheme="minorHAnsi"/>
          <w:spacing w:val="-8"/>
          <w:szCs w:val="20"/>
        </w:rPr>
        <w:t xml:space="preserve"> </w:t>
      </w:r>
      <w:r w:rsidRPr="00FC2211">
        <w:rPr>
          <w:rFonts w:eastAsia="Calibri" w:cstheme="minorHAnsi"/>
          <w:szCs w:val="20"/>
        </w:rPr>
        <w:t>and</w:t>
      </w:r>
      <w:r w:rsidRPr="00FC2211">
        <w:rPr>
          <w:rFonts w:eastAsia="Calibri" w:cstheme="minorHAnsi"/>
          <w:spacing w:val="-8"/>
          <w:szCs w:val="20"/>
        </w:rPr>
        <w:t xml:space="preserve"> </w:t>
      </w:r>
      <w:r w:rsidRPr="00FC2211">
        <w:rPr>
          <w:rFonts w:eastAsia="Calibri" w:cstheme="minorHAnsi"/>
          <w:szCs w:val="20"/>
        </w:rPr>
        <w:t>a</w:t>
      </w:r>
      <w:r w:rsidRPr="00FC2211">
        <w:rPr>
          <w:rFonts w:eastAsia="Calibri" w:cstheme="minorHAnsi"/>
          <w:spacing w:val="-7"/>
          <w:szCs w:val="20"/>
        </w:rPr>
        <w:t xml:space="preserve"> </w:t>
      </w:r>
      <w:r w:rsidRPr="00FC2211">
        <w:rPr>
          <w:rFonts w:eastAsia="Calibri" w:cstheme="minorHAnsi"/>
          <w:szCs w:val="20"/>
        </w:rPr>
        <w:t>judgment</w:t>
      </w:r>
      <w:r w:rsidRPr="00FC2211">
        <w:rPr>
          <w:rFonts w:eastAsia="Calibri" w:cstheme="minorHAnsi"/>
          <w:spacing w:val="-9"/>
          <w:szCs w:val="20"/>
        </w:rPr>
        <w:t xml:space="preserve"> </w:t>
      </w:r>
      <w:r w:rsidRPr="00FC2211">
        <w:rPr>
          <w:rFonts w:eastAsia="Calibri" w:cstheme="minorHAnsi"/>
          <w:szCs w:val="20"/>
        </w:rPr>
        <w:t>as</w:t>
      </w:r>
      <w:r w:rsidRPr="00FC2211">
        <w:rPr>
          <w:rFonts w:eastAsia="Calibri" w:cstheme="minorHAnsi"/>
          <w:spacing w:val="-8"/>
          <w:szCs w:val="20"/>
        </w:rPr>
        <w:t xml:space="preserve"> </w:t>
      </w:r>
      <w:r w:rsidRPr="00FC2211">
        <w:rPr>
          <w:rFonts w:eastAsia="Calibri" w:cstheme="minorHAnsi"/>
          <w:szCs w:val="20"/>
        </w:rPr>
        <w:t>to</w:t>
      </w:r>
      <w:r w:rsidRPr="00FC2211">
        <w:rPr>
          <w:rFonts w:eastAsia="Calibri" w:cstheme="minorHAnsi"/>
          <w:spacing w:val="-8"/>
          <w:szCs w:val="20"/>
        </w:rPr>
        <w:t xml:space="preserve"> </w:t>
      </w:r>
      <w:r w:rsidRPr="00FC2211">
        <w:rPr>
          <w:rFonts w:eastAsia="Calibri" w:cstheme="minorHAnsi"/>
          <w:szCs w:val="20"/>
        </w:rPr>
        <w:t>whether</w:t>
      </w:r>
      <w:r w:rsidRPr="00FC2211">
        <w:rPr>
          <w:rFonts w:eastAsia="Calibri" w:cstheme="minorHAnsi"/>
          <w:spacing w:val="-8"/>
          <w:szCs w:val="20"/>
        </w:rPr>
        <w:t xml:space="preserve"> </w:t>
      </w:r>
      <w:r w:rsidRPr="00FC2211">
        <w:rPr>
          <w:rFonts w:eastAsia="Calibri" w:cstheme="minorHAnsi"/>
          <w:szCs w:val="20"/>
        </w:rPr>
        <w:t>or</w:t>
      </w:r>
      <w:r w:rsidRPr="00FC2211">
        <w:rPr>
          <w:rFonts w:eastAsia="Calibri" w:cstheme="minorHAnsi"/>
          <w:spacing w:val="-8"/>
          <w:szCs w:val="20"/>
        </w:rPr>
        <w:t xml:space="preserve"> </w:t>
      </w:r>
      <w:r w:rsidRPr="00FC2211">
        <w:rPr>
          <w:rFonts w:eastAsia="Calibri" w:cstheme="minorHAnsi"/>
          <w:szCs w:val="20"/>
        </w:rPr>
        <w:t>not</w:t>
      </w:r>
      <w:r w:rsidRPr="00FC2211">
        <w:rPr>
          <w:rFonts w:eastAsia="Calibri" w:cstheme="minorHAnsi"/>
          <w:spacing w:val="-8"/>
          <w:szCs w:val="20"/>
        </w:rPr>
        <w:t xml:space="preserve"> </w:t>
      </w:r>
      <w:r w:rsidRPr="00FC2211">
        <w:rPr>
          <w:rFonts w:eastAsia="Calibri" w:cstheme="minorHAnsi"/>
          <w:szCs w:val="20"/>
        </w:rPr>
        <w:t>there</w:t>
      </w:r>
      <w:r w:rsidRPr="00FC2211">
        <w:rPr>
          <w:rFonts w:eastAsia="Calibri" w:cstheme="minorHAnsi"/>
          <w:spacing w:val="-7"/>
          <w:szCs w:val="20"/>
        </w:rPr>
        <w:t xml:space="preserve"> </w:t>
      </w:r>
      <w:r w:rsidRPr="00FC2211">
        <w:rPr>
          <w:rFonts w:eastAsia="Calibri" w:cstheme="minorHAnsi"/>
          <w:szCs w:val="20"/>
        </w:rPr>
        <w:t>will</w:t>
      </w:r>
      <w:r w:rsidRPr="00FC2211">
        <w:rPr>
          <w:rFonts w:eastAsia="Calibri" w:cstheme="minorHAnsi"/>
          <w:spacing w:val="-8"/>
          <w:szCs w:val="20"/>
        </w:rPr>
        <w:t xml:space="preserve"> </w:t>
      </w:r>
      <w:r w:rsidRPr="00FC2211">
        <w:rPr>
          <w:rFonts w:eastAsia="Calibri" w:cstheme="minorHAnsi"/>
          <w:szCs w:val="20"/>
        </w:rPr>
        <w:t>be</w:t>
      </w:r>
      <w:r w:rsidRPr="00FC2211">
        <w:rPr>
          <w:rFonts w:eastAsia="Calibri" w:cstheme="minorHAnsi"/>
          <w:spacing w:val="-7"/>
          <w:szCs w:val="20"/>
        </w:rPr>
        <w:t xml:space="preserve"> </w:t>
      </w:r>
      <w:r w:rsidRPr="00FC2211">
        <w:rPr>
          <w:rFonts w:eastAsia="Calibri" w:cstheme="minorHAnsi"/>
          <w:szCs w:val="20"/>
        </w:rPr>
        <w:t>sufficient</w:t>
      </w:r>
      <w:r w:rsidRPr="00FC2211">
        <w:rPr>
          <w:rFonts w:eastAsia="Calibri" w:cstheme="minorHAnsi"/>
          <w:spacing w:val="-8"/>
          <w:szCs w:val="20"/>
        </w:rPr>
        <w:t xml:space="preserve"> </w:t>
      </w:r>
      <w:r w:rsidRPr="00FC2211">
        <w:rPr>
          <w:rFonts w:eastAsia="Calibri" w:cstheme="minorHAnsi"/>
          <w:szCs w:val="20"/>
        </w:rPr>
        <w:t xml:space="preserve">taxable profits available to offset the tax assets when they do reverse. This requires assumptions regarding future profitability and is therefore inherently uncertain. To the extent assumptions regarding future profitability change, there can be an increase or decrease in the amounts recognized in respect of deferred tax assets </w:t>
      </w:r>
      <w:r w:rsidR="00D3433C" w:rsidRPr="00FC2211">
        <w:rPr>
          <w:rFonts w:eastAsia="Calibri" w:cstheme="minorHAnsi"/>
          <w:szCs w:val="20"/>
        </w:rPr>
        <w:t>and</w:t>
      </w:r>
      <w:r w:rsidRPr="00FC2211">
        <w:rPr>
          <w:rFonts w:eastAsia="Calibri" w:cstheme="minorHAnsi"/>
          <w:szCs w:val="20"/>
        </w:rPr>
        <w:t xml:space="preserve"> the amounts recognized in profit or loss in the </w:t>
      </w:r>
      <w:r w:rsidR="00B62E86" w:rsidRPr="00FC2211">
        <w:rPr>
          <w:rFonts w:eastAsia="Calibri" w:cstheme="minorHAnsi"/>
          <w:szCs w:val="20"/>
        </w:rPr>
        <w:t>year</w:t>
      </w:r>
      <w:r w:rsidRPr="00FC2211">
        <w:rPr>
          <w:rFonts w:eastAsia="Calibri" w:cstheme="minorHAnsi"/>
          <w:szCs w:val="20"/>
        </w:rPr>
        <w:t xml:space="preserve"> in which the change</w:t>
      </w:r>
      <w:r w:rsidRPr="00FC2211">
        <w:rPr>
          <w:rFonts w:eastAsia="Calibri" w:cstheme="minorHAnsi"/>
          <w:spacing w:val="-23"/>
          <w:szCs w:val="20"/>
        </w:rPr>
        <w:t xml:space="preserve"> </w:t>
      </w:r>
      <w:r w:rsidRPr="00FC2211">
        <w:rPr>
          <w:rFonts w:eastAsia="Calibri" w:cstheme="minorHAnsi"/>
          <w:szCs w:val="20"/>
        </w:rPr>
        <w:t>occurs.</w:t>
      </w:r>
    </w:p>
    <w:p w14:paraId="7C00AD52" w14:textId="77777777" w:rsidR="00614A5E" w:rsidRPr="00FC2211" w:rsidRDefault="00614A5E" w:rsidP="00CF01E6">
      <w:pPr>
        <w:widowControl w:val="0"/>
        <w:autoSpaceDE w:val="0"/>
        <w:autoSpaceDN w:val="0"/>
        <w:ind w:left="880" w:right="4"/>
        <w:jc w:val="both"/>
        <w:rPr>
          <w:rFonts w:eastAsia="Calibri" w:cstheme="minorHAnsi"/>
          <w:szCs w:val="20"/>
        </w:rPr>
      </w:pPr>
    </w:p>
    <w:p w14:paraId="33F4F576" w14:textId="7C0BD33D" w:rsidR="00614A5E" w:rsidRPr="00FC2211" w:rsidRDefault="0002326D" w:rsidP="00614A5E">
      <w:pPr>
        <w:autoSpaceDE w:val="0"/>
        <w:autoSpaceDN w:val="0"/>
        <w:adjustRightInd w:val="0"/>
        <w:ind w:left="710" w:right="630" w:firstLine="142"/>
        <w:rPr>
          <w:rFonts w:cstheme="minorHAnsi"/>
          <w:color w:val="000000"/>
          <w:szCs w:val="20"/>
        </w:rPr>
      </w:pPr>
      <w:r w:rsidRPr="00FC2211">
        <w:rPr>
          <w:rFonts w:cstheme="minorHAnsi"/>
          <w:i/>
          <w:iCs/>
          <w:color w:val="000000"/>
          <w:szCs w:val="20"/>
        </w:rPr>
        <w:t>Share-based</w:t>
      </w:r>
      <w:r w:rsidR="00614A5E" w:rsidRPr="00FC2211">
        <w:rPr>
          <w:rFonts w:cstheme="minorHAnsi"/>
          <w:i/>
          <w:iCs/>
          <w:color w:val="000000"/>
          <w:szCs w:val="20"/>
        </w:rPr>
        <w:t xml:space="preserve"> </w:t>
      </w:r>
      <w:r w:rsidRPr="00FC2211">
        <w:rPr>
          <w:rFonts w:cstheme="minorHAnsi"/>
          <w:i/>
          <w:iCs/>
          <w:color w:val="000000"/>
          <w:szCs w:val="20"/>
        </w:rPr>
        <w:t>c</w:t>
      </w:r>
      <w:r w:rsidR="00614A5E" w:rsidRPr="00FC2211">
        <w:rPr>
          <w:rFonts w:cstheme="minorHAnsi"/>
          <w:i/>
          <w:iCs/>
          <w:color w:val="000000"/>
          <w:szCs w:val="20"/>
        </w:rPr>
        <w:t>ompensation</w:t>
      </w:r>
    </w:p>
    <w:p w14:paraId="57797852" w14:textId="77777777" w:rsidR="00614A5E" w:rsidRPr="00FC2211" w:rsidRDefault="00614A5E" w:rsidP="00614A5E">
      <w:pPr>
        <w:autoSpaceDE w:val="0"/>
        <w:autoSpaceDN w:val="0"/>
        <w:adjustRightInd w:val="0"/>
        <w:ind w:left="852" w:right="630"/>
        <w:rPr>
          <w:rFonts w:cstheme="minorHAnsi"/>
          <w:color w:val="000000"/>
          <w:szCs w:val="20"/>
        </w:rPr>
      </w:pPr>
    </w:p>
    <w:p w14:paraId="6A09D46D" w14:textId="77777777" w:rsidR="00614A5E" w:rsidRPr="00FC2211" w:rsidRDefault="00614A5E" w:rsidP="00614A5E">
      <w:pPr>
        <w:autoSpaceDE w:val="0"/>
        <w:autoSpaceDN w:val="0"/>
        <w:adjustRightInd w:val="0"/>
        <w:ind w:left="852" w:right="4"/>
        <w:jc w:val="both"/>
        <w:rPr>
          <w:rFonts w:cstheme="minorHAnsi"/>
          <w:color w:val="000000" w:themeColor="text1"/>
          <w:szCs w:val="20"/>
        </w:rPr>
      </w:pPr>
      <w:r w:rsidRPr="00FC2211">
        <w:rPr>
          <w:rFonts w:cstheme="minorHAnsi"/>
          <w:color w:val="000000" w:themeColor="text1"/>
          <w:szCs w:val="20"/>
        </w:rPr>
        <w:t>Management assesses the fair value of stock options granted in accordance with the accounting policy stated in Note 3.  The fair value of stock options granted is measured using the Black-Scholes option pricing model, which was created to estimate the fair value of freely tradable, fully transferable options. The Company’s stock options have characteristics significantly different from those of traded options, and changes in the highly subjective input assumptions can materially affect the calculated values. The fair value of stock options granted using the Black-Scholes option pricing model does not necessarily provide a reliable measure of the fair value of the Company’s stock option awards.</w:t>
      </w:r>
    </w:p>
    <w:p w14:paraId="2492EF59" w14:textId="77777777" w:rsidR="00614A5E" w:rsidRPr="00FC2211" w:rsidRDefault="00614A5E" w:rsidP="00CF01E6">
      <w:pPr>
        <w:widowControl w:val="0"/>
        <w:autoSpaceDE w:val="0"/>
        <w:autoSpaceDN w:val="0"/>
        <w:ind w:left="880" w:right="4"/>
        <w:jc w:val="both"/>
        <w:rPr>
          <w:rFonts w:eastAsia="Calibri" w:cstheme="minorHAnsi"/>
          <w:szCs w:val="20"/>
        </w:rPr>
      </w:pPr>
    </w:p>
    <w:p w14:paraId="72A49FD7" w14:textId="77777777" w:rsidR="005842BE" w:rsidRPr="00FC2211" w:rsidRDefault="005842BE" w:rsidP="00743579">
      <w:pPr>
        <w:widowControl w:val="0"/>
        <w:autoSpaceDE w:val="0"/>
        <w:autoSpaceDN w:val="0"/>
        <w:ind w:right="630"/>
        <w:rPr>
          <w:rFonts w:eastAsia="Calibri" w:cstheme="minorHAnsi"/>
          <w:szCs w:val="20"/>
        </w:rPr>
      </w:pPr>
    </w:p>
    <w:p w14:paraId="3094E116" w14:textId="77777777" w:rsidR="005842BE" w:rsidRPr="00FC2211" w:rsidRDefault="005842BE" w:rsidP="00DE4A53">
      <w:pPr>
        <w:widowControl w:val="0"/>
        <w:autoSpaceDE w:val="0"/>
        <w:autoSpaceDN w:val="0"/>
        <w:ind w:left="432" w:right="4"/>
        <w:jc w:val="both"/>
        <w:rPr>
          <w:rFonts w:eastAsia="Calibri" w:cstheme="minorHAnsi"/>
          <w:szCs w:val="20"/>
        </w:rPr>
      </w:pPr>
      <w:r w:rsidRPr="00FC2211">
        <w:rPr>
          <w:rFonts w:eastAsia="Calibri" w:cstheme="minorHAnsi"/>
          <w:szCs w:val="20"/>
        </w:rPr>
        <w:t>The information about significant areas of judgment considered by management in preparing the</w:t>
      </w:r>
      <w:r w:rsidR="00026E6A" w:rsidRPr="00FC2211">
        <w:rPr>
          <w:rFonts w:eastAsia="Calibri" w:cstheme="minorHAnsi"/>
          <w:szCs w:val="20"/>
        </w:rPr>
        <w:t>se</w:t>
      </w:r>
      <w:r w:rsidRPr="00FC2211">
        <w:rPr>
          <w:rFonts w:eastAsia="Calibri" w:cstheme="minorHAnsi"/>
          <w:szCs w:val="20"/>
        </w:rPr>
        <w:t xml:space="preserve"> </w:t>
      </w:r>
      <w:r w:rsidR="001937C9" w:rsidRPr="00FC2211">
        <w:rPr>
          <w:rFonts w:eastAsia="Calibri" w:cstheme="minorHAnsi"/>
          <w:szCs w:val="20"/>
        </w:rPr>
        <w:t>Financial Statements</w:t>
      </w:r>
      <w:r w:rsidRPr="00FC2211">
        <w:rPr>
          <w:rFonts w:eastAsia="Calibri" w:cstheme="minorHAnsi"/>
          <w:szCs w:val="20"/>
        </w:rPr>
        <w:t xml:space="preserve"> is as follows:</w:t>
      </w:r>
    </w:p>
    <w:p w14:paraId="5A8BC4B5" w14:textId="77777777" w:rsidR="005842BE" w:rsidRPr="00FC2211" w:rsidRDefault="005842BE" w:rsidP="00743579">
      <w:pPr>
        <w:widowControl w:val="0"/>
        <w:autoSpaceDE w:val="0"/>
        <w:autoSpaceDN w:val="0"/>
        <w:spacing w:before="11"/>
        <w:ind w:right="630"/>
        <w:rPr>
          <w:rFonts w:eastAsia="Calibri" w:cstheme="minorHAnsi"/>
          <w:szCs w:val="20"/>
        </w:rPr>
      </w:pPr>
    </w:p>
    <w:p w14:paraId="3F064B0A" w14:textId="77777777" w:rsidR="005842BE" w:rsidRPr="00FC2211" w:rsidRDefault="005842BE" w:rsidP="00743579">
      <w:pPr>
        <w:widowControl w:val="0"/>
        <w:autoSpaceDE w:val="0"/>
        <w:autoSpaceDN w:val="0"/>
        <w:ind w:left="880" w:right="630"/>
        <w:rPr>
          <w:rFonts w:eastAsia="Calibri" w:cstheme="minorHAnsi"/>
          <w:i/>
          <w:szCs w:val="20"/>
        </w:rPr>
      </w:pPr>
      <w:r w:rsidRPr="00FC2211">
        <w:rPr>
          <w:rFonts w:eastAsia="Calibri" w:cstheme="minorHAnsi"/>
          <w:i/>
          <w:szCs w:val="20"/>
        </w:rPr>
        <w:t>Going concern</w:t>
      </w:r>
    </w:p>
    <w:p w14:paraId="6F799F10" w14:textId="77777777" w:rsidR="005842BE" w:rsidRPr="00FC2211" w:rsidRDefault="005842BE" w:rsidP="00743579">
      <w:pPr>
        <w:widowControl w:val="0"/>
        <w:autoSpaceDE w:val="0"/>
        <w:autoSpaceDN w:val="0"/>
        <w:ind w:right="630"/>
        <w:rPr>
          <w:rFonts w:eastAsia="Calibri" w:cstheme="minorHAnsi"/>
          <w:i/>
          <w:szCs w:val="20"/>
        </w:rPr>
      </w:pPr>
    </w:p>
    <w:p w14:paraId="27D82040" w14:textId="24CF742D" w:rsidR="005842BE" w:rsidRPr="00FC2211" w:rsidRDefault="005842BE" w:rsidP="00985C6C">
      <w:pPr>
        <w:widowControl w:val="0"/>
        <w:autoSpaceDE w:val="0"/>
        <w:autoSpaceDN w:val="0"/>
        <w:ind w:left="880" w:right="4"/>
        <w:jc w:val="both"/>
        <w:rPr>
          <w:rFonts w:eastAsia="Calibri" w:cstheme="minorHAnsi"/>
          <w:szCs w:val="20"/>
        </w:rPr>
      </w:pPr>
      <w:r w:rsidRPr="00FC2211">
        <w:rPr>
          <w:rFonts w:eastAsia="Calibri" w:cstheme="minorHAnsi"/>
          <w:szCs w:val="20"/>
        </w:rPr>
        <w:t>The assessment of the Company's ability to continue as a going concern</w:t>
      </w:r>
      <w:r w:rsidR="00D3433C" w:rsidRPr="00FC2211">
        <w:rPr>
          <w:rFonts w:eastAsia="Calibri" w:cstheme="minorHAnsi"/>
          <w:szCs w:val="20"/>
        </w:rPr>
        <w:t>,</w:t>
      </w:r>
      <w:r w:rsidRPr="00FC2211">
        <w:rPr>
          <w:rFonts w:eastAsia="Calibri" w:cstheme="minorHAnsi"/>
          <w:szCs w:val="20"/>
        </w:rPr>
        <w:t xml:space="preserve"> as discussed in Note 1</w:t>
      </w:r>
      <w:r w:rsidR="00F77108" w:rsidRPr="00FC2211">
        <w:rPr>
          <w:rFonts w:eastAsia="Calibri" w:cstheme="minorHAnsi"/>
          <w:szCs w:val="20"/>
        </w:rPr>
        <w:t>,</w:t>
      </w:r>
      <w:r w:rsidRPr="00FC2211">
        <w:rPr>
          <w:rFonts w:eastAsia="Calibri" w:cstheme="minorHAnsi"/>
          <w:szCs w:val="20"/>
        </w:rPr>
        <w:t xml:space="preserve"> involves judgment regarding future funding available for its operations and working capital requirements.</w:t>
      </w:r>
    </w:p>
    <w:p w14:paraId="59D8D843" w14:textId="77777777" w:rsidR="002D58E1" w:rsidRPr="00FC2211" w:rsidRDefault="002D58E1" w:rsidP="00C243A5">
      <w:pPr>
        <w:autoSpaceDE w:val="0"/>
        <w:autoSpaceDN w:val="0"/>
        <w:adjustRightInd w:val="0"/>
        <w:ind w:left="852" w:right="630"/>
        <w:rPr>
          <w:rFonts w:cstheme="minorHAnsi"/>
          <w:color w:val="000000"/>
          <w:szCs w:val="20"/>
        </w:rPr>
      </w:pPr>
    </w:p>
    <w:p w14:paraId="6EED6744" w14:textId="77777777" w:rsidR="002D58E1" w:rsidRPr="00FC2211" w:rsidRDefault="002D58E1" w:rsidP="00C243A5">
      <w:pPr>
        <w:autoSpaceDE w:val="0"/>
        <w:autoSpaceDN w:val="0"/>
        <w:adjustRightInd w:val="0"/>
        <w:ind w:left="852" w:right="630"/>
        <w:rPr>
          <w:rFonts w:cstheme="minorHAnsi"/>
          <w:i/>
          <w:iCs/>
          <w:szCs w:val="20"/>
        </w:rPr>
      </w:pPr>
      <w:r w:rsidRPr="00FC2211">
        <w:rPr>
          <w:rFonts w:cstheme="minorHAnsi"/>
          <w:i/>
          <w:iCs/>
          <w:szCs w:val="20"/>
        </w:rPr>
        <w:t>Business combinations</w:t>
      </w:r>
    </w:p>
    <w:p w14:paraId="249F8F3F" w14:textId="77777777" w:rsidR="002D58E1" w:rsidRPr="00FC2211" w:rsidRDefault="002D58E1" w:rsidP="00C243A5">
      <w:pPr>
        <w:autoSpaceDE w:val="0"/>
        <w:autoSpaceDN w:val="0"/>
        <w:adjustRightInd w:val="0"/>
        <w:ind w:left="852" w:right="630"/>
        <w:rPr>
          <w:rFonts w:cstheme="minorHAnsi"/>
          <w:szCs w:val="20"/>
        </w:rPr>
      </w:pPr>
    </w:p>
    <w:p w14:paraId="18471AF6" w14:textId="77777777" w:rsidR="002D58E1" w:rsidRPr="00FC2211" w:rsidRDefault="002D58E1" w:rsidP="00C76409">
      <w:pPr>
        <w:autoSpaceDE w:val="0"/>
        <w:autoSpaceDN w:val="0"/>
        <w:adjustRightInd w:val="0"/>
        <w:ind w:left="852" w:right="4"/>
        <w:jc w:val="both"/>
        <w:rPr>
          <w:rFonts w:cstheme="minorHAnsi"/>
          <w:szCs w:val="20"/>
        </w:rPr>
      </w:pPr>
      <w:r w:rsidRPr="00FC2211">
        <w:rPr>
          <w:rFonts w:cstheme="minorHAnsi"/>
          <w:szCs w:val="20"/>
        </w:rPr>
        <w:t>Business combinations require management to exercise judgment in</w:t>
      </w:r>
      <w:r w:rsidR="00B24116" w:rsidRPr="00FC2211">
        <w:rPr>
          <w:rFonts w:cstheme="minorHAnsi"/>
          <w:szCs w:val="20"/>
        </w:rPr>
        <w:t xml:space="preserve"> determining whether a group of assets constitutes a business and</w:t>
      </w:r>
      <w:r w:rsidRPr="00FC2211">
        <w:rPr>
          <w:rFonts w:cstheme="minorHAnsi"/>
          <w:szCs w:val="20"/>
        </w:rPr>
        <w:t xml:space="preserve"> measuring the fair value of assets acquired and liabilities and contingent liabilities incurred or assumed. Judgment is also required in determining what qualifies as part of consideration paid.</w:t>
      </w:r>
    </w:p>
    <w:p w14:paraId="7AE2163F" w14:textId="77777777" w:rsidR="00AC1CF9" w:rsidRPr="00FC2211" w:rsidRDefault="00AC1CF9" w:rsidP="00C76409">
      <w:pPr>
        <w:autoSpaceDE w:val="0"/>
        <w:autoSpaceDN w:val="0"/>
        <w:adjustRightInd w:val="0"/>
        <w:ind w:left="852" w:right="4"/>
        <w:jc w:val="both"/>
        <w:rPr>
          <w:rFonts w:cstheme="minorHAnsi"/>
          <w:szCs w:val="20"/>
        </w:rPr>
      </w:pPr>
    </w:p>
    <w:p w14:paraId="4E7C68A5" w14:textId="77777777" w:rsidR="00DB3951" w:rsidRPr="00FC2211" w:rsidRDefault="00DB3951">
      <w:pPr>
        <w:rPr>
          <w:rFonts w:cstheme="minorHAnsi"/>
          <w:szCs w:val="20"/>
        </w:rPr>
      </w:pPr>
      <w:r w:rsidRPr="00FC2211">
        <w:rPr>
          <w:rFonts w:cstheme="minorHAnsi"/>
          <w:szCs w:val="20"/>
        </w:rPr>
        <w:br w:type="page"/>
      </w:r>
    </w:p>
    <w:p w14:paraId="15C7623A" w14:textId="77777777" w:rsidR="00600AC3" w:rsidRPr="00FC2211" w:rsidRDefault="001643A6" w:rsidP="00246178">
      <w:pPr>
        <w:pStyle w:val="Heading1"/>
        <w:numPr>
          <w:ilvl w:val="0"/>
          <w:numId w:val="43"/>
        </w:numPr>
        <w:ind w:left="284"/>
        <w:rPr>
          <w:rFonts w:cstheme="minorHAnsi"/>
          <w:szCs w:val="20"/>
          <w:lang w:val="en-GB"/>
        </w:rPr>
      </w:pPr>
      <w:r w:rsidRPr="00FC2211">
        <w:rPr>
          <w:rFonts w:cstheme="minorHAnsi"/>
          <w:szCs w:val="20"/>
          <w:lang w:val="en-GB"/>
        </w:rPr>
        <w:lastRenderedPageBreak/>
        <w:t>S</w:t>
      </w:r>
      <w:r w:rsidR="007B7BDC" w:rsidRPr="00FC2211">
        <w:rPr>
          <w:rFonts w:cstheme="minorHAnsi"/>
          <w:szCs w:val="20"/>
          <w:lang w:val="en-GB"/>
        </w:rPr>
        <w:t>IGNIFICANT ACCOUNTING POLICIES</w:t>
      </w:r>
    </w:p>
    <w:p w14:paraId="1D100E35" w14:textId="77777777" w:rsidR="00C243A5" w:rsidRPr="00FC2211" w:rsidRDefault="00C243A5" w:rsidP="00C243A5">
      <w:pPr>
        <w:rPr>
          <w:lang w:val="en-GB"/>
        </w:rPr>
      </w:pPr>
    </w:p>
    <w:p w14:paraId="7EFD92DE" w14:textId="2B2CF968" w:rsidR="00AA05FB" w:rsidRPr="00FC2211" w:rsidRDefault="00AA05FB" w:rsidP="00AA05FB">
      <w:pPr>
        <w:pStyle w:val="NormalWeb"/>
        <w:ind w:left="357"/>
        <w:jc w:val="both"/>
        <w:rPr>
          <w:rFonts w:eastAsia="Calibri" w:cstheme="minorHAnsi"/>
          <w:szCs w:val="20"/>
        </w:rPr>
      </w:pPr>
      <w:r w:rsidRPr="00FC2211">
        <w:rPr>
          <w:rFonts w:eastAsia="Calibri" w:cstheme="minorHAnsi"/>
          <w:szCs w:val="20"/>
        </w:rPr>
        <w:t>In preparing these Financial Statements, the significant accounting policies and judgements made by management in applying the Company’s significant accounting policies and key sources of estimation uncertainty were the same as those that applied to the Company’s audited financial statements for the year ended June 30, 202</w:t>
      </w:r>
      <w:r w:rsidR="00FD3799" w:rsidRPr="00FC2211">
        <w:rPr>
          <w:rFonts w:eastAsia="Calibri" w:cstheme="minorHAnsi"/>
          <w:szCs w:val="20"/>
        </w:rPr>
        <w:t>3</w:t>
      </w:r>
      <w:r w:rsidRPr="00FC2211">
        <w:rPr>
          <w:rFonts w:eastAsia="Calibri" w:cstheme="minorHAnsi"/>
          <w:szCs w:val="20"/>
        </w:rPr>
        <w:t xml:space="preserve">.  </w:t>
      </w:r>
    </w:p>
    <w:p w14:paraId="60F83CA4" w14:textId="77777777" w:rsidR="00AA05FB" w:rsidRPr="00FC2211" w:rsidRDefault="00AA05FB" w:rsidP="00AA05FB">
      <w:pPr>
        <w:pStyle w:val="NormalWeb"/>
        <w:ind w:left="357"/>
        <w:jc w:val="both"/>
        <w:rPr>
          <w:rFonts w:eastAsia="Calibri" w:cstheme="minorHAnsi"/>
          <w:szCs w:val="20"/>
        </w:rPr>
      </w:pPr>
    </w:p>
    <w:p w14:paraId="2E3B524B" w14:textId="0D0385DA" w:rsidR="00AA05FB" w:rsidRPr="00FC2211" w:rsidRDefault="00AA05FB" w:rsidP="00AA05FB">
      <w:pPr>
        <w:pStyle w:val="NormalWeb"/>
        <w:ind w:left="357"/>
        <w:jc w:val="both"/>
        <w:rPr>
          <w:rFonts w:eastAsia="Calibri" w:cstheme="minorHAnsi"/>
          <w:szCs w:val="20"/>
        </w:rPr>
      </w:pPr>
      <w:r w:rsidRPr="00FC2211">
        <w:rPr>
          <w:rFonts w:eastAsia="Calibri" w:cstheme="minorHAnsi"/>
          <w:szCs w:val="20"/>
        </w:rPr>
        <w:t>Interim results are not necessarily indicative of the results expected for the financial year. Annual results may differ from interim estimates. The significant judgments made by management applied in the preparation of these Financial Statements are consistent with those applied and disclosed in the Company's audited consolidated financial statements for the year ended June 30, 202</w:t>
      </w:r>
      <w:r w:rsidR="00FD3799" w:rsidRPr="00FC2211">
        <w:rPr>
          <w:rFonts w:eastAsia="Calibri" w:cstheme="minorHAnsi"/>
          <w:szCs w:val="20"/>
        </w:rPr>
        <w:t>3</w:t>
      </w:r>
      <w:r w:rsidRPr="00FC2211">
        <w:rPr>
          <w:rFonts w:eastAsia="Calibri" w:cstheme="minorHAnsi"/>
          <w:szCs w:val="20"/>
        </w:rPr>
        <w:t xml:space="preserve">. </w:t>
      </w:r>
    </w:p>
    <w:p w14:paraId="47DBC06F" w14:textId="77777777" w:rsidR="00AA05FB" w:rsidRPr="00FC2211" w:rsidRDefault="00AA05FB" w:rsidP="008E654B">
      <w:pPr>
        <w:pStyle w:val="Heading2"/>
        <w:tabs>
          <w:tab w:val="left" w:pos="519"/>
        </w:tabs>
        <w:spacing w:before="0"/>
        <w:rPr>
          <w:rFonts w:asciiTheme="minorHAnsi" w:eastAsia="Calibri" w:hAnsiTheme="minorHAnsi" w:cstheme="minorHAnsi"/>
          <w:b/>
          <w:bCs/>
          <w:color w:val="auto"/>
          <w:sz w:val="20"/>
          <w:szCs w:val="20"/>
        </w:rPr>
      </w:pPr>
    </w:p>
    <w:p w14:paraId="76C56F4A" w14:textId="5BCC4E11" w:rsidR="008E654B" w:rsidRPr="00FC2211" w:rsidRDefault="008E654B" w:rsidP="008E654B">
      <w:pPr>
        <w:pStyle w:val="Heading2"/>
        <w:tabs>
          <w:tab w:val="left" w:pos="519"/>
        </w:tabs>
        <w:spacing w:before="0"/>
        <w:rPr>
          <w:rFonts w:asciiTheme="minorHAnsi" w:eastAsia="Calibri" w:hAnsiTheme="minorHAnsi" w:cstheme="minorHAnsi"/>
          <w:b/>
          <w:bCs/>
          <w:color w:val="auto"/>
          <w:sz w:val="20"/>
          <w:szCs w:val="20"/>
        </w:rPr>
      </w:pPr>
      <w:r w:rsidRPr="00FC2211">
        <w:rPr>
          <w:rFonts w:asciiTheme="minorHAnsi" w:eastAsia="Calibri" w:hAnsiTheme="minorHAnsi" w:cstheme="minorHAnsi"/>
          <w:b/>
          <w:bCs/>
          <w:color w:val="auto"/>
          <w:sz w:val="20"/>
          <w:szCs w:val="20"/>
        </w:rPr>
        <w:t>4.    VITTAGE ASSET ACQUISITION</w:t>
      </w:r>
    </w:p>
    <w:p w14:paraId="0F4B62BF" w14:textId="77777777" w:rsidR="008E654B" w:rsidRPr="00FC2211" w:rsidRDefault="008E654B" w:rsidP="008E654B">
      <w:pPr>
        <w:autoSpaceDE w:val="0"/>
        <w:autoSpaceDN w:val="0"/>
        <w:adjustRightInd w:val="0"/>
        <w:jc w:val="both"/>
        <w:rPr>
          <w:rFonts w:cstheme="minorBidi"/>
          <w:szCs w:val="20"/>
          <w:lang w:val="en-CA"/>
        </w:rPr>
      </w:pPr>
    </w:p>
    <w:p w14:paraId="5A17EC69" w14:textId="6314E309" w:rsidR="008E654B" w:rsidRPr="00FC2211" w:rsidRDefault="008E654B" w:rsidP="008E6FAB">
      <w:pPr>
        <w:autoSpaceDE w:val="0"/>
        <w:autoSpaceDN w:val="0"/>
        <w:adjustRightInd w:val="0"/>
        <w:ind w:left="288"/>
        <w:jc w:val="both"/>
        <w:rPr>
          <w:rFonts w:cstheme="minorBidi"/>
          <w:szCs w:val="20"/>
          <w:lang w:val="en-CA"/>
        </w:rPr>
      </w:pPr>
      <w:r w:rsidRPr="00FC2211">
        <w:rPr>
          <w:rFonts w:cstheme="minorBidi"/>
          <w:szCs w:val="20"/>
          <w:lang w:val="en-CA"/>
        </w:rPr>
        <w:t xml:space="preserve">On December 22, 2021, the Company acquired </w:t>
      </w:r>
      <w:r w:rsidR="00E6340F" w:rsidRPr="00FC2211">
        <w:rPr>
          <w:rFonts w:cstheme="minorBidi"/>
          <w:szCs w:val="20"/>
          <w:lang w:val="en-CA"/>
        </w:rPr>
        <w:t xml:space="preserve">all of </w:t>
      </w:r>
      <w:r w:rsidR="00A82940" w:rsidRPr="00FC2211">
        <w:rPr>
          <w:rFonts w:cstheme="minorBidi"/>
          <w:szCs w:val="20"/>
          <w:lang w:val="en-CA"/>
        </w:rPr>
        <w:t xml:space="preserve">the assets of </w:t>
      </w:r>
      <w:r w:rsidRPr="00FC2211">
        <w:rPr>
          <w:rFonts w:cstheme="minorBidi"/>
          <w:szCs w:val="20"/>
          <w:lang w:val="en-CA"/>
        </w:rPr>
        <w:t>Vittage</w:t>
      </w:r>
      <w:r w:rsidR="00A82940" w:rsidRPr="00FC2211">
        <w:rPr>
          <w:rFonts w:cstheme="minorBidi"/>
          <w:szCs w:val="20"/>
          <w:lang w:val="en-CA"/>
        </w:rPr>
        <w:t xml:space="preserve"> Ltd. </w:t>
      </w:r>
      <w:r w:rsidRPr="00FC2211">
        <w:rPr>
          <w:rFonts w:cstheme="minorBidi"/>
          <w:szCs w:val="20"/>
          <w:lang w:val="en-CA"/>
        </w:rPr>
        <w:t xml:space="preserve">in exchange for </w:t>
      </w:r>
      <w:r w:rsidR="008E6FAB" w:rsidRPr="00FC2211">
        <w:rPr>
          <w:rFonts w:cstheme="minorBidi"/>
          <w:szCs w:val="20"/>
          <w:lang w:val="en-CA"/>
        </w:rPr>
        <w:t>US</w:t>
      </w:r>
      <w:r w:rsidRPr="00FC2211">
        <w:rPr>
          <w:rFonts w:cstheme="minorBidi"/>
          <w:szCs w:val="20"/>
          <w:lang w:val="en-CA"/>
        </w:rPr>
        <w:t xml:space="preserve">$35,000 in cash. </w:t>
      </w:r>
      <w:r w:rsidR="00A82940" w:rsidRPr="00FC2211">
        <w:rPr>
          <w:rFonts w:cstheme="minorBidi"/>
          <w:szCs w:val="20"/>
          <w:lang w:val="en-CA"/>
        </w:rPr>
        <w:t>The purpose of the acquisition was primarily to acquire the Securitytags.com domain name</w:t>
      </w:r>
      <w:r w:rsidR="008E6FAB" w:rsidRPr="00FC2211">
        <w:rPr>
          <w:rFonts w:cstheme="minorBidi"/>
          <w:szCs w:val="20"/>
          <w:lang w:val="en-CA"/>
        </w:rPr>
        <w:t xml:space="preserve"> and its inventories for resale</w:t>
      </w:r>
      <w:r w:rsidR="00A82940" w:rsidRPr="00FC2211">
        <w:rPr>
          <w:rFonts w:cstheme="minorBidi"/>
          <w:szCs w:val="20"/>
          <w:lang w:val="en-CA"/>
        </w:rPr>
        <w:t>.</w:t>
      </w:r>
    </w:p>
    <w:p w14:paraId="62D56CBB" w14:textId="77777777" w:rsidR="008E654B" w:rsidRPr="00FC2211" w:rsidRDefault="008E654B" w:rsidP="008E6FAB">
      <w:pPr>
        <w:autoSpaceDE w:val="0"/>
        <w:autoSpaceDN w:val="0"/>
        <w:adjustRightInd w:val="0"/>
        <w:ind w:left="288"/>
        <w:jc w:val="both"/>
        <w:rPr>
          <w:rFonts w:cstheme="minorBidi"/>
          <w:szCs w:val="20"/>
          <w:lang w:val="en-CA"/>
        </w:rPr>
      </w:pPr>
    </w:p>
    <w:p w14:paraId="30B9340D" w14:textId="2E29A609" w:rsidR="008E654B" w:rsidRPr="00FC2211" w:rsidRDefault="008E654B" w:rsidP="008E6FAB">
      <w:pPr>
        <w:ind w:left="288"/>
        <w:jc w:val="both"/>
        <w:rPr>
          <w:szCs w:val="20"/>
        </w:rPr>
      </w:pPr>
      <w:bookmarkStart w:id="2" w:name="_Hlk113792406"/>
      <w:r w:rsidRPr="00FC2211">
        <w:rPr>
          <w:rFonts w:cstheme="minorBidi"/>
          <w:szCs w:val="20"/>
          <w:lang w:val="en-CA"/>
        </w:rPr>
        <w:t>In accordance with IFRS 3, using the asset concentration test, the acquisition met the definition of an asset acquisition as substantially all of the fair value is in the inventor</w:t>
      </w:r>
      <w:r w:rsidR="008E6FAB" w:rsidRPr="00FC2211">
        <w:rPr>
          <w:rFonts w:cstheme="minorBidi"/>
          <w:szCs w:val="20"/>
          <w:lang w:val="en-CA"/>
        </w:rPr>
        <w:t>ies</w:t>
      </w:r>
      <w:r w:rsidRPr="00FC2211">
        <w:rPr>
          <w:rFonts w:cstheme="minorBidi"/>
          <w:szCs w:val="20"/>
          <w:lang w:val="en-CA"/>
        </w:rPr>
        <w:t xml:space="preserve">. </w:t>
      </w:r>
    </w:p>
    <w:bookmarkEnd w:id="2"/>
    <w:p w14:paraId="4C0EA2B3" w14:textId="77777777" w:rsidR="008E654B" w:rsidRPr="00FC2211" w:rsidRDefault="008E654B" w:rsidP="008E6FAB">
      <w:pPr>
        <w:autoSpaceDE w:val="0"/>
        <w:autoSpaceDN w:val="0"/>
        <w:adjustRightInd w:val="0"/>
        <w:ind w:left="288"/>
        <w:jc w:val="both"/>
        <w:rPr>
          <w:rFonts w:cstheme="minorBidi"/>
          <w:szCs w:val="20"/>
          <w:lang w:val="en-CA"/>
        </w:rPr>
      </w:pPr>
    </w:p>
    <w:p w14:paraId="30F138E7" w14:textId="28C57D00" w:rsidR="008E654B" w:rsidRPr="00FC2211" w:rsidRDefault="00482E8F" w:rsidP="008E6FAB">
      <w:pPr>
        <w:autoSpaceDE w:val="0"/>
        <w:autoSpaceDN w:val="0"/>
        <w:adjustRightInd w:val="0"/>
        <w:ind w:left="288"/>
        <w:jc w:val="both"/>
        <w:rPr>
          <w:rFonts w:cstheme="minorBidi"/>
          <w:szCs w:val="20"/>
          <w:lang w:val="en-CA"/>
        </w:rPr>
      </w:pPr>
      <w:r w:rsidRPr="00FC2211">
        <w:rPr>
          <w:rFonts w:cstheme="minorBidi"/>
          <w:szCs w:val="20"/>
          <w:lang w:val="en-CA"/>
        </w:rPr>
        <w:t>T</w:t>
      </w:r>
      <w:r w:rsidR="008E654B" w:rsidRPr="00FC2211">
        <w:rPr>
          <w:rFonts w:cstheme="minorBidi"/>
          <w:szCs w:val="20"/>
          <w:lang w:val="en-CA"/>
        </w:rPr>
        <w:t>he following table summarizes the fair value of the consideration transferred and the fair values assigned to each asset acquired on the acquisition date:</w:t>
      </w:r>
    </w:p>
    <w:p w14:paraId="3120C0FF" w14:textId="77777777" w:rsidR="008E654B" w:rsidRPr="00FC2211" w:rsidRDefault="008E654B" w:rsidP="008E654B">
      <w:pPr>
        <w:widowControl w:val="0"/>
        <w:autoSpaceDE w:val="0"/>
        <w:autoSpaceDN w:val="0"/>
        <w:spacing w:line="244" w:lineRule="exact"/>
        <w:ind w:left="360"/>
        <w:rPr>
          <w:rFonts w:cstheme="minorHAnsi"/>
          <w:szCs w:val="20"/>
          <w:lang w:val="en-CA"/>
        </w:rPr>
      </w:pPr>
    </w:p>
    <w:p w14:paraId="5098D0A0" w14:textId="77777777" w:rsidR="008E654B" w:rsidRPr="00FC2211" w:rsidRDefault="008E654B" w:rsidP="008E654B">
      <w:pPr>
        <w:widowControl w:val="0"/>
        <w:autoSpaceDE w:val="0"/>
        <w:autoSpaceDN w:val="0"/>
        <w:spacing w:line="244" w:lineRule="exact"/>
        <w:ind w:left="360"/>
        <w:rPr>
          <w:rFonts w:cstheme="minorHAnsi"/>
          <w:b/>
          <w:bCs/>
          <w:szCs w:val="20"/>
          <w:u w:val="single"/>
          <w:lang w:val="en-CA"/>
        </w:rPr>
      </w:pPr>
      <w:bookmarkStart w:id="3" w:name="_Hlk114141256"/>
      <w:r w:rsidRPr="00FC2211">
        <w:rPr>
          <w:rFonts w:cstheme="minorHAnsi"/>
          <w:b/>
          <w:bCs/>
          <w:szCs w:val="20"/>
          <w:u w:val="single"/>
          <w:lang w:val="en-CA"/>
        </w:rPr>
        <w:t>Consideration transferred</w:t>
      </w:r>
    </w:p>
    <w:p w14:paraId="118869BD" w14:textId="77777777" w:rsidR="008E654B" w:rsidRPr="00FC2211" w:rsidRDefault="008E654B" w:rsidP="008E654B">
      <w:pPr>
        <w:widowControl w:val="0"/>
        <w:autoSpaceDE w:val="0"/>
        <w:autoSpaceDN w:val="0"/>
        <w:spacing w:line="244" w:lineRule="exact"/>
        <w:ind w:left="360"/>
        <w:rPr>
          <w:rFonts w:cstheme="minorHAnsi"/>
          <w:szCs w:val="20"/>
          <w:lang w:val="en-CA"/>
        </w:rPr>
      </w:pPr>
      <w:r w:rsidRPr="00FC2211">
        <w:rPr>
          <w:rFonts w:cstheme="minorHAnsi"/>
          <w:szCs w:val="20"/>
          <w:lang w:val="en-CA"/>
        </w:rPr>
        <w:t>Cash</w:t>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00482E8F" w:rsidRPr="00FC2211">
        <w:rPr>
          <w:rFonts w:cstheme="minorHAnsi"/>
          <w:szCs w:val="20"/>
          <w:lang w:val="en-CA"/>
        </w:rPr>
        <w:t xml:space="preserve">   </w:t>
      </w:r>
      <w:r w:rsidRPr="00FC2211">
        <w:rPr>
          <w:rFonts w:cstheme="minorHAnsi"/>
          <w:b/>
          <w:bCs/>
          <w:szCs w:val="20"/>
          <w:lang w:val="en-CA"/>
        </w:rPr>
        <w:t>$</w:t>
      </w:r>
      <w:r w:rsidR="00482E8F" w:rsidRPr="00FC2211">
        <w:rPr>
          <w:rFonts w:cstheme="minorHAnsi"/>
          <w:b/>
          <w:bCs/>
          <w:szCs w:val="20"/>
          <w:lang w:val="en-CA"/>
        </w:rPr>
        <w:t>4</w:t>
      </w:r>
      <w:r w:rsidRPr="00FC2211">
        <w:rPr>
          <w:rFonts w:cstheme="minorHAnsi"/>
          <w:b/>
          <w:bCs/>
          <w:szCs w:val="20"/>
          <w:lang w:val="en-CA"/>
        </w:rPr>
        <w:t>3,</w:t>
      </w:r>
      <w:r w:rsidR="00482E8F" w:rsidRPr="00FC2211">
        <w:rPr>
          <w:rFonts w:cstheme="minorHAnsi"/>
          <w:b/>
          <w:bCs/>
          <w:szCs w:val="20"/>
          <w:lang w:val="en-CA"/>
        </w:rPr>
        <w:t>939</w:t>
      </w:r>
    </w:p>
    <w:p w14:paraId="394D2272" w14:textId="77777777" w:rsidR="008E654B" w:rsidRPr="00FC2211" w:rsidRDefault="008E654B" w:rsidP="008E654B">
      <w:pPr>
        <w:widowControl w:val="0"/>
        <w:autoSpaceDE w:val="0"/>
        <w:autoSpaceDN w:val="0"/>
        <w:spacing w:line="244" w:lineRule="exact"/>
        <w:ind w:left="360"/>
        <w:rPr>
          <w:rFonts w:cstheme="minorHAnsi"/>
          <w:szCs w:val="20"/>
          <w:lang w:val="en-CA"/>
        </w:rPr>
      </w:pPr>
    </w:p>
    <w:p w14:paraId="5F2F3E63" w14:textId="77777777" w:rsidR="008E654B" w:rsidRPr="00FC2211" w:rsidRDefault="008E654B" w:rsidP="008E654B">
      <w:pPr>
        <w:widowControl w:val="0"/>
        <w:autoSpaceDE w:val="0"/>
        <w:autoSpaceDN w:val="0"/>
        <w:spacing w:line="244" w:lineRule="exact"/>
        <w:ind w:left="360"/>
        <w:rPr>
          <w:rFonts w:cstheme="minorHAnsi"/>
          <w:b/>
          <w:bCs/>
          <w:szCs w:val="20"/>
          <w:u w:val="single"/>
          <w:lang w:val="en-CA"/>
        </w:rPr>
      </w:pPr>
      <w:r w:rsidRPr="00FC2211">
        <w:rPr>
          <w:rFonts w:cstheme="minorHAnsi"/>
          <w:b/>
          <w:bCs/>
          <w:szCs w:val="20"/>
          <w:u w:val="single"/>
          <w:lang w:val="en-CA"/>
        </w:rPr>
        <w:t>Identifiable assets required</w:t>
      </w:r>
    </w:p>
    <w:p w14:paraId="3279470A" w14:textId="77777777" w:rsidR="008E654B" w:rsidRPr="00FC2211" w:rsidRDefault="008E654B" w:rsidP="008E654B">
      <w:pPr>
        <w:widowControl w:val="0"/>
        <w:autoSpaceDE w:val="0"/>
        <w:autoSpaceDN w:val="0"/>
        <w:spacing w:line="244" w:lineRule="exact"/>
        <w:ind w:left="360"/>
        <w:rPr>
          <w:rFonts w:cstheme="minorHAnsi"/>
          <w:szCs w:val="20"/>
          <w:lang w:val="en-CA"/>
        </w:rPr>
      </w:pPr>
      <w:r w:rsidRPr="00FC2211">
        <w:rPr>
          <w:rFonts w:cstheme="minorHAnsi"/>
          <w:szCs w:val="20"/>
          <w:lang w:val="en-CA"/>
        </w:rPr>
        <w:t>Inventories</w:t>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t>$</w:t>
      </w:r>
      <w:r w:rsidR="00482E8F" w:rsidRPr="00FC2211">
        <w:rPr>
          <w:rFonts w:cstheme="minorHAnsi"/>
          <w:szCs w:val="20"/>
          <w:lang w:val="en-CA"/>
        </w:rPr>
        <w:t>37</w:t>
      </w:r>
      <w:r w:rsidRPr="00FC2211">
        <w:rPr>
          <w:rFonts w:cstheme="minorHAnsi"/>
          <w:szCs w:val="20"/>
          <w:lang w:val="en-CA"/>
        </w:rPr>
        <w:t>,</w:t>
      </w:r>
      <w:r w:rsidR="00482E8F" w:rsidRPr="00FC2211">
        <w:rPr>
          <w:rFonts w:cstheme="minorHAnsi"/>
          <w:szCs w:val="20"/>
          <w:lang w:val="en-CA"/>
        </w:rPr>
        <w:t>431</w:t>
      </w:r>
    </w:p>
    <w:p w14:paraId="71A713C3" w14:textId="38DCD04E" w:rsidR="008E654B" w:rsidRPr="00FC2211" w:rsidRDefault="00482E8F" w:rsidP="008E654B">
      <w:pPr>
        <w:widowControl w:val="0"/>
        <w:autoSpaceDE w:val="0"/>
        <w:autoSpaceDN w:val="0"/>
        <w:spacing w:line="244" w:lineRule="exact"/>
        <w:ind w:left="360"/>
        <w:rPr>
          <w:rFonts w:cstheme="minorHAnsi"/>
          <w:szCs w:val="20"/>
          <w:u w:val="single"/>
          <w:lang w:val="en-CA"/>
        </w:rPr>
      </w:pPr>
      <w:r w:rsidRPr="00FC2211">
        <w:rPr>
          <w:rFonts w:cstheme="minorHAnsi"/>
          <w:szCs w:val="20"/>
          <w:u w:val="single"/>
          <w:lang w:val="en-CA"/>
        </w:rPr>
        <w:t>Intangible</w:t>
      </w:r>
      <w:r w:rsidR="00A82940" w:rsidRPr="00FC2211">
        <w:rPr>
          <w:rFonts w:cstheme="minorHAnsi"/>
          <w:szCs w:val="20"/>
          <w:u w:val="single"/>
          <w:lang w:val="en-CA"/>
        </w:rPr>
        <w:t xml:space="preserve"> assets</w:t>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r>
      <w:r w:rsidR="008E654B" w:rsidRPr="00FC2211">
        <w:rPr>
          <w:rFonts w:cstheme="minorHAnsi"/>
          <w:szCs w:val="20"/>
          <w:u w:val="single"/>
          <w:lang w:val="en-CA"/>
        </w:rPr>
        <w:tab/>
        <w:t xml:space="preserve">$  </w:t>
      </w:r>
      <w:r w:rsidRPr="00FC2211">
        <w:rPr>
          <w:rFonts w:cstheme="minorHAnsi"/>
          <w:szCs w:val="20"/>
          <w:u w:val="single"/>
          <w:lang w:val="en-CA"/>
        </w:rPr>
        <w:t>6</w:t>
      </w:r>
      <w:r w:rsidR="008E654B" w:rsidRPr="00FC2211">
        <w:rPr>
          <w:rFonts w:cstheme="minorHAnsi"/>
          <w:szCs w:val="20"/>
          <w:u w:val="single"/>
          <w:lang w:val="en-CA"/>
        </w:rPr>
        <w:t>,5</w:t>
      </w:r>
      <w:r w:rsidRPr="00FC2211">
        <w:rPr>
          <w:rFonts w:cstheme="minorHAnsi"/>
          <w:szCs w:val="20"/>
          <w:u w:val="single"/>
          <w:lang w:val="en-CA"/>
        </w:rPr>
        <w:t>08</w:t>
      </w:r>
    </w:p>
    <w:p w14:paraId="31AE0478" w14:textId="2D05B067" w:rsidR="008E654B" w:rsidRPr="00FC2211" w:rsidRDefault="008E654B" w:rsidP="008E654B">
      <w:pPr>
        <w:widowControl w:val="0"/>
        <w:autoSpaceDE w:val="0"/>
        <w:autoSpaceDN w:val="0"/>
        <w:spacing w:line="244" w:lineRule="exact"/>
        <w:ind w:left="360"/>
        <w:rPr>
          <w:rFonts w:cstheme="minorHAnsi"/>
          <w:szCs w:val="20"/>
          <w:lang w:val="en-CA"/>
        </w:rPr>
      </w:pPr>
      <w:r w:rsidRPr="00FC2211">
        <w:rPr>
          <w:rFonts w:cstheme="minorHAnsi"/>
          <w:b/>
          <w:bCs/>
          <w:szCs w:val="20"/>
          <w:lang w:val="en-CA"/>
        </w:rPr>
        <w:t>Total identifiable assets acquired</w:t>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szCs w:val="20"/>
          <w:lang w:val="en-CA"/>
        </w:rPr>
        <w:tab/>
      </w:r>
      <w:r w:rsidRPr="00FC2211">
        <w:rPr>
          <w:rFonts w:cstheme="minorHAnsi"/>
          <w:b/>
          <w:bCs/>
          <w:szCs w:val="20"/>
          <w:lang w:val="en-CA"/>
        </w:rPr>
        <w:t>$</w:t>
      </w:r>
      <w:r w:rsidR="00E83120" w:rsidRPr="00FC2211">
        <w:rPr>
          <w:rFonts w:cstheme="minorHAnsi"/>
          <w:b/>
          <w:bCs/>
          <w:szCs w:val="20"/>
          <w:lang w:val="en-CA"/>
        </w:rPr>
        <w:t>43,939</w:t>
      </w:r>
    </w:p>
    <w:p w14:paraId="7BEE4755" w14:textId="77777777" w:rsidR="008E654B" w:rsidRPr="00FC2211" w:rsidRDefault="008E654B" w:rsidP="008E654B">
      <w:pPr>
        <w:widowControl w:val="0"/>
        <w:autoSpaceDE w:val="0"/>
        <w:autoSpaceDN w:val="0"/>
        <w:spacing w:line="244" w:lineRule="exact"/>
        <w:ind w:left="360"/>
        <w:rPr>
          <w:rFonts w:cstheme="minorHAnsi"/>
          <w:szCs w:val="20"/>
          <w:lang w:val="en-CA"/>
        </w:rPr>
      </w:pPr>
    </w:p>
    <w:bookmarkEnd w:id="3"/>
    <w:p w14:paraId="7F337C9D" w14:textId="77777777" w:rsidR="008E654B" w:rsidRPr="00FC2211" w:rsidRDefault="008E654B" w:rsidP="008E654B">
      <w:pPr>
        <w:widowControl w:val="0"/>
        <w:autoSpaceDE w:val="0"/>
        <w:autoSpaceDN w:val="0"/>
        <w:spacing w:line="244" w:lineRule="exact"/>
        <w:ind w:left="360"/>
        <w:rPr>
          <w:rFonts w:cstheme="minorHAnsi"/>
          <w:szCs w:val="20"/>
          <w:lang w:val="en-CA"/>
        </w:rPr>
      </w:pPr>
    </w:p>
    <w:p w14:paraId="7540933C" w14:textId="4C648FB1" w:rsidR="00482E8F" w:rsidRPr="00FC2211" w:rsidRDefault="00482E8F" w:rsidP="00380756">
      <w:pPr>
        <w:widowControl w:val="0"/>
        <w:autoSpaceDE w:val="0"/>
        <w:autoSpaceDN w:val="0"/>
        <w:spacing w:line="244" w:lineRule="exact"/>
        <w:ind w:left="360"/>
        <w:jc w:val="both"/>
        <w:rPr>
          <w:rFonts w:cstheme="minorHAnsi"/>
          <w:szCs w:val="20"/>
          <w:lang w:val="en-CA"/>
        </w:rPr>
      </w:pPr>
      <w:r w:rsidRPr="00FC2211">
        <w:rPr>
          <w:rFonts w:cstheme="minorHAnsi"/>
          <w:szCs w:val="20"/>
          <w:lang w:val="en-CA"/>
        </w:rPr>
        <w:t>Intangible assets acquire</w:t>
      </w:r>
      <w:r w:rsidR="00664CDA" w:rsidRPr="00FC2211">
        <w:rPr>
          <w:rFonts w:cstheme="minorHAnsi"/>
          <w:szCs w:val="20"/>
          <w:lang w:val="en-CA"/>
        </w:rPr>
        <w:t>d</w:t>
      </w:r>
      <w:r w:rsidRPr="00FC2211">
        <w:rPr>
          <w:rFonts w:cstheme="minorHAnsi"/>
          <w:szCs w:val="20"/>
          <w:lang w:val="en-CA"/>
        </w:rPr>
        <w:t xml:space="preserve"> </w:t>
      </w:r>
      <w:r w:rsidR="00A82940" w:rsidRPr="00FC2211">
        <w:rPr>
          <w:rFonts w:cstheme="minorHAnsi"/>
          <w:szCs w:val="20"/>
          <w:lang w:val="en-CA"/>
        </w:rPr>
        <w:t xml:space="preserve">include domain names, </w:t>
      </w:r>
      <w:r w:rsidR="00B850C4" w:rsidRPr="00FC2211">
        <w:rPr>
          <w:rFonts w:cstheme="minorHAnsi"/>
          <w:szCs w:val="20"/>
          <w:lang w:val="en-CA"/>
        </w:rPr>
        <w:t>websites</w:t>
      </w:r>
      <w:r w:rsidR="00A82940" w:rsidRPr="00FC2211">
        <w:rPr>
          <w:rFonts w:cstheme="minorHAnsi"/>
          <w:szCs w:val="20"/>
          <w:lang w:val="en-CA"/>
        </w:rPr>
        <w:t xml:space="preserve">, social media </w:t>
      </w:r>
      <w:r w:rsidR="008E6FAB" w:rsidRPr="00FC2211">
        <w:rPr>
          <w:rFonts w:cstheme="minorHAnsi"/>
          <w:szCs w:val="20"/>
          <w:lang w:val="en-CA"/>
        </w:rPr>
        <w:t xml:space="preserve">accounts, </w:t>
      </w:r>
      <w:r w:rsidR="00A82940" w:rsidRPr="00FC2211">
        <w:rPr>
          <w:rFonts w:cstheme="minorHAnsi"/>
          <w:szCs w:val="20"/>
          <w:lang w:val="en-CA"/>
        </w:rPr>
        <w:t xml:space="preserve">and customer listings, which </w:t>
      </w:r>
      <w:r w:rsidRPr="00FC2211">
        <w:rPr>
          <w:rFonts w:cstheme="minorHAnsi"/>
          <w:szCs w:val="20"/>
          <w:lang w:val="en-CA"/>
        </w:rPr>
        <w:t xml:space="preserve">are amortized over their estimated useful life of 3 years.  During the </w:t>
      </w:r>
      <w:r w:rsidR="0063223D" w:rsidRPr="00FC2211">
        <w:rPr>
          <w:rFonts w:cstheme="minorHAnsi"/>
          <w:szCs w:val="20"/>
          <w:lang w:val="en-CA"/>
        </w:rPr>
        <w:t>six</w:t>
      </w:r>
      <w:r w:rsidR="00FD3799" w:rsidRPr="00FC2211">
        <w:rPr>
          <w:rFonts w:cstheme="minorHAnsi"/>
          <w:szCs w:val="20"/>
          <w:lang w:val="en-CA"/>
        </w:rPr>
        <w:t xml:space="preserve"> months</w:t>
      </w:r>
      <w:r w:rsidRPr="00FC2211">
        <w:rPr>
          <w:rFonts w:cstheme="minorHAnsi"/>
          <w:szCs w:val="20"/>
          <w:lang w:val="en-CA"/>
        </w:rPr>
        <w:t xml:space="preserve"> ended </w:t>
      </w:r>
      <w:r w:rsidR="00A03263" w:rsidRPr="00FC2211">
        <w:rPr>
          <w:rFonts w:cstheme="minorHAnsi"/>
          <w:szCs w:val="20"/>
          <w:lang w:val="en-CA"/>
        </w:rPr>
        <w:t>December 31</w:t>
      </w:r>
      <w:r w:rsidR="00664CDA" w:rsidRPr="00FC2211">
        <w:rPr>
          <w:rFonts w:cstheme="minorHAnsi"/>
          <w:szCs w:val="20"/>
          <w:lang w:val="en-CA"/>
        </w:rPr>
        <w:t>, 202</w:t>
      </w:r>
      <w:r w:rsidR="00585C19" w:rsidRPr="00FC2211">
        <w:rPr>
          <w:rFonts w:cstheme="minorHAnsi"/>
          <w:szCs w:val="20"/>
          <w:lang w:val="en-CA"/>
        </w:rPr>
        <w:t>3</w:t>
      </w:r>
      <w:r w:rsidR="008E6FAB" w:rsidRPr="00FC2211">
        <w:rPr>
          <w:rFonts w:cstheme="minorHAnsi"/>
          <w:szCs w:val="20"/>
          <w:lang w:val="en-CA"/>
        </w:rPr>
        <w:t>,</w:t>
      </w:r>
      <w:r w:rsidR="00664CDA" w:rsidRPr="00FC2211">
        <w:rPr>
          <w:rFonts w:cstheme="minorHAnsi"/>
          <w:szCs w:val="20"/>
          <w:lang w:val="en-CA"/>
        </w:rPr>
        <w:t xml:space="preserve"> the </w:t>
      </w:r>
      <w:r w:rsidR="00A82940" w:rsidRPr="00FC2211">
        <w:rPr>
          <w:rFonts w:cstheme="minorHAnsi"/>
          <w:szCs w:val="20"/>
          <w:lang w:val="en-CA"/>
        </w:rPr>
        <w:t>C</w:t>
      </w:r>
      <w:r w:rsidR="00664CDA" w:rsidRPr="00FC2211">
        <w:rPr>
          <w:rFonts w:cstheme="minorHAnsi"/>
          <w:szCs w:val="20"/>
          <w:lang w:val="en-CA"/>
        </w:rPr>
        <w:t>ompany recognized $</w:t>
      </w:r>
      <w:r w:rsidR="00A03263" w:rsidRPr="00FC2211">
        <w:rPr>
          <w:rFonts w:cstheme="minorHAnsi"/>
          <w:szCs w:val="20"/>
          <w:lang w:val="en-CA"/>
        </w:rPr>
        <w:t>1,085</w:t>
      </w:r>
      <w:r w:rsidR="007B6D01" w:rsidRPr="00FC2211">
        <w:rPr>
          <w:rFonts w:cstheme="minorHAnsi"/>
          <w:szCs w:val="20"/>
          <w:lang w:val="en-CA"/>
        </w:rPr>
        <w:t xml:space="preserve"> (</w:t>
      </w:r>
      <w:r w:rsidR="00713404" w:rsidRPr="00FC2211">
        <w:rPr>
          <w:rFonts w:cstheme="minorHAnsi"/>
          <w:szCs w:val="20"/>
          <w:lang w:val="en-CA"/>
        </w:rPr>
        <w:t>December 31</w:t>
      </w:r>
      <w:r w:rsidR="0009078D" w:rsidRPr="00FC2211">
        <w:rPr>
          <w:rFonts w:cstheme="minorHAnsi"/>
          <w:szCs w:val="20"/>
          <w:lang w:val="en-CA"/>
        </w:rPr>
        <w:t xml:space="preserve">, </w:t>
      </w:r>
      <w:r w:rsidR="007B6D01" w:rsidRPr="00FC2211">
        <w:rPr>
          <w:rFonts w:cstheme="minorHAnsi"/>
          <w:szCs w:val="20"/>
          <w:lang w:val="en-CA"/>
        </w:rPr>
        <w:t>2022 - $</w:t>
      </w:r>
      <w:r w:rsidR="00A03263" w:rsidRPr="00FC2211">
        <w:rPr>
          <w:rFonts w:cstheme="minorHAnsi"/>
          <w:szCs w:val="20"/>
          <w:lang w:val="en-CA"/>
        </w:rPr>
        <w:t>1,085</w:t>
      </w:r>
      <w:r w:rsidR="007B6D01" w:rsidRPr="00FC2211">
        <w:rPr>
          <w:rFonts w:cstheme="minorHAnsi"/>
          <w:szCs w:val="20"/>
          <w:lang w:val="en-CA"/>
        </w:rPr>
        <w:t>)</w:t>
      </w:r>
      <w:r w:rsidR="00664CDA" w:rsidRPr="00FC2211">
        <w:rPr>
          <w:rFonts w:cstheme="minorHAnsi"/>
          <w:szCs w:val="20"/>
          <w:lang w:val="en-CA"/>
        </w:rPr>
        <w:t xml:space="preserve"> in amortization related to the intangible assets.</w:t>
      </w:r>
    </w:p>
    <w:p w14:paraId="495D5CE8" w14:textId="77777777" w:rsidR="00482E8F" w:rsidRPr="00FC2211" w:rsidRDefault="00482E8F" w:rsidP="008E654B">
      <w:pPr>
        <w:widowControl w:val="0"/>
        <w:autoSpaceDE w:val="0"/>
        <w:autoSpaceDN w:val="0"/>
        <w:spacing w:line="244" w:lineRule="exact"/>
        <w:ind w:left="360"/>
        <w:rPr>
          <w:rFonts w:cstheme="minorHAnsi"/>
          <w:szCs w:val="20"/>
          <w:lang w:val="en-CA"/>
        </w:rPr>
      </w:pPr>
    </w:p>
    <w:p w14:paraId="52DC58CF" w14:textId="77777777" w:rsidR="008E654B" w:rsidRPr="00FC2211" w:rsidRDefault="008E654B" w:rsidP="006D684A">
      <w:pPr>
        <w:tabs>
          <w:tab w:val="left" w:pos="360"/>
        </w:tabs>
        <w:ind w:left="360" w:right="630"/>
        <w:rPr>
          <w:rFonts w:eastAsia="Calibri" w:cstheme="minorHAnsi"/>
          <w:szCs w:val="20"/>
        </w:rPr>
      </w:pPr>
    </w:p>
    <w:p w14:paraId="6A47ED24" w14:textId="77777777" w:rsidR="00365A7E" w:rsidRPr="00FC2211" w:rsidRDefault="008E654B" w:rsidP="00365A7E">
      <w:pPr>
        <w:pStyle w:val="Heading1"/>
        <w:spacing w:before="0"/>
        <w:rPr>
          <w:rFonts w:cstheme="minorHAnsi"/>
          <w:szCs w:val="20"/>
          <w:lang w:val="en-CA"/>
        </w:rPr>
      </w:pPr>
      <w:r w:rsidRPr="00FC2211">
        <w:rPr>
          <w:rFonts w:cstheme="minorHAnsi"/>
          <w:szCs w:val="20"/>
          <w:lang w:val="en-GB"/>
        </w:rPr>
        <w:t>5</w:t>
      </w:r>
      <w:r w:rsidR="00365A7E" w:rsidRPr="00FC2211">
        <w:rPr>
          <w:rFonts w:cstheme="minorHAnsi"/>
          <w:szCs w:val="20"/>
          <w:lang w:val="en-GB"/>
        </w:rPr>
        <w:t xml:space="preserve">.   </w:t>
      </w:r>
      <w:r w:rsidR="00365A7E" w:rsidRPr="00FC2211">
        <w:rPr>
          <w:rFonts w:cstheme="minorHAnsi"/>
          <w:szCs w:val="20"/>
        </w:rPr>
        <w:t>ACC</w:t>
      </w:r>
      <w:r w:rsidR="00406DA6" w:rsidRPr="00FC2211">
        <w:rPr>
          <w:rFonts w:cstheme="minorHAnsi"/>
          <w:szCs w:val="20"/>
        </w:rPr>
        <w:t>O</w:t>
      </w:r>
      <w:r w:rsidR="00365A7E" w:rsidRPr="00FC2211">
        <w:rPr>
          <w:rFonts w:cstheme="minorHAnsi"/>
          <w:szCs w:val="20"/>
        </w:rPr>
        <w:t>UNTS RECEIVABLE</w:t>
      </w:r>
    </w:p>
    <w:p w14:paraId="64616627" w14:textId="77777777" w:rsidR="00365A7E" w:rsidRPr="00FC2211" w:rsidRDefault="00365A7E" w:rsidP="007335A5">
      <w:pPr>
        <w:autoSpaceDE w:val="0"/>
        <w:autoSpaceDN w:val="0"/>
        <w:adjustRightInd w:val="0"/>
        <w:rPr>
          <w:rFonts w:cstheme="minorHAnsi"/>
          <w:szCs w:val="20"/>
          <w:lang w:val="en-CA"/>
        </w:rPr>
      </w:pPr>
    </w:p>
    <w:p w14:paraId="403CDF73" w14:textId="2D6274F9" w:rsidR="00E97C9D" w:rsidRPr="00FC2211" w:rsidRDefault="00C8286E" w:rsidP="00D93FBA">
      <w:pPr>
        <w:ind w:left="284" w:firstLine="1"/>
        <w:jc w:val="both"/>
        <w:rPr>
          <w:rFonts w:cstheme="minorHAnsi"/>
          <w:szCs w:val="20"/>
          <w:lang w:val="en-CA"/>
        </w:rPr>
      </w:pPr>
      <w:r w:rsidRPr="00FC2211">
        <w:rPr>
          <w:rFonts w:cstheme="minorHAnsi"/>
          <w:szCs w:val="20"/>
          <w:lang w:val="en-CA"/>
        </w:rPr>
        <w:t xml:space="preserve">Accounts receivable as at </w:t>
      </w:r>
      <w:r w:rsidR="002612A5" w:rsidRPr="00FC2211">
        <w:rPr>
          <w:rFonts w:cstheme="minorHAnsi"/>
          <w:szCs w:val="20"/>
          <w:lang w:val="en-CA"/>
        </w:rPr>
        <w:t>December 31, 2023</w:t>
      </w:r>
      <w:r w:rsidR="00D93FBA" w:rsidRPr="00FC2211">
        <w:rPr>
          <w:rFonts w:cstheme="minorHAnsi"/>
          <w:szCs w:val="20"/>
          <w:lang w:val="en-CA"/>
        </w:rPr>
        <w:t>,</w:t>
      </w:r>
      <w:r w:rsidR="00FB780D" w:rsidRPr="00FC2211">
        <w:rPr>
          <w:rFonts w:cstheme="minorHAnsi"/>
          <w:szCs w:val="20"/>
          <w:lang w:val="en-CA"/>
        </w:rPr>
        <w:t xml:space="preserve"> </w:t>
      </w:r>
      <w:r w:rsidRPr="00FC2211">
        <w:rPr>
          <w:rFonts w:cstheme="minorHAnsi"/>
          <w:szCs w:val="20"/>
          <w:lang w:val="en-CA"/>
        </w:rPr>
        <w:t>amounted to $</w:t>
      </w:r>
      <w:r w:rsidR="002628F1" w:rsidRPr="00FC2211">
        <w:rPr>
          <w:rFonts w:cstheme="minorHAnsi"/>
          <w:szCs w:val="20"/>
          <w:lang w:val="en-CA"/>
        </w:rPr>
        <w:t>255,322</w:t>
      </w:r>
      <w:r w:rsidR="007B608B" w:rsidRPr="00FC2211">
        <w:rPr>
          <w:rFonts w:cstheme="minorHAnsi"/>
          <w:szCs w:val="20"/>
          <w:lang w:val="en-CA"/>
        </w:rPr>
        <w:t xml:space="preserve"> </w:t>
      </w:r>
      <w:r w:rsidRPr="00FC2211">
        <w:rPr>
          <w:rFonts w:cstheme="minorHAnsi"/>
          <w:szCs w:val="20"/>
          <w:lang w:val="en-CA"/>
        </w:rPr>
        <w:t>(June 30, 202</w:t>
      </w:r>
      <w:r w:rsidR="00136E79" w:rsidRPr="00FC2211">
        <w:rPr>
          <w:rFonts w:cstheme="minorHAnsi"/>
          <w:szCs w:val="20"/>
          <w:lang w:val="en-CA"/>
        </w:rPr>
        <w:t>3</w:t>
      </w:r>
      <w:r w:rsidRPr="00FC2211">
        <w:rPr>
          <w:rFonts w:cstheme="minorHAnsi"/>
          <w:szCs w:val="20"/>
          <w:lang w:val="en-CA"/>
        </w:rPr>
        <w:t xml:space="preserve"> – $</w:t>
      </w:r>
      <w:r w:rsidR="00136E79" w:rsidRPr="00FC2211">
        <w:rPr>
          <w:rFonts w:cstheme="minorHAnsi"/>
          <w:szCs w:val="20"/>
          <w:lang w:val="en-CA"/>
        </w:rPr>
        <w:t>252,599</w:t>
      </w:r>
      <w:r w:rsidRPr="00FC2211">
        <w:rPr>
          <w:rFonts w:cstheme="minorHAnsi"/>
          <w:szCs w:val="20"/>
          <w:lang w:val="en-CA"/>
        </w:rPr>
        <w:t>).</w:t>
      </w:r>
      <w:r w:rsidR="00413970" w:rsidRPr="00FC2211">
        <w:rPr>
          <w:rFonts w:cstheme="minorHAnsi"/>
          <w:szCs w:val="20"/>
          <w:lang w:val="en-CA"/>
        </w:rPr>
        <w:t xml:space="preserve"> </w:t>
      </w:r>
      <w:r w:rsidR="00930193" w:rsidRPr="00FC2211">
        <w:rPr>
          <w:rFonts w:cstheme="minorHAnsi"/>
          <w:szCs w:val="20"/>
          <w:lang w:val="en-CA"/>
        </w:rPr>
        <w:t xml:space="preserve">The Company generally does not hold any collateral as security for </w:t>
      </w:r>
      <w:r w:rsidR="00737884" w:rsidRPr="00FC2211">
        <w:rPr>
          <w:rFonts w:cstheme="minorHAnsi"/>
          <w:szCs w:val="20"/>
          <w:lang w:val="en-CA"/>
        </w:rPr>
        <w:t xml:space="preserve">accounts </w:t>
      </w:r>
      <w:r w:rsidR="00930193" w:rsidRPr="00FC2211">
        <w:rPr>
          <w:rFonts w:cstheme="minorHAnsi"/>
          <w:szCs w:val="20"/>
          <w:lang w:val="en-CA"/>
        </w:rPr>
        <w:t>receivables.</w:t>
      </w:r>
      <w:r w:rsidR="004E59F2" w:rsidRPr="00FC2211">
        <w:rPr>
          <w:rFonts w:cstheme="minorHAnsi"/>
          <w:szCs w:val="20"/>
          <w:lang w:val="en-CA"/>
        </w:rPr>
        <w:t xml:space="preserve"> </w:t>
      </w:r>
      <w:r w:rsidR="009910BD" w:rsidRPr="00FC2211">
        <w:rPr>
          <w:rFonts w:cstheme="minorHAnsi"/>
          <w:szCs w:val="20"/>
          <w:lang w:val="en-CA"/>
        </w:rPr>
        <w:t xml:space="preserve">During the </w:t>
      </w:r>
      <w:r w:rsidR="002612A5" w:rsidRPr="00FC2211">
        <w:rPr>
          <w:rFonts w:cstheme="minorHAnsi"/>
          <w:szCs w:val="20"/>
          <w:lang w:val="en-CA"/>
        </w:rPr>
        <w:t>six</w:t>
      </w:r>
      <w:r w:rsidR="00C76AF7" w:rsidRPr="00FC2211">
        <w:rPr>
          <w:rFonts w:cstheme="minorHAnsi"/>
          <w:szCs w:val="20"/>
          <w:lang w:val="en-CA"/>
        </w:rPr>
        <w:t xml:space="preserve"> months</w:t>
      </w:r>
      <w:r w:rsidR="00417438" w:rsidRPr="00FC2211">
        <w:rPr>
          <w:rFonts w:cstheme="minorHAnsi"/>
          <w:szCs w:val="20"/>
          <w:lang w:val="en-CA"/>
        </w:rPr>
        <w:t xml:space="preserve"> ended</w:t>
      </w:r>
      <w:r w:rsidRPr="00FC2211">
        <w:rPr>
          <w:rFonts w:cstheme="minorHAnsi"/>
          <w:szCs w:val="20"/>
          <w:lang w:val="en-CA"/>
        </w:rPr>
        <w:t xml:space="preserve"> </w:t>
      </w:r>
      <w:r w:rsidR="002612A5" w:rsidRPr="00FC2211">
        <w:rPr>
          <w:rFonts w:cstheme="minorHAnsi"/>
          <w:szCs w:val="20"/>
          <w:lang w:val="en-CA"/>
        </w:rPr>
        <w:t>December 31</w:t>
      </w:r>
      <w:r w:rsidR="00417438" w:rsidRPr="00FC2211">
        <w:rPr>
          <w:rFonts w:cstheme="minorHAnsi"/>
          <w:szCs w:val="20"/>
          <w:lang w:val="en-CA"/>
        </w:rPr>
        <w:t>, 202</w:t>
      </w:r>
      <w:r w:rsidR="00D93FBA" w:rsidRPr="00FC2211">
        <w:rPr>
          <w:rFonts w:cstheme="minorHAnsi"/>
          <w:szCs w:val="20"/>
          <w:lang w:val="en-CA"/>
        </w:rPr>
        <w:t>3,</w:t>
      </w:r>
      <w:r w:rsidR="00FB780D" w:rsidRPr="00FC2211">
        <w:rPr>
          <w:rFonts w:cstheme="minorHAnsi"/>
          <w:szCs w:val="20"/>
          <w:lang w:val="en-CA"/>
        </w:rPr>
        <w:t xml:space="preserve"> </w:t>
      </w:r>
      <w:r w:rsidR="000D67E8" w:rsidRPr="00FC2211">
        <w:rPr>
          <w:rFonts w:cstheme="minorHAnsi"/>
          <w:szCs w:val="20"/>
          <w:lang w:val="en-CA"/>
        </w:rPr>
        <w:t>the Company recognized expected credit losses of $</w:t>
      </w:r>
      <w:r w:rsidR="00ED1B16" w:rsidRPr="00FC2211">
        <w:rPr>
          <w:rFonts w:cstheme="minorHAnsi"/>
          <w:szCs w:val="20"/>
          <w:lang w:val="en-CA"/>
        </w:rPr>
        <w:t>17,958</w:t>
      </w:r>
      <w:r w:rsidR="002628F1" w:rsidRPr="00FC2211">
        <w:rPr>
          <w:rFonts w:cstheme="minorHAnsi"/>
          <w:szCs w:val="20"/>
          <w:lang w:val="en-CA"/>
        </w:rPr>
        <w:t>.</w:t>
      </w:r>
      <w:r w:rsidR="0088301B" w:rsidRPr="00FC2211">
        <w:rPr>
          <w:rFonts w:cstheme="minorHAnsi"/>
          <w:szCs w:val="20"/>
          <w:lang w:val="en-CA"/>
        </w:rPr>
        <w:t>,</w:t>
      </w:r>
      <w:r w:rsidR="003A35C6" w:rsidRPr="00FC2211">
        <w:rPr>
          <w:rFonts w:cstheme="minorHAnsi"/>
          <w:szCs w:val="20"/>
          <w:lang w:val="en-CA"/>
        </w:rPr>
        <w:t xml:space="preserve"> </w:t>
      </w:r>
      <w:r w:rsidRPr="00FC2211">
        <w:rPr>
          <w:rFonts w:cstheme="minorHAnsi"/>
          <w:szCs w:val="20"/>
          <w:lang w:val="en-CA"/>
        </w:rPr>
        <w:t>(</w:t>
      </w:r>
      <w:r w:rsidR="002612A5" w:rsidRPr="00FC2211">
        <w:rPr>
          <w:rFonts w:cstheme="minorHAnsi"/>
          <w:szCs w:val="20"/>
          <w:lang w:val="en-CA"/>
        </w:rPr>
        <w:t>December 31</w:t>
      </w:r>
      <w:r w:rsidR="00E11176" w:rsidRPr="00FC2211">
        <w:rPr>
          <w:rFonts w:cstheme="minorHAnsi"/>
          <w:szCs w:val="20"/>
          <w:lang w:val="en-CA"/>
        </w:rPr>
        <w:t>, 202</w:t>
      </w:r>
      <w:r w:rsidR="00D93FBA" w:rsidRPr="00FC2211">
        <w:rPr>
          <w:rFonts w:cstheme="minorHAnsi"/>
          <w:szCs w:val="20"/>
          <w:lang w:val="en-CA"/>
        </w:rPr>
        <w:t>2</w:t>
      </w:r>
      <w:r w:rsidRPr="00FC2211">
        <w:rPr>
          <w:rFonts w:cstheme="minorHAnsi"/>
          <w:szCs w:val="20"/>
          <w:lang w:val="en-CA"/>
        </w:rPr>
        <w:t xml:space="preserve"> </w:t>
      </w:r>
      <w:r w:rsidR="00242369" w:rsidRPr="00FC2211">
        <w:rPr>
          <w:rFonts w:cstheme="minorHAnsi"/>
          <w:szCs w:val="20"/>
          <w:lang w:val="en-CA"/>
        </w:rPr>
        <w:t>- $</w:t>
      </w:r>
      <w:r w:rsidR="00542A11" w:rsidRPr="00FC2211">
        <w:rPr>
          <w:rFonts w:cstheme="minorHAnsi"/>
          <w:szCs w:val="20"/>
          <w:lang w:val="en-CA"/>
        </w:rPr>
        <w:t>Nil</w:t>
      </w:r>
      <w:r w:rsidR="007502C7" w:rsidRPr="00FC2211">
        <w:rPr>
          <w:rFonts w:cstheme="minorHAnsi"/>
          <w:szCs w:val="20"/>
          <w:lang w:val="en-CA"/>
        </w:rPr>
        <w:t>).</w:t>
      </w:r>
      <w:r w:rsidR="00664CDA" w:rsidRPr="00FC2211">
        <w:rPr>
          <w:rFonts w:cstheme="minorHAnsi"/>
          <w:szCs w:val="20"/>
          <w:lang w:val="en-CA"/>
        </w:rPr>
        <w:t xml:space="preserve"> As of</w:t>
      </w:r>
      <w:r w:rsidR="00003766" w:rsidRPr="00FC2211">
        <w:rPr>
          <w:rFonts w:cstheme="minorHAnsi"/>
          <w:szCs w:val="20"/>
          <w:lang w:val="en-CA"/>
        </w:rPr>
        <w:t xml:space="preserve"> </w:t>
      </w:r>
      <w:r w:rsidR="002612A5" w:rsidRPr="00FC2211">
        <w:rPr>
          <w:rFonts w:cstheme="minorHAnsi"/>
          <w:szCs w:val="20"/>
          <w:lang w:val="en-CA"/>
        </w:rPr>
        <w:t>December</w:t>
      </w:r>
      <w:r w:rsidR="00664CDA" w:rsidRPr="00FC2211">
        <w:rPr>
          <w:rFonts w:cstheme="minorHAnsi"/>
          <w:szCs w:val="20"/>
          <w:lang w:val="en-CA"/>
        </w:rPr>
        <w:t xml:space="preserve"> 3</w:t>
      </w:r>
      <w:r w:rsidR="002612A5" w:rsidRPr="00FC2211">
        <w:rPr>
          <w:rFonts w:cstheme="minorHAnsi"/>
          <w:szCs w:val="20"/>
          <w:lang w:val="en-CA"/>
        </w:rPr>
        <w:t>1</w:t>
      </w:r>
      <w:r w:rsidR="00664CDA" w:rsidRPr="00FC2211">
        <w:rPr>
          <w:rFonts w:cstheme="minorHAnsi"/>
          <w:szCs w:val="20"/>
          <w:lang w:val="en-CA"/>
        </w:rPr>
        <w:t>, 202</w:t>
      </w:r>
      <w:r w:rsidR="00D93FBA" w:rsidRPr="00FC2211">
        <w:rPr>
          <w:rFonts w:cstheme="minorHAnsi"/>
          <w:szCs w:val="20"/>
          <w:lang w:val="en-CA"/>
        </w:rPr>
        <w:t>3</w:t>
      </w:r>
      <w:r w:rsidR="00664CDA" w:rsidRPr="00FC2211">
        <w:rPr>
          <w:rFonts w:cstheme="minorHAnsi"/>
          <w:szCs w:val="20"/>
          <w:lang w:val="en-CA"/>
        </w:rPr>
        <w:t xml:space="preserve">, </w:t>
      </w:r>
      <w:r w:rsidR="003A35C6" w:rsidRPr="00FC2211">
        <w:rPr>
          <w:rFonts w:cstheme="minorHAnsi"/>
          <w:szCs w:val="20"/>
          <w:lang w:val="en-CA"/>
        </w:rPr>
        <w:t>cumulative expected credit losses</w:t>
      </w:r>
      <w:r w:rsidR="00664CDA" w:rsidRPr="00FC2211">
        <w:rPr>
          <w:rFonts w:cstheme="minorHAnsi"/>
          <w:szCs w:val="20"/>
          <w:lang w:val="en-CA"/>
        </w:rPr>
        <w:t xml:space="preserve"> </w:t>
      </w:r>
      <w:r w:rsidR="000D5297" w:rsidRPr="00FC2211">
        <w:rPr>
          <w:rFonts w:cstheme="minorHAnsi"/>
          <w:szCs w:val="20"/>
          <w:lang w:val="en-CA"/>
        </w:rPr>
        <w:t xml:space="preserve">totalled </w:t>
      </w:r>
      <w:r w:rsidR="00664CDA" w:rsidRPr="00FC2211">
        <w:rPr>
          <w:rFonts w:cstheme="minorHAnsi"/>
          <w:szCs w:val="20"/>
          <w:lang w:val="en-CA"/>
        </w:rPr>
        <w:t>$</w:t>
      </w:r>
      <w:r w:rsidR="000736A0" w:rsidRPr="00FC2211">
        <w:rPr>
          <w:rFonts w:cstheme="minorHAnsi"/>
          <w:szCs w:val="20"/>
          <w:lang w:val="en-CA"/>
        </w:rPr>
        <w:t>28,</w:t>
      </w:r>
      <w:r w:rsidR="00C60492" w:rsidRPr="00FC2211">
        <w:rPr>
          <w:rFonts w:cstheme="minorHAnsi"/>
          <w:szCs w:val="20"/>
          <w:lang w:val="en-CA"/>
        </w:rPr>
        <w:t>406</w:t>
      </w:r>
      <w:r w:rsidR="00664CDA" w:rsidRPr="00FC2211">
        <w:rPr>
          <w:rFonts w:cstheme="minorHAnsi"/>
          <w:szCs w:val="20"/>
          <w:lang w:val="en-CA"/>
        </w:rPr>
        <w:t xml:space="preserve"> (</w:t>
      </w:r>
      <w:r w:rsidR="00693259" w:rsidRPr="00FC2211">
        <w:rPr>
          <w:rFonts w:cstheme="minorHAnsi"/>
          <w:szCs w:val="20"/>
          <w:lang w:val="en-CA"/>
        </w:rPr>
        <w:t xml:space="preserve">June 30, </w:t>
      </w:r>
      <w:r w:rsidR="00664CDA" w:rsidRPr="00FC2211">
        <w:rPr>
          <w:rFonts w:cstheme="minorHAnsi"/>
          <w:szCs w:val="20"/>
          <w:lang w:val="en-CA"/>
        </w:rPr>
        <w:t>202</w:t>
      </w:r>
      <w:r w:rsidR="00693259" w:rsidRPr="00FC2211">
        <w:rPr>
          <w:rFonts w:cstheme="minorHAnsi"/>
          <w:szCs w:val="20"/>
          <w:lang w:val="en-CA"/>
        </w:rPr>
        <w:t>3</w:t>
      </w:r>
      <w:r w:rsidR="00664CDA" w:rsidRPr="00FC2211">
        <w:rPr>
          <w:rFonts w:cstheme="minorHAnsi"/>
          <w:szCs w:val="20"/>
          <w:lang w:val="en-CA"/>
        </w:rPr>
        <w:t xml:space="preserve"> - $</w:t>
      </w:r>
      <w:r w:rsidR="00BF5A7F" w:rsidRPr="00FC2211">
        <w:rPr>
          <w:rFonts w:cstheme="minorHAnsi"/>
          <w:szCs w:val="20"/>
          <w:lang w:val="en-CA"/>
        </w:rPr>
        <w:t>10,448</w:t>
      </w:r>
      <w:r w:rsidR="00664CDA" w:rsidRPr="00FC2211">
        <w:rPr>
          <w:rFonts w:cstheme="minorHAnsi"/>
          <w:szCs w:val="20"/>
          <w:lang w:val="en-CA"/>
        </w:rPr>
        <w:t>).</w:t>
      </w:r>
    </w:p>
    <w:p w14:paraId="0798CB7A" w14:textId="1ED082F6" w:rsidR="009E0238" w:rsidRPr="00FC2211" w:rsidRDefault="009E0238" w:rsidP="00D93FBA">
      <w:pPr>
        <w:ind w:left="284" w:firstLine="1"/>
        <w:jc w:val="both"/>
        <w:rPr>
          <w:rFonts w:cstheme="minorHAnsi"/>
          <w:szCs w:val="20"/>
          <w:lang w:val="en-CA"/>
        </w:rPr>
      </w:pPr>
      <w:r w:rsidRPr="00FC2211">
        <w:rPr>
          <w:rFonts w:cstheme="minorHAnsi"/>
          <w:szCs w:val="20"/>
          <w:lang w:val="en-CA"/>
        </w:rPr>
        <w:br w:type="page"/>
      </w:r>
    </w:p>
    <w:p w14:paraId="461811B7" w14:textId="77777777" w:rsidR="00365A7E" w:rsidRPr="00FC2211" w:rsidRDefault="008E654B" w:rsidP="00643302">
      <w:pPr>
        <w:pStyle w:val="Heading1"/>
        <w:spacing w:before="0"/>
        <w:rPr>
          <w:rFonts w:cstheme="minorHAnsi"/>
          <w:szCs w:val="20"/>
          <w:lang w:val="en-CA"/>
        </w:rPr>
      </w:pPr>
      <w:r w:rsidRPr="00FC2211">
        <w:rPr>
          <w:rFonts w:cstheme="minorHAnsi"/>
          <w:szCs w:val="20"/>
          <w:lang w:val="en-GB"/>
        </w:rPr>
        <w:lastRenderedPageBreak/>
        <w:t>6</w:t>
      </w:r>
      <w:r w:rsidR="00365A7E" w:rsidRPr="00FC2211">
        <w:rPr>
          <w:rFonts w:cstheme="minorHAnsi"/>
          <w:szCs w:val="20"/>
          <w:lang w:val="en-GB"/>
        </w:rPr>
        <w:t xml:space="preserve">.   </w:t>
      </w:r>
      <w:r w:rsidR="00365A7E" w:rsidRPr="00FC2211">
        <w:rPr>
          <w:rFonts w:cstheme="minorHAnsi"/>
          <w:szCs w:val="20"/>
        </w:rPr>
        <w:t>INVENTORY</w:t>
      </w:r>
    </w:p>
    <w:p w14:paraId="246C7AAA" w14:textId="77777777" w:rsidR="00365A7E" w:rsidRPr="00FC2211" w:rsidRDefault="00365A7E" w:rsidP="00643302">
      <w:pPr>
        <w:ind w:firstLine="1"/>
        <w:rPr>
          <w:rFonts w:cstheme="minorHAnsi"/>
          <w:szCs w:val="20"/>
          <w:lang w:val="en-CA"/>
        </w:rPr>
      </w:pPr>
    </w:p>
    <w:p w14:paraId="4FF0E4D2" w14:textId="65264819" w:rsidR="00A82940" w:rsidRPr="00FC2211" w:rsidRDefault="00457AFE" w:rsidP="00D14AB7">
      <w:pPr>
        <w:ind w:left="284"/>
        <w:jc w:val="both"/>
        <w:rPr>
          <w:rFonts w:cstheme="minorHAnsi"/>
          <w:bCs/>
          <w:szCs w:val="20"/>
          <w:lang w:val="en-CA"/>
        </w:rPr>
      </w:pPr>
      <w:r w:rsidRPr="00FC2211">
        <w:rPr>
          <w:rFonts w:cstheme="minorHAnsi"/>
          <w:bCs/>
          <w:szCs w:val="20"/>
          <w:lang w:val="en-CA"/>
        </w:rPr>
        <w:t xml:space="preserve">Inventory </w:t>
      </w:r>
      <w:r w:rsidR="00A37C27" w:rsidRPr="00FC2211">
        <w:rPr>
          <w:rFonts w:cstheme="minorHAnsi"/>
          <w:bCs/>
          <w:szCs w:val="20"/>
          <w:lang w:val="en-CA"/>
        </w:rPr>
        <w:t xml:space="preserve">of </w:t>
      </w:r>
      <w:r w:rsidR="00E53D33" w:rsidRPr="00FC2211">
        <w:rPr>
          <w:rFonts w:cstheme="minorHAnsi"/>
          <w:bCs/>
          <w:szCs w:val="20"/>
          <w:lang w:val="en-CA"/>
        </w:rPr>
        <w:t>f</w:t>
      </w:r>
      <w:r w:rsidR="00A37C27" w:rsidRPr="00FC2211">
        <w:rPr>
          <w:rFonts w:cstheme="minorHAnsi"/>
          <w:bCs/>
          <w:szCs w:val="20"/>
          <w:lang w:val="en-CA"/>
        </w:rPr>
        <w:t xml:space="preserve">inished </w:t>
      </w:r>
      <w:r w:rsidR="007D5F8B" w:rsidRPr="00FC2211">
        <w:rPr>
          <w:rFonts w:cstheme="minorHAnsi"/>
          <w:bCs/>
          <w:szCs w:val="20"/>
          <w:lang w:val="en-CA"/>
        </w:rPr>
        <w:t>goods held</w:t>
      </w:r>
      <w:r w:rsidRPr="00FC2211">
        <w:rPr>
          <w:rFonts w:cstheme="minorHAnsi"/>
          <w:bCs/>
          <w:szCs w:val="20"/>
          <w:lang w:val="en-CA"/>
        </w:rPr>
        <w:t xml:space="preserve"> by the </w:t>
      </w:r>
      <w:r w:rsidR="00123CD1" w:rsidRPr="00FC2211">
        <w:rPr>
          <w:rFonts w:cstheme="minorHAnsi"/>
          <w:bCs/>
          <w:szCs w:val="20"/>
          <w:lang w:val="en-CA"/>
        </w:rPr>
        <w:t>C</w:t>
      </w:r>
      <w:r w:rsidRPr="00FC2211">
        <w:rPr>
          <w:rFonts w:cstheme="minorHAnsi"/>
          <w:bCs/>
          <w:szCs w:val="20"/>
          <w:lang w:val="en-CA"/>
        </w:rPr>
        <w:t>ompany</w:t>
      </w:r>
      <w:r w:rsidR="006B0C91" w:rsidRPr="00FC2211">
        <w:rPr>
          <w:rFonts w:cstheme="minorHAnsi"/>
          <w:bCs/>
          <w:szCs w:val="20"/>
          <w:lang w:val="en-CA"/>
        </w:rPr>
        <w:t xml:space="preserve"> as</w:t>
      </w:r>
      <w:r w:rsidRPr="00FC2211">
        <w:rPr>
          <w:rFonts w:cstheme="minorHAnsi"/>
          <w:bCs/>
          <w:szCs w:val="20"/>
          <w:lang w:val="en-CA"/>
        </w:rPr>
        <w:t xml:space="preserve"> </w:t>
      </w:r>
      <w:r w:rsidR="00D93FBA" w:rsidRPr="00FC2211">
        <w:rPr>
          <w:rFonts w:cstheme="minorHAnsi"/>
          <w:bCs/>
          <w:szCs w:val="20"/>
          <w:lang w:val="en-CA"/>
        </w:rPr>
        <w:t>at</w:t>
      </w:r>
      <w:r w:rsidR="0083715F" w:rsidRPr="00FC2211">
        <w:rPr>
          <w:rFonts w:cstheme="minorHAnsi"/>
          <w:bCs/>
          <w:szCs w:val="20"/>
          <w:lang w:val="en-CA"/>
        </w:rPr>
        <w:t xml:space="preserve"> </w:t>
      </w:r>
      <w:r w:rsidR="002612A5" w:rsidRPr="00FC2211">
        <w:rPr>
          <w:rFonts w:cstheme="minorHAnsi"/>
          <w:bCs/>
          <w:szCs w:val="20"/>
          <w:lang w:val="en-CA"/>
        </w:rPr>
        <w:t>December 31</w:t>
      </w:r>
      <w:r w:rsidR="00417438" w:rsidRPr="00FC2211">
        <w:rPr>
          <w:rFonts w:cstheme="minorHAnsi"/>
          <w:bCs/>
          <w:szCs w:val="20"/>
          <w:lang w:val="en-CA"/>
        </w:rPr>
        <w:t>, 202</w:t>
      </w:r>
      <w:r w:rsidR="00D93FBA" w:rsidRPr="00FC2211">
        <w:rPr>
          <w:rFonts w:cstheme="minorHAnsi"/>
          <w:bCs/>
          <w:szCs w:val="20"/>
          <w:lang w:val="en-CA"/>
        </w:rPr>
        <w:t>3,</w:t>
      </w:r>
      <w:r w:rsidR="00FB780D" w:rsidRPr="00FC2211">
        <w:rPr>
          <w:rFonts w:cstheme="minorHAnsi"/>
          <w:bCs/>
          <w:szCs w:val="20"/>
          <w:lang w:val="en-CA"/>
        </w:rPr>
        <w:t xml:space="preserve"> </w:t>
      </w:r>
      <w:r w:rsidRPr="00FC2211">
        <w:rPr>
          <w:rFonts w:cstheme="minorHAnsi"/>
          <w:bCs/>
          <w:szCs w:val="20"/>
          <w:lang w:val="en-CA"/>
        </w:rPr>
        <w:t>was $</w:t>
      </w:r>
      <w:r w:rsidR="00816C4A" w:rsidRPr="00FC2211">
        <w:rPr>
          <w:rFonts w:cstheme="minorHAnsi"/>
          <w:bCs/>
          <w:szCs w:val="20"/>
          <w:lang w:val="en-CA"/>
        </w:rPr>
        <w:t>232,232</w:t>
      </w:r>
      <w:r w:rsidR="00A37C27" w:rsidRPr="00FC2211">
        <w:rPr>
          <w:rFonts w:cstheme="minorHAnsi"/>
          <w:bCs/>
          <w:szCs w:val="20"/>
          <w:lang w:val="en-CA"/>
        </w:rPr>
        <w:t xml:space="preserve"> </w:t>
      </w:r>
      <w:r w:rsidR="006B0C91" w:rsidRPr="00FC2211">
        <w:rPr>
          <w:rFonts w:cstheme="minorHAnsi"/>
          <w:bCs/>
          <w:szCs w:val="20"/>
          <w:lang w:val="en-CA"/>
        </w:rPr>
        <w:t>(</w:t>
      </w:r>
      <w:r w:rsidR="00EC0240" w:rsidRPr="00FC2211">
        <w:rPr>
          <w:rFonts w:cstheme="minorHAnsi"/>
          <w:bCs/>
          <w:szCs w:val="20"/>
          <w:lang w:val="en-CA"/>
        </w:rPr>
        <w:t>June 30, 202</w:t>
      </w:r>
      <w:r w:rsidR="005149EB" w:rsidRPr="00FC2211">
        <w:rPr>
          <w:rFonts w:cstheme="minorHAnsi"/>
          <w:bCs/>
          <w:szCs w:val="20"/>
          <w:lang w:val="en-CA"/>
        </w:rPr>
        <w:t>3</w:t>
      </w:r>
      <w:r w:rsidR="00A37C27" w:rsidRPr="00FC2211">
        <w:rPr>
          <w:rFonts w:cstheme="minorHAnsi"/>
          <w:bCs/>
          <w:szCs w:val="20"/>
          <w:lang w:val="en-CA"/>
        </w:rPr>
        <w:t xml:space="preserve"> - $</w:t>
      </w:r>
      <w:r w:rsidR="005149EB" w:rsidRPr="00FC2211">
        <w:rPr>
          <w:rFonts w:cstheme="minorHAnsi"/>
          <w:bCs/>
          <w:szCs w:val="20"/>
          <w:lang w:val="en-CA"/>
        </w:rPr>
        <w:t>263,962</w:t>
      </w:r>
      <w:r w:rsidR="00A37C27" w:rsidRPr="00FC2211">
        <w:rPr>
          <w:rFonts w:cstheme="minorHAnsi"/>
          <w:bCs/>
          <w:szCs w:val="20"/>
          <w:lang w:val="en-CA"/>
        </w:rPr>
        <w:t>).</w:t>
      </w:r>
      <w:r w:rsidR="00E93EA5" w:rsidRPr="00FC2211">
        <w:rPr>
          <w:rFonts w:cstheme="minorHAnsi"/>
          <w:bCs/>
          <w:szCs w:val="20"/>
          <w:lang w:val="en-CA"/>
        </w:rPr>
        <w:t xml:space="preserve">  </w:t>
      </w:r>
      <w:r w:rsidR="00504D82" w:rsidRPr="00FC2211">
        <w:rPr>
          <w:rFonts w:cstheme="minorHAnsi"/>
          <w:bCs/>
          <w:szCs w:val="20"/>
          <w:lang w:val="en-CA"/>
        </w:rPr>
        <w:t>Finished goods i</w:t>
      </w:r>
      <w:r w:rsidR="00E93EA5" w:rsidRPr="00FC2211">
        <w:rPr>
          <w:rFonts w:cstheme="minorHAnsi"/>
          <w:bCs/>
          <w:szCs w:val="20"/>
          <w:lang w:val="en-CA"/>
        </w:rPr>
        <w:t xml:space="preserve">nventory consists of </w:t>
      </w:r>
      <w:r w:rsidR="00FF6F4B" w:rsidRPr="00FC2211">
        <w:rPr>
          <w:rFonts w:cstheme="minorHAnsi"/>
          <w:bCs/>
          <w:szCs w:val="20"/>
          <w:lang w:val="en-CA"/>
        </w:rPr>
        <w:t>EAS</w:t>
      </w:r>
      <w:r w:rsidR="00E93EA5" w:rsidRPr="00FC2211">
        <w:rPr>
          <w:rFonts w:cstheme="minorHAnsi"/>
          <w:bCs/>
          <w:szCs w:val="20"/>
          <w:lang w:val="en-CA"/>
        </w:rPr>
        <w:t xml:space="preserve"> products held for resale.  </w:t>
      </w:r>
      <w:r w:rsidR="00367A29" w:rsidRPr="00FC2211">
        <w:rPr>
          <w:rFonts w:cstheme="minorHAnsi"/>
          <w:bCs/>
          <w:szCs w:val="20"/>
          <w:lang w:val="en-CA"/>
        </w:rPr>
        <w:t xml:space="preserve">During the </w:t>
      </w:r>
      <w:r w:rsidR="002612A5" w:rsidRPr="00FC2211">
        <w:rPr>
          <w:rFonts w:cstheme="minorHAnsi"/>
          <w:bCs/>
          <w:szCs w:val="20"/>
          <w:lang w:val="en-CA"/>
        </w:rPr>
        <w:t>six</w:t>
      </w:r>
      <w:r w:rsidR="00367A29" w:rsidRPr="00FC2211">
        <w:rPr>
          <w:rFonts w:cstheme="minorHAnsi"/>
          <w:bCs/>
          <w:szCs w:val="20"/>
          <w:lang w:val="en-CA"/>
        </w:rPr>
        <w:t xml:space="preserve"> months ended </w:t>
      </w:r>
      <w:r w:rsidR="006B3C42" w:rsidRPr="00FC2211">
        <w:rPr>
          <w:rFonts w:cstheme="minorHAnsi"/>
          <w:bCs/>
          <w:szCs w:val="20"/>
          <w:lang w:val="en-CA"/>
        </w:rPr>
        <w:t>December</w:t>
      </w:r>
      <w:r w:rsidR="00367A29" w:rsidRPr="00FC2211">
        <w:rPr>
          <w:rFonts w:cstheme="minorHAnsi"/>
          <w:bCs/>
          <w:szCs w:val="20"/>
          <w:lang w:val="en-CA"/>
        </w:rPr>
        <w:t xml:space="preserve"> 3</w:t>
      </w:r>
      <w:r w:rsidR="006B3C42" w:rsidRPr="00FC2211">
        <w:rPr>
          <w:rFonts w:cstheme="minorHAnsi"/>
          <w:bCs/>
          <w:szCs w:val="20"/>
          <w:lang w:val="en-CA"/>
        </w:rPr>
        <w:t>1</w:t>
      </w:r>
      <w:r w:rsidR="00367A29" w:rsidRPr="00FC2211">
        <w:rPr>
          <w:rFonts w:cstheme="minorHAnsi"/>
          <w:bCs/>
          <w:szCs w:val="20"/>
          <w:lang w:val="en-CA"/>
        </w:rPr>
        <w:t xml:space="preserve">, 2023, </w:t>
      </w:r>
      <w:r w:rsidR="00E93EA5" w:rsidRPr="00FC2211">
        <w:rPr>
          <w:rFonts w:cstheme="minorHAnsi"/>
          <w:bCs/>
          <w:szCs w:val="20"/>
          <w:lang w:val="en-CA"/>
        </w:rPr>
        <w:t xml:space="preserve">INEO made a provision for the </w:t>
      </w:r>
      <w:r w:rsidR="00B850C4" w:rsidRPr="00FC2211">
        <w:rPr>
          <w:rFonts w:cstheme="minorHAnsi"/>
          <w:bCs/>
          <w:szCs w:val="20"/>
          <w:lang w:val="en-CA"/>
        </w:rPr>
        <w:t>inventory write-down</w:t>
      </w:r>
      <w:r w:rsidR="00367A29" w:rsidRPr="00FC2211">
        <w:rPr>
          <w:rFonts w:cstheme="minorHAnsi"/>
          <w:bCs/>
          <w:szCs w:val="20"/>
          <w:lang w:val="en-CA"/>
        </w:rPr>
        <w:t xml:space="preserve"> of </w:t>
      </w:r>
      <w:r w:rsidR="00E0561B" w:rsidRPr="00FC2211">
        <w:rPr>
          <w:rFonts w:cstheme="minorHAnsi"/>
          <w:bCs/>
          <w:szCs w:val="20"/>
          <w:lang w:val="en-CA"/>
        </w:rPr>
        <w:t>$</w:t>
      </w:r>
      <w:r w:rsidR="00FC4C6E" w:rsidRPr="00FC2211">
        <w:rPr>
          <w:rFonts w:cstheme="minorHAnsi"/>
          <w:bCs/>
          <w:szCs w:val="20"/>
          <w:lang w:val="en-CA"/>
        </w:rPr>
        <w:t>30,842</w:t>
      </w:r>
      <w:r w:rsidR="00F83B74" w:rsidRPr="00FC2211">
        <w:rPr>
          <w:rFonts w:cstheme="minorHAnsi"/>
          <w:bCs/>
          <w:szCs w:val="20"/>
          <w:lang w:val="en-CA"/>
        </w:rPr>
        <w:t xml:space="preserve"> (</w:t>
      </w:r>
      <w:r w:rsidR="006B3C42" w:rsidRPr="00FC2211">
        <w:rPr>
          <w:rFonts w:cstheme="minorHAnsi"/>
          <w:bCs/>
          <w:szCs w:val="20"/>
          <w:lang w:val="en-CA"/>
        </w:rPr>
        <w:t>December</w:t>
      </w:r>
      <w:r w:rsidR="001D1C83" w:rsidRPr="00FC2211">
        <w:rPr>
          <w:rFonts w:cstheme="minorHAnsi"/>
          <w:bCs/>
          <w:szCs w:val="20"/>
          <w:lang w:val="en-CA"/>
        </w:rPr>
        <w:t xml:space="preserve"> 3</w:t>
      </w:r>
      <w:r w:rsidR="006B3C42" w:rsidRPr="00FC2211">
        <w:rPr>
          <w:rFonts w:cstheme="minorHAnsi"/>
          <w:bCs/>
          <w:szCs w:val="20"/>
          <w:lang w:val="en-CA"/>
        </w:rPr>
        <w:t>1</w:t>
      </w:r>
      <w:r w:rsidR="001D1C83" w:rsidRPr="00FC2211">
        <w:rPr>
          <w:rFonts w:cstheme="minorHAnsi"/>
          <w:bCs/>
          <w:szCs w:val="20"/>
          <w:lang w:val="en-CA"/>
        </w:rPr>
        <w:t xml:space="preserve">, 2022 - $Nil). The </w:t>
      </w:r>
      <w:r w:rsidR="001D1C83" w:rsidRPr="00FC2211">
        <w:rPr>
          <w:rFonts w:cstheme="minorHAnsi"/>
          <w:szCs w:val="20"/>
          <w:lang w:val="en-CA"/>
        </w:rPr>
        <w:t>cumulative</w:t>
      </w:r>
      <w:r w:rsidR="001D1C83" w:rsidRPr="00FC2211">
        <w:rPr>
          <w:rFonts w:cstheme="minorHAnsi"/>
          <w:bCs/>
          <w:szCs w:val="20"/>
          <w:lang w:val="en-CA"/>
        </w:rPr>
        <w:t xml:space="preserve"> provision for inventory write</w:t>
      </w:r>
      <w:r w:rsidR="006333D6" w:rsidRPr="00FC2211">
        <w:rPr>
          <w:rFonts w:cstheme="minorHAnsi"/>
          <w:bCs/>
          <w:szCs w:val="20"/>
          <w:lang w:val="en-CA"/>
        </w:rPr>
        <w:t>-</w:t>
      </w:r>
      <w:r w:rsidR="001D1C83" w:rsidRPr="00FC2211">
        <w:rPr>
          <w:rFonts w:cstheme="minorHAnsi"/>
          <w:bCs/>
          <w:szCs w:val="20"/>
          <w:lang w:val="en-CA"/>
        </w:rPr>
        <w:t xml:space="preserve">down as </w:t>
      </w:r>
      <w:r w:rsidR="00A16B2E" w:rsidRPr="00FC2211">
        <w:rPr>
          <w:rFonts w:cstheme="minorHAnsi"/>
          <w:bCs/>
          <w:szCs w:val="20"/>
          <w:lang w:val="en-CA"/>
        </w:rPr>
        <w:t>at</w:t>
      </w:r>
      <w:r w:rsidR="001D1C83" w:rsidRPr="00FC2211">
        <w:rPr>
          <w:rFonts w:cstheme="minorHAnsi"/>
          <w:bCs/>
          <w:szCs w:val="20"/>
          <w:lang w:val="en-CA"/>
        </w:rPr>
        <w:t xml:space="preserve"> </w:t>
      </w:r>
      <w:r w:rsidR="008366A4" w:rsidRPr="00FC2211">
        <w:rPr>
          <w:rFonts w:cstheme="minorHAnsi"/>
          <w:bCs/>
          <w:szCs w:val="20"/>
          <w:lang w:val="en-CA"/>
        </w:rPr>
        <w:t>December 31</w:t>
      </w:r>
      <w:r w:rsidR="001D1C83" w:rsidRPr="00FC2211">
        <w:rPr>
          <w:rFonts w:cstheme="minorHAnsi"/>
          <w:bCs/>
          <w:szCs w:val="20"/>
          <w:lang w:val="en-CA"/>
        </w:rPr>
        <w:t>, 2023 totalled $</w:t>
      </w:r>
      <w:r w:rsidR="00FC4C6E" w:rsidRPr="00FC2211">
        <w:rPr>
          <w:rFonts w:cstheme="minorHAnsi"/>
          <w:bCs/>
          <w:szCs w:val="20"/>
          <w:lang w:val="en-CA"/>
        </w:rPr>
        <w:t>30,842</w:t>
      </w:r>
      <w:r w:rsidR="00D14AB7" w:rsidRPr="00FC2211">
        <w:rPr>
          <w:rFonts w:cstheme="minorHAnsi"/>
          <w:bCs/>
          <w:szCs w:val="20"/>
          <w:lang w:val="en-CA"/>
        </w:rPr>
        <w:t xml:space="preserve"> (June 30, 2023 - $Nil). </w:t>
      </w:r>
      <w:r w:rsidR="002F241B" w:rsidRPr="00FC2211">
        <w:rPr>
          <w:rFonts w:cstheme="minorHAnsi"/>
          <w:bCs/>
          <w:szCs w:val="20"/>
          <w:lang w:val="en-CA"/>
        </w:rPr>
        <w:t xml:space="preserve"> </w:t>
      </w:r>
      <w:r w:rsidR="00A82940" w:rsidRPr="00FC2211">
        <w:rPr>
          <w:rFonts w:cstheme="minorHAnsi"/>
          <w:bCs/>
          <w:szCs w:val="20"/>
          <w:lang w:val="en-CA"/>
        </w:rPr>
        <w:t xml:space="preserve">During the </w:t>
      </w:r>
      <w:r w:rsidR="008366A4" w:rsidRPr="00FC2211">
        <w:rPr>
          <w:rFonts w:cstheme="minorHAnsi"/>
          <w:bCs/>
          <w:szCs w:val="20"/>
          <w:lang w:val="en-CA"/>
        </w:rPr>
        <w:t>six</w:t>
      </w:r>
      <w:r w:rsidR="00051A59" w:rsidRPr="00FC2211">
        <w:rPr>
          <w:rFonts w:cstheme="minorHAnsi"/>
          <w:bCs/>
          <w:szCs w:val="20"/>
          <w:lang w:val="en-CA"/>
        </w:rPr>
        <w:t xml:space="preserve"> </w:t>
      </w:r>
      <w:r w:rsidR="00A16B2E" w:rsidRPr="00FC2211">
        <w:rPr>
          <w:rFonts w:cstheme="minorHAnsi"/>
          <w:bCs/>
          <w:szCs w:val="20"/>
          <w:lang w:val="en-CA"/>
        </w:rPr>
        <w:t>month</w:t>
      </w:r>
      <w:r w:rsidR="00051A59" w:rsidRPr="00FC2211">
        <w:rPr>
          <w:rFonts w:cstheme="minorHAnsi"/>
          <w:bCs/>
          <w:szCs w:val="20"/>
          <w:lang w:val="en-CA"/>
        </w:rPr>
        <w:t>s</w:t>
      </w:r>
      <w:r w:rsidR="009E0238" w:rsidRPr="00FC2211">
        <w:rPr>
          <w:rFonts w:cstheme="minorHAnsi"/>
          <w:bCs/>
          <w:szCs w:val="20"/>
          <w:lang w:val="en-CA"/>
        </w:rPr>
        <w:t xml:space="preserve"> </w:t>
      </w:r>
      <w:r w:rsidR="00A82940" w:rsidRPr="00FC2211">
        <w:rPr>
          <w:rFonts w:cstheme="minorHAnsi"/>
          <w:bCs/>
          <w:szCs w:val="20"/>
          <w:lang w:val="en-CA"/>
        </w:rPr>
        <w:t xml:space="preserve">ended </w:t>
      </w:r>
      <w:r w:rsidR="008366A4" w:rsidRPr="00FC2211">
        <w:rPr>
          <w:rFonts w:cstheme="minorHAnsi"/>
          <w:bCs/>
          <w:szCs w:val="20"/>
          <w:lang w:val="en-CA"/>
        </w:rPr>
        <w:t>December</w:t>
      </w:r>
      <w:r w:rsidR="00A82940" w:rsidRPr="00FC2211">
        <w:rPr>
          <w:rFonts w:cstheme="minorHAnsi"/>
          <w:bCs/>
          <w:szCs w:val="20"/>
          <w:lang w:val="en-CA"/>
        </w:rPr>
        <w:t xml:space="preserve"> 3</w:t>
      </w:r>
      <w:r w:rsidR="008366A4" w:rsidRPr="00FC2211">
        <w:rPr>
          <w:rFonts w:cstheme="minorHAnsi"/>
          <w:bCs/>
          <w:szCs w:val="20"/>
          <w:lang w:val="en-CA"/>
        </w:rPr>
        <w:t>1</w:t>
      </w:r>
      <w:r w:rsidR="00A82940" w:rsidRPr="00FC2211">
        <w:rPr>
          <w:rFonts w:cstheme="minorHAnsi"/>
          <w:bCs/>
          <w:szCs w:val="20"/>
          <w:lang w:val="en-CA"/>
        </w:rPr>
        <w:t>, 202</w:t>
      </w:r>
      <w:r w:rsidR="00D93FBA" w:rsidRPr="00FC2211">
        <w:rPr>
          <w:rFonts w:cstheme="minorHAnsi"/>
          <w:bCs/>
          <w:szCs w:val="20"/>
          <w:lang w:val="en-CA"/>
        </w:rPr>
        <w:t>3</w:t>
      </w:r>
      <w:r w:rsidR="00A82940" w:rsidRPr="00FC2211">
        <w:rPr>
          <w:rFonts w:cstheme="minorHAnsi"/>
          <w:bCs/>
          <w:szCs w:val="20"/>
          <w:lang w:val="en-CA"/>
        </w:rPr>
        <w:t>, the Company recognized $</w:t>
      </w:r>
      <w:r w:rsidR="00F3628E" w:rsidRPr="00FC2211">
        <w:rPr>
          <w:rFonts w:cstheme="minorHAnsi"/>
          <w:bCs/>
          <w:szCs w:val="20"/>
          <w:lang w:val="en-CA"/>
        </w:rPr>
        <w:t>335,289</w:t>
      </w:r>
      <w:r w:rsidR="00A82940" w:rsidRPr="00FC2211">
        <w:rPr>
          <w:rFonts w:cstheme="minorHAnsi"/>
          <w:bCs/>
          <w:szCs w:val="20"/>
          <w:lang w:val="en-CA"/>
        </w:rPr>
        <w:t xml:space="preserve"> of inventory in cost of sales (</w:t>
      </w:r>
      <w:r w:rsidR="00833A04" w:rsidRPr="00FC2211">
        <w:rPr>
          <w:rFonts w:cstheme="minorHAnsi"/>
          <w:bCs/>
          <w:szCs w:val="20"/>
          <w:lang w:val="en-CA"/>
        </w:rPr>
        <w:t xml:space="preserve">December </w:t>
      </w:r>
      <w:r w:rsidR="00EE79EC" w:rsidRPr="00FC2211">
        <w:rPr>
          <w:rFonts w:cstheme="minorHAnsi"/>
          <w:bCs/>
          <w:szCs w:val="20"/>
          <w:lang w:val="en-CA"/>
        </w:rPr>
        <w:t>3</w:t>
      </w:r>
      <w:r w:rsidR="00833A04" w:rsidRPr="00FC2211">
        <w:rPr>
          <w:rFonts w:cstheme="minorHAnsi"/>
          <w:bCs/>
          <w:szCs w:val="20"/>
          <w:lang w:val="en-CA"/>
        </w:rPr>
        <w:t>1</w:t>
      </w:r>
      <w:r w:rsidR="00EE79EC" w:rsidRPr="00FC2211">
        <w:rPr>
          <w:rFonts w:cstheme="minorHAnsi"/>
          <w:bCs/>
          <w:szCs w:val="20"/>
          <w:lang w:val="en-CA"/>
        </w:rPr>
        <w:t xml:space="preserve">, </w:t>
      </w:r>
      <w:r w:rsidR="00A82940" w:rsidRPr="00FC2211">
        <w:rPr>
          <w:rFonts w:cstheme="minorHAnsi"/>
          <w:bCs/>
          <w:szCs w:val="20"/>
          <w:lang w:val="en-CA"/>
        </w:rPr>
        <w:t>202</w:t>
      </w:r>
      <w:r w:rsidR="00D93FBA" w:rsidRPr="00FC2211">
        <w:rPr>
          <w:rFonts w:cstheme="minorHAnsi"/>
          <w:bCs/>
          <w:szCs w:val="20"/>
          <w:lang w:val="en-CA"/>
        </w:rPr>
        <w:t>2</w:t>
      </w:r>
      <w:r w:rsidR="00A82940" w:rsidRPr="00FC2211">
        <w:rPr>
          <w:rFonts w:cstheme="minorHAnsi"/>
          <w:bCs/>
          <w:szCs w:val="20"/>
          <w:lang w:val="en-CA"/>
        </w:rPr>
        <w:t xml:space="preserve"> - $</w:t>
      </w:r>
      <w:r w:rsidR="00B50D80" w:rsidRPr="00FC2211">
        <w:rPr>
          <w:rFonts w:cstheme="minorHAnsi"/>
          <w:bCs/>
          <w:szCs w:val="20"/>
          <w:lang w:val="en-CA"/>
        </w:rPr>
        <w:t>237,130</w:t>
      </w:r>
      <w:r w:rsidR="00A82940" w:rsidRPr="00FC2211">
        <w:rPr>
          <w:rFonts w:cstheme="minorHAnsi"/>
          <w:bCs/>
          <w:szCs w:val="20"/>
          <w:lang w:val="en-CA"/>
        </w:rPr>
        <w:t>).</w:t>
      </w:r>
    </w:p>
    <w:p w14:paraId="687C1A59" w14:textId="77777777" w:rsidR="0052191D" w:rsidRPr="00FC2211" w:rsidRDefault="0052191D" w:rsidP="00FF6F4B">
      <w:pPr>
        <w:ind w:left="284"/>
        <w:jc w:val="both"/>
        <w:rPr>
          <w:rFonts w:cstheme="minorHAnsi"/>
          <w:bCs/>
          <w:szCs w:val="20"/>
          <w:lang w:val="en-CA"/>
        </w:rPr>
      </w:pPr>
    </w:p>
    <w:p w14:paraId="4C19C4AD" w14:textId="77777777" w:rsidR="008D6468" w:rsidRPr="00FC2211" w:rsidRDefault="008E654B" w:rsidP="008D6468">
      <w:pPr>
        <w:pStyle w:val="Heading1"/>
        <w:spacing w:before="0"/>
        <w:rPr>
          <w:rFonts w:cstheme="minorHAnsi"/>
          <w:szCs w:val="20"/>
          <w:lang w:val="en-CA"/>
        </w:rPr>
      </w:pPr>
      <w:r w:rsidRPr="00FC2211">
        <w:rPr>
          <w:rFonts w:cstheme="minorHAnsi"/>
          <w:szCs w:val="20"/>
          <w:lang w:val="en-GB"/>
        </w:rPr>
        <w:t>7</w:t>
      </w:r>
      <w:r w:rsidR="008D6468" w:rsidRPr="00FC2211">
        <w:rPr>
          <w:rFonts w:cstheme="minorHAnsi"/>
          <w:szCs w:val="20"/>
          <w:lang w:val="en-GB"/>
        </w:rPr>
        <w:t xml:space="preserve">.   </w:t>
      </w:r>
      <w:r w:rsidR="008D6468" w:rsidRPr="00FC2211">
        <w:rPr>
          <w:rFonts w:cstheme="minorHAnsi"/>
          <w:szCs w:val="20"/>
        </w:rPr>
        <w:t>PREPAID</w:t>
      </w:r>
      <w:r w:rsidR="008D6468" w:rsidRPr="00FC2211">
        <w:rPr>
          <w:rFonts w:cstheme="minorHAnsi"/>
          <w:szCs w:val="20"/>
          <w:lang w:val="en-GB"/>
        </w:rPr>
        <w:t xml:space="preserve"> EXPENSES</w:t>
      </w:r>
    </w:p>
    <w:p w14:paraId="139AF6CB" w14:textId="77777777" w:rsidR="0076591B" w:rsidRPr="00FC2211" w:rsidRDefault="00395BAF" w:rsidP="008D6468">
      <w:pPr>
        <w:ind w:left="284" w:firstLine="1"/>
        <w:rPr>
          <w:rFonts w:cstheme="minorHAnsi"/>
          <w:bCs/>
          <w:szCs w:val="20"/>
          <w:lang w:val="en-CA"/>
        </w:rPr>
      </w:pPr>
      <w:r w:rsidRPr="00FC2211">
        <w:rPr>
          <w:rFonts w:cstheme="minorHAnsi"/>
          <w:bCs/>
          <w:szCs w:val="20"/>
          <w:lang w:val="en-CA"/>
        </w:rPr>
        <w:tab/>
      </w:r>
    </w:p>
    <w:p w14:paraId="6EB6EF1B" w14:textId="173858F8" w:rsidR="00FF6F4B" w:rsidRPr="00FC2211" w:rsidRDefault="00FF6F4B" w:rsidP="008D6468">
      <w:pPr>
        <w:ind w:left="284" w:firstLine="1"/>
        <w:rPr>
          <w:rFonts w:cstheme="minorHAnsi"/>
          <w:bCs/>
          <w:szCs w:val="20"/>
          <w:lang w:val="en-CA"/>
        </w:rPr>
      </w:pPr>
      <w:r w:rsidRPr="00FC2211">
        <w:rPr>
          <w:rFonts w:cstheme="minorHAnsi"/>
          <w:bCs/>
          <w:szCs w:val="20"/>
          <w:lang w:val="en-CA"/>
        </w:rPr>
        <w:t>The components of prepaid expenses are as follows:</w:t>
      </w:r>
    </w:p>
    <w:p w14:paraId="4B33DFA2" w14:textId="77777777" w:rsidR="00FF6F4B" w:rsidRPr="00FC2211" w:rsidRDefault="00FF6F4B" w:rsidP="008D6468">
      <w:pPr>
        <w:ind w:left="284" w:firstLine="1"/>
        <w:rPr>
          <w:rFonts w:cstheme="minorHAnsi"/>
          <w:bCs/>
          <w:szCs w:val="20"/>
          <w:lang w:val="en-CA"/>
        </w:rPr>
      </w:pPr>
    </w:p>
    <w:tbl>
      <w:tblPr>
        <w:tblW w:w="6663" w:type="dxa"/>
        <w:jc w:val="center"/>
        <w:tblLook w:val="04A0" w:firstRow="1" w:lastRow="0" w:firstColumn="1" w:lastColumn="0" w:noHBand="0" w:noVBand="1"/>
      </w:tblPr>
      <w:tblGrid>
        <w:gridCol w:w="3056"/>
        <w:gridCol w:w="2189"/>
        <w:gridCol w:w="1418"/>
      </w:tblGrid>
      <w:tr w:rsidR="000E0B03" w:rsidRPr="00FC2211" w14:paraId="2E4ABA6E" w14:textId="77777777" w:rsidTr="000E0B03">
        <w:trPr>
          <w:trHeight w:val="252"/>
          <w:jc w:val="center"/>
        </w:trPr>
        <w:tc>
          <w:tcPr>
            <w:tcW w:w="3056" w:type="dxa"/>
            <w:tcBorders>
              <w:top w:val="nil"/>
              <w:left w:val="nil"/>
              <w:bottom w:val="single" w:sz="8" w:space="0" w:color="auto"/>
              <w:right w:val="nil"/>
            </w:tcBorders>
            <w:shd w:val="clear" w:color="auto" w:fill="auto"/>
            <w:noWrap/>
            <w:vAlign w:val="center"/>
            <w:hideMark/>
          </w:tcPr>
          <w:p w14:paraId="24714FC7" w14:textId="77777777" w:rsidR="000E0B03" w:rsidRPr="00FC2211" w:rsidRDefault="000E0B03" w:rsidP="000E0B03">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w:t>
            </w:r>
          </w:p>
        </w:tc>
        <w:tc>
          <w:tcPr>
            <w:tcW w:w="2189" w:type="dxa"/>
            <w:tcBorders>
              <w:top w:val="nil"/>
              <w:left w:val="nil"/>
              <w:bottom w:val="single" w:sz="8" w:space="0" w:color="auto"/>
              <w:right w:val="nil"/>
            </w:tcBorders>
            <w:shd w:val="clear" w:color="auto" w:fill="auto"/>
            <w:vAlign w:val="center"/>
            <w:hideMark/>
          </w:tcPr>
          <w:p w14:paraId="2A0E3CF7" w14:textId="22CA1290" w:rsidR="000E0B03" w:rsidRPr="00FC2211" w:rsidRDefault="00BF26F5" w:rsidP="000E0B03">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Decembe</w:t>
            </w:r>
            <w:r w:rsidR="000E0B03" w:rsidRPr="00FC2211">
              <w:rPr>
                <w:rFonts w:ascii="Calibri" w:hAnsi="Calibri" w:cs="Calibri"/>
                <w:b/>
                <w:bCs/>
                <w:color w:val="000000"/>
                <w:szCs w:val="20"/>
                <w:lang w:val="en-CA" w:eastAsia="en-CA"/>
              </w:rPr>
              <w:t>r 3</w:t>
            </w:r>
            <w:r w:rsidRPr="00FC2211">
              <w:rPr>
                <w:rFonts w:ascii="Calibri" w:hAnsi="Calibri" w:cs="Calibri"/>
                <w:b/>
                <w:bCs/>
                <w:color w:val="000000"/>
                <w:szCs w:val="20"/>
                <w:lang w:val="en-CA" w:eastAsia="en-CA"/>
              </w:rPr>
              <w:t>1</w:t>
            </w:r>
            <w:r w:rsidR="000E0B03" w:rsidRPr="00FC2211">
              <w:rPr>
                <w:rFonts w:ascii="Calibri" w:hAnsi="Calibri" w:cs="Calibri"/>
                <w:b/>
                <w:bCs/>
                <w:color w:val="000000"/>
                <w:szCs w:val="20"/>
                <w:lang w:val="en-CA" w:eastAsia="en-CA"/>
              </w:rPr>
              <w:t>, 2023</w:t>
            </w:r>
          </w:p>
        </w:tc>
        <w:tc>
          <w:tcPr>
            <w:tcW w:w="1418" w:type="dxa"/>
            <w:tcBorders>
              <w:top w:val="nil"/>
              <w:left w:val="nil"/>
              <w:bottom w:val="single" w:sz="8" w:space="0" w:color="auto"/>
              <w:right w:val="nil"/>
            </w:tcBorders>
            <w:shd w:val="clear" w:color="auto" w:fill="auto"/>
            <w:vAlign w:val="center"/>
            <w:hideMark/>
          </w:tcPr>
          <w:p w14:paraId="7F45A7FE" w14:textId="77777777" w:rsidR="000E0B03" w:rsidRPr="00FC2211" w:rsidRDefault="000E0B03" w:rsidP="000E0B03">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June 30, 2023</w:t>
            </w:r>
          </w:p>
        </w:tc>
      </w:tr>
      <w:tr w:rsidR="000E0B03" w:rsidRPr="00FC2211" w14:paraId="3F85FC56" w14:textId="77777777" w:rsidTr="000E0B03">
        <w:trPr>
          <w:trHeight w:val="240"/>
          <w:jc w:val="center"/>
        </w:trPr>
        <w:tc>
          <w:tcPr>
            <w:tcW w:w="3056" w:type="dxa"/>
            <w:tcBorders>
              <w:top w:val="nil"/>
              <w:left w:val="nil"/>
              <w:bottom w:val="nil"/>
              <w:right w:val="nil"/>
            </w:tcBorders>
            <w:shd w:val="clear" w:color="auto" w:fill="auto"/>
            <w:noWrap/>
            <w:vAlign w:val="center"/>
            <w:hideMark/>
          </w:tcPr>
          <w:p w14:paraId="03DECAE2" w14:textId="77777777" w:rsidR="000E0B03" w:rsidRPr="00FC2211" w:rsidRDefault="000E0B03" w:rsidP="000E0B03">
            <w:pPr>
              <w:rPr>
                <w:rFonts w:ascii="Calibri" w:hAnsi="Calibri" w:cs="Calibri"/>
                <w:color w:val="000000"/>
                <w:szCs w:val="20"/>
                <w:lang w:val="en-CA" w:eastAsia="en-CA"/>
              </w:rPr>
            </w:pPr>
            <w:r w:rsidRPr="00FC2211">
              <w:rPr>
                <w:rFonts w:ascii="Calibri" w:hAnsi="Calibri" w:cs="Calibri"/>
                <w:color w:val="000000"/>
                <w:szCs w:val="20"/>
                <w:lang w:val="en-CA" w:eastAsia="en-CA"/>
              </w:rPr>
              <w:t>Prepaid Insurance</w:t>
            </w:r>
          </w:p>
        </w:tc>
        <w:tc>
          <w:tcPr>
            <w:tcW w:w="2189" w:type="dxa"/>
            <w:tcBorders>
              <w:top w:val="nil"/>
              <w:left w:val="nil"/>
              <w:bottom w:val="nil"/>
              <w:right w:val="nil"/>
            </w:tcBorders>
            <w:shd w:val="clear" w:color="auto" w:fill="auto"/>
            <w:noWrap/>
            <w:vAlign w:val="center"/>
            <w:hideMark/>
          </w:tcPr>
          <w:p w14:paraId="1519E711" w14:textId="44504AA7" w:rsidR="000E0B03" w:rsidRPr="00FC2211" w:rsidRDefault="000E0B03" w:rsidP="000E0B03">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BF26F5" w:rsidRPr="00FC2211">
              <w:rPr>
                <w:rFonts w:ascii="Calibri" w:hAnsi="Calibri" w:cs="Calibri"/>
                <w:b/>
                <w:bCs/>
                <w:color w:val="000000"/>
                <w:szCs w:val="20"/>
                <w:lang w:val="en-CA" w:eastAsia="en-CA"/>
              </w:rPr>
              <w:t>18,525</w:t>
            </w:r>
            <w:r w:rsidRPr="00FC2211">
              <w:rPr>
                <w:rFonts w:ascii="Calibri" w:hAnsi="Calibri" w:cs="Calibri"/>
                <w:b/>
                <w:bCs/>
                <w:color w:val="000000"/>
                <w:szCs w:val="20"/>
                <w:lang w:val="en-CA" w:eastAsia="en-CA"/>
              </w:rPr>
              <w:t xml:space="preserve"> </w:t>
            </w:r>
          </w:p>
        </w:tc>
        <w:tc>
          <w:tcPr>
            <w:tcW w:w="1418" w:type="dxa"/>
            <w:tcBorders>
              <w:top w:val="nil"/>
              <w:left w:val="nil"/>
              <w:bottom w:val="nil"/>
              <w:right w:val="nil"/>
            </w:tcBorders>
            <w:shd w:val="clear" w:color="auto" w:fill="auto"/>
            <w:noWrap/>
            <w:vAlign w:val="center"/>
            <w:hideMark/>
          </w:tcPr>
          <w:p w14:paraId="1DC23C0A" w14:textId="7D6C4161" w:rsidR="000E0B03" w:rsidRPr="00FC2211" w:rsidRDefault="000E0B03" w:rsidP="000E0B03">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31,861 </w:t>
            </w:r>
          </w:p>
        </w:tc>
      </w:tr>
      <w:tr w:rsidR="000E0B03" w:rsidRPr="00FC2211" w14:paraId="029EB7E9" w14:textId="77777777" w:rsidTr="000E0B03">
        <w:trPr>
          <w:trHeight w:val="240"/>
          <w:jc w:val="center"/>
        </w:trPr>
        <w:tc>
          <w:tcPr>
            <w:tcW w:w="3056" w:type="dxa"/>
            <w:tcBorders>
              <w:top w:val="nil"/>
              <w:left w:val="nil"/>
              <w:bottom w:val="nil"/>
              <w:right w:val="nil"/>
            </w:tcBorders>
            <w:shd w:val="clear" w:color="auto" w:fill="auto"/>
            <w:noWrap/>
            <w:vAlign w:val="center"/>
            <w:hideMark/>
          </w:tcPr>
          <w:p w14:paraId="122E4BA2" w14:textId="77777777" w:rsidR="000E0B03" w:rsidRPr="00FC2211" w:rsidRDefault="000E0B03" w:rsidP="000E0B03">
            <w:pPr>
              <w:rPr>
                <w:rFonts w:ascii="Calibri" w:hAnsi="Calibri" w:cs="Calibri"/>
                <w:color w:val="000000"/>
                <w:szCs w:val="20"/>
                <w:lang w:val="en-CA" w:eastAsia="en-CA"/>
              </w:rPr>
            </w:pPr>
            <w:r w:rsidRPr="00FC2211">
              <w:rPr>
                <w:rFonts w:ascii="Calibri" w:hAnsi="Calibri" w:cs="Calibri"/>
                <w:color w:val="000000"/>
                <w:szCs w:val="20"/>
                <w:lang w:val="en-CA" w:eastAsia="en-CA"/>
              </w:rPr>
              <w:t>Security deposit</w:t>
            </w:r>
          </w:p>
        </w:tc>
        <w:tc>
          <w:tcPr>
            <w:tcW w:w="2189" w:type="dxa"/>
            <w:tcBorders>
              <w:top w:val="nil"/>
              <w:left w:val="nil"/>
              <w:bottom w:val="nil"/>
              <w:right w:val="nil"/>
            </w:tcBorders>
            <w:shd w:val="clear" w:color="auto" w:fill="auto"/>
            <w:noWrap/>
            <w:vAlign w:val="center"/>
            <w:hideMark/>
          </w:tcPr>
          <w:p w14:paraId="151837E8" w14:textId="5515FFC7" w:rsidR="000E0B03" w:rsidRPr="00FC2211" w:rsidRDefault="000E0B03" w:rsidP="000E0B03">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615 </w:t>
            </w:r>
          </w:p>
        </w:tc>
        <w:tc>
          <w:tcPr>
            <w:tcW w:w="1418" w:type="dxa"/>
            <w:tcBorders>
              <w:top w:val="nil"/>
              <w:left w:val="nil"/>
              <w:bottom w:val="nil"/>
              <w:right w:val="nil"/>
            </w:tcBorders>
            <w:shd w:val="clear" w:color="auto" w:fill="auto"/>
            <w:noWrap/>
            <w:vAlign w:val="center"/>
            <w:hideMark/>
          </w:tcPr>
          <w:p w14:paraId="5D257FA5" w14:textId="3D1531C1" w:rsidR="000E0B03" w:rsidRPr="00FC2211" w:rsidRDefault="000E0B03" w:rsidP="000E0B03">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615 </w:t>
            </w:r>
          </w:p>
        </w:tc>
      </w:tr>
      <w:tr w:rsidR="000E0B03" w:rsidRPr="00FC2211" w14:paraId="035116D1" w14:textId="77777777" w:rsidTr="000E0B03">
        <w:trPr>
          <w:trHeight w:val="240"/>
          <w:jc w:val="center"/>
        </w:trPr>
        <w:tc>
          <w:tcPr>
            <w:tcW w:w="3056" w:type="dxa"/>
            <w:tcBorders>
              <w:top w:val="nil"/>
              <w:left w:val="nil"/>
              <w:bottom w:val="nil"/>
              <w:right w:val="nil"/>
            </w:tcBorders>
            <w:shd w:val="clear" w:color="auto" w:fill="auto"/>
            <w:noWrap/>
            <w:vAlign w:val="center"/>
            <w:hideMark/>
          </w:tcPr>
          <w:p w14:paraId="1E020664" w14:textId="77777777" w:rsidR="000E0B03" w:rsidRPr="00FC2211" w:rsidRDefault="000E0B03" w:rsidP="000E0B03">
            <w:pPr>
              <w:rPr>
                <w:rFonts w:ascii="Calibri" w:hAnsi="Calibri" w:cs="Calibri"/>
                <w:color w:val="000000"/>
                <w:szCs w:val="20"/>
                <w:lang w:val="en-CA" w:eastAsia="en-CA"/>
              </w:rPr>
            </w:pPr>
            <w:r w:rsidRPr="00FC2211">
              <w:rPr>
                <w:rFonts w:ascii="Calibri" w:hAnsi="Calibri" w:cs="Calibri"/>
                <w:color w:val="000000"/>
                <w:szCs w:val="20"/>
                <w:lang w:val="en-CA" w:eastAsia="en-CA"/>
              </w:rPr>
              <w:t>Other prepaids</w:t>
            </w:r>
          </w:p>
        </w:tc>
        <w:tc>
          <w:tcPr>
            <w:tcW w:w="2189" w:type="dxa"/>
            <w:tcBorders>
              <w:top w:val="nil"/>
              <w:left w:val="nil"/>
              <w:bottom w:val="nil"/>
              <w:right w:val="nil"/>
            </w:tcBorders>
            <w:shd w:val="clear" w:color="auto" w:fill="auto"/>
            <w:noWrap/>
            <w:vAlign w:val="center"/>
            <w:hideMark/>
          </w:tcPr>
          <w:p w14:paraId="4EBBEC44" w14:textId="1F2B21F5" w:rsidR="000E0B03" w:rsidRPr="00FC2211" w:rsidRDefault="000E0B03" w:rsidP="000E0B03">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BF26F5" w:rsidRPr="00FC2211">
              <w:rPr>
                <w:rFonts w:ascii="Calibri" w:hAnsi="Calibri" w:cs="Calibri"/>
                <w:b/>
                <w:bCs/>
                <w:color w:val="000000"/>
                <w:szCs w:val="20"/>
                <w:lang w:val="en-CA" w:eastAsia="en-CA"/>
              </w:rPr>
              <w:t>14,130</w:t>
            </w:r>
            <w:r w:rsidRPr="00FC2211">
              <w:rPr>
                <w:rFonts w:ascii="Calibri" w:hAnsi="Calibri" w:cs="Calibri"/>
                <w:b/>
                <w:bCs/>
                <w:color w:val="000000"/>
                <w:szCs w:val="20"/>
                <w:lang w:val="en-CA" w:eastAsia="en-CA"/>
              </w:rPr>
              <w:t xml:space="preserve"> </w:t>
            </w:r>
          </w:p>
        </w:tc>
        <w:tc>
          <w:tcPr>
            <w:tcW w:w="1418" w:type="dxa"/>
            <w:tcBorders>
              <w:top w:val="nil"/>
              <w:left w:val="nil"/>
              <w:bottom w:val="nil"/>
              <w:right w:val="nil"/>
            </w:tcBorders>
            <w:shd w:val="clear" w:color="auto" w:fill="auto"/>
            <w:noWrap/>
            <w:vAlign w:val="center"/>
            <w:hideMark/>
          </w:tcPr>
          <w:p w14:paraId="1A63D78E" w14:textId="71229B57" w:rsidR="000E0B03" w:rsidRPr="00FC2211" w:rsidRDefault="000E0B03" w:rsidP="000E0B03">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63,904 </w:t>
            </w:r>
          </w:p>
        </w:tc>
      </w:tr>
      <w:tr w:rsidR="000E0B03" w:rsidRPr="00FC2211" w14:paraId="0522A3C0" w14:textId="77777777" w:rsidTr="000E0B03">
        <w:trPr>
          <w:trHeight w:val="252"/>
          <w:jc w:val="center"/>
        </w:trPr>
        <w:tc>
          <w:tcPr>
            <w:tcW w:w="3056" w:type="dxa"/>
            <w:tcBorders>
              <w:top w:val="single" w:sz="4" w:space="0" w:color="auto"/>
              <w:left w:val="nil"/>
              <w:bottom w:val="single" w:sz="8" w:space="0" w:color="auto"/>
              <w:right w:val="nil"/>
            </w:tcBorders>
            <w:shd w:val="clear" w:color="auto" w:fill="auto"/>
            <w:noWrap/>
            <w:vAlign w:val="center"/>
            <w:hideMark/>
          </w:tcPr>
          <w:p w14:paraId="58E4F431" w14:textId="77777777" w:rsidR="000E0B03" w:rsidRPr="00FC2211" w:rsidRDefault="000E0B03" w:rsidP="000E0B03">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Total</w:t>
            </w:r>
          </w:p>
        </w:tc>
        <w:tc>
          <w:tcPr>
            <w:tcW w:w="2189" w:type="dxa"/>
            <w:tcBorders>
              <w:top w:val="single" w:sz="4" w:space="0" w:color="auto"/>
              <w:left w:val="nil"/>
              <w:bottom w:val="single" w:sz="8" w:space="0" w:color="auto"/>
              <w:right w:val="nil"/>
            </w:tcBorders>
            <w:shd w:val="clear" w:color="auto" w:fill="auto"/>
            <w:noWrap/>
            <w:vAlign w:val="center"/>
            <w:hideMark/>
          </w:tcPr>
          <w:p w14:paraId="6278D258" w14:textId="5622A11E" w:rsidR="000E0B03" w:rsidRPr="00FC2211" w:rsidRDefault="000E0B03" w:rsidP="000E0B03">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E97C13" w:rsidRPr="00FC2211">
              <w:rPr>
                <w:rFonts w:ascii="Calibri" w:hAnsi="Calibri" w:cs="Calibri"/>
                <w:b/>
                <w:bCs/>
                <w:color w:val="000000"/>
                <w:szCs w:val="20"/>
                <w:lang w:val="en-CA" w:eastAsia="en-CA"/>
              </w:rPr>
              <w:t>33,270</w:t>
            </w:r>
            <w:r w:rsidRPr="00FC2211">
              <w:rPr>
                <w:rFonts w:ascii="Calibri" w:hAnsi="Calibri" w:cs="Calibri"/>
                <w:b/>
                <w:bCs/>
                <w:color w:val="000000"/>
                <w:szCs w:val="20"/>
                <w:lang w:val="en-CA" w:eastAsia="en-CA"/>
              </w:rPr>
              <w:t xml:space="preserve"> </w:t>
            </w:r>
          </w:p>
        </w:tc>
        <w:tc>
          <w:tcPr>
            <w:tcW w:w="1418" w:type="dxa"/>
            <w:tcBorders>
              <w:top w:val="single" w:sz="4" w:space="0" w:color="auto"/>
              <w:left w:val="nil"/>
              <w:bottom w:val="single" w:sz="8" w:space="0" w:color="auto"/>
              <w:right w:val="nil"/>
            </w:tcBorders>
            <w:shd w:val="clear" w:color="auto" w:fill="auto"/>
            <w:noWrap/>
            <w:vAlign w:val="center"/>
            <w:hideMark/>
          </w:tcPr>
          <w:p w14:paraId="502A62F1" w14:textId="0F2D90D2" w:rsidR="000E0B03" w:rsidRPr="00FC2211" w:rsidRDefault="000E0B03" w:rsidP="000E0B03">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96,380 </w:t>
            </w:r>
          </w:p>
        </w:tc>
      </w:tr>
    </w:tbl>
    <w:p w14:paraId="489D9849" w14:textId="2E39290C" w:rsidR="008D6468" w:rsidRPr="00FC2211" w:rsidRDefault="008D6468" w:rsidP="005D377D">
      <w:pPr>
        <w:ind w:left="284" w:firstLine="1"/>
        <w:rPr>
          <w:rFonts w:cstheme="minorHAnsi"/>
          <w:szCs w:val="20"/>
        </w:rPr>
      </w:pPr>
    </w:p>
    <w:p w14:paraId="60E80F3F" w14:textId="0344F5A4" w:rsidR="008D6468" w:rsidRPr="00FC2211" w:rsidRDefault="008D6468" w:rsidP="00181C29">
      <w:pPr>
        <w:ind w:left="284"/>
        <w:jc w:val="both"/>
        <w:rPr>
          <w:rFonts w:cstheme="minorHAnsi"/>
          <w:szCs w:val="20"/>
          <w:lang w:val="en-CA"/>
        </w:rPr>
      </w:pPr>
      <w:r w:rsidRPr="00FC2211">
        <w:rPr>
          <w:rFonts w:cstheme="minorHAnsi"/>
          <w:szCs w:val="20"/>
          <w:lang w:val="en-CA"/>
        </w:rPr>
        <w:t xml:space="preserve">Other </w:t>
      </w:r>
      <w:r w:rsidR="000A0485" w:rsidRPr="00FC2211">
        <w:rPr>
          <w:rFonts w:cstheme="minorHAnsi"/>
          <w:szCs w:val="20"/>
          <w:lang w:val="en-CA"/>
        </w:rPr>
        <w:t>prepaid</w:t>
      </w:r>
      <w:r w:rsidRPr="00FC2211">
        <w:rPr>
          <w:rFonts w:cstheme="minorHAnsi"/>
          <w:szCs w:val="20"/>
          <w:lang w:val="en-CA"/>
        </w:rPr>
        <w:t xml:space="preserve"> consist of vendor prepayments for goods and </w:t>
      </w:r>
      <w:r w:rsidR="006333D6" w:rsidRPr="00FC2211">
        <w:rPr>
          <w:rFonts w:cstheme="minorHAnsi"/>
          <w:szCs w:val="20"/>
          <w:lang w:val="en-CA"/>
        </w:rPr>
        <w:t>services</w:t>
      </w:r>
      <w:r w:rsidRPr="00FC2211">
        <w:rPr>
          <w:rFonts w:cstheme="minorHAnsi"/>
          <w:szCs w:val="20"/>
          <w:lang w:val="en-CA"/>
        </w:rPr>
        <w:t xml:space="preserve"> delivered subsequent</w:t>
      </w:r>
      <w:r w:rsidR="002E3623" w:rsidRPr="00FC2211">
        <w:rPr>
          <w:rFonts w:cstheme="minorHAnsi"/>
          <w:szCs w:val="20"/>
          <w:lang w:val="en-CA"/>
        </w:rPr>
        <w:t xml:space="preserve"> </w:t>
      </w:r>
      <w:r w:rsidRPr="00FC2211">
        <w:rPr>
          <w:rFonts w:cstheme="minorHAnsi"/>
          <w:szCs w:val="20"/>
          <w:lang w:val="en-CA"/>
        </w:rPr>
        <w:t xml:space="preserve">to the </w:t>
      </w:r>
      <w:r w:rsidR="00FC2211" w:rsidRPr="00FC2211">
        <w:rPr>
          <w:rFonts w:cstheme="minorHAnsi"/>
          <w:szCs w:val="20"/>
          <w:lang w:val="en-CA"/>
        </w:rPr>
        <w:t>period</w:t>
      </w:r>
      <w:r w:rsidR="003E30AA" w:rsidRPr="00FC2211">
        <w:rPr>
          <w:rFonts w:cstheme="minorHAnsi"/>
          <w:szCs w:val="20"/>
          <w:lang w:val="en-CA"/>
        </w:rPr>
        <w:t>-end</w:t>
      </w:r>
      <w:r w:rsidR="00B25EB2" w:rsidRPr="00FC2211">
        <w:rPr>
          <w:rFonts w:cstheme="minorHAnsi"/>
          <w:szCs w:val="20"/>
          <w:lang w:val="en-CA"/>
        </w:rPr>
        <w:t xml:space="preserve">ing </w:t>
      </w:r>
      <w:r w:rsidR="00833A04" w:rsidRPr="00FC2211">
        <w:rPr>
          <w:rFonts w:cstheme="minorHAnsi"/>
          <w:szCs w:val="20"/>
          <w:lang w:val="en-CA"/>
        </w:rPr>
        <w:t>December 31</w:t>
      </w:r>
      <w:r w:rsidR="00B25EB2" w:rsidRPr="00FC2211">
        <w:rPr>
          <w:rFonts w:cstheme="minorHAnsi"/>
          <w:szCs w:val="20"/>
          <w:lang w:val="en-CA"/>
        </w:rPr>
        <w:t>, 2023</w:t>
      </w:r>
      <w:r w:rsidR="00FF6F4B" w:rsidRPr="00FC2211">
        <w:rPr>
          <w:rFonts w:cstheme="minorHAnsi"/>
          <w:szCs w:val="20"/>
          <w:lang w:val="en-CA"/>
        </w:rPr>
        <w:t>.</w:t>
      </w:r>
    </w:p>
    <w:p w14:paraId="2376AA01" w14:textId="77777777" w:rsidR="00574786" w:rsidRPr="00FC2211" w:rsidRDefault="00574786" w:rsidP="002E3623">
      <w:pPr>
        <w:ind w:left="284"/>
        <w:rPr>
          <w:rFonts w:cstheme="minorHAnsi"/>
          <w:szCs w:val="20"/>
          <w:lang w:val="en-CA"/>
        </w:rPr>
      </w:pPr>
    </w:p>
    <w:p w14:paraId="1582E124" w14:textId="77777777" w:rsidR="00574786" w:rsidRPr="00FC2211" w:rsidRDefault="00574786" w:rsidP="002E3623">
      <w:pPr>
        <w:ind w:left="284"/>
        <w:rPr>
          <w:rFonts w:cstheme="minorHAnsi"/>
          <w:szCs w:val="20"/>
          <w:lang w:val="en-CA"/>
        </w:rPr>
      </w:pPr>
    </w:p>
    <w:p w14:paraId="694773E5" w14:textId="17FE9E20" w:rsidR="00574786" w:rsidRPr="00FC2211" w:rsidRDefault="00574786" w:rsidP="00574786">
      <w:pPr>
        <w:pStyle w:val="Heading1"/>
        <w:spacing w:before="0"/>
        <w:rPr>
          <w:rFonts w:cstheme="minorHAnsi"/>
          <w:szCs w:val="20"/>
          <w:lang w:val="en-CA"/>
        </w:rPr>
      </w:pPr>
      <w:r w:rsidRPr="00FC2211">
        <w:rPr>
          <w:rFonts w:cstheme="minorHAnsi"/>
          <w:szCs w:val="20"/>
          <w:lang w:val="en-GB"/>
        </w:rPr>
        <w:t xml:space="preserve">8.   </w:t>
      </w:r>
      <w:r w:rsidR="002E47DC" w:rsidRPr="00FC2211">
        <w:rPr>
          <w:rFonts w:cstheme="minorHAnsi"/>
          <w:szCs w:val="20"/>
        </w:rPr>
        <w:t>NOTE</w:t>
      </w:r>
      <w:r w:rsidRPr="00FC2211">
        <w:rPr>
          <w:rFonts w:cstheme="minorHAnsi"/>
          <w:szCs w:val="20"/>
        </w:rPr>
        <w:t xml:space="preserve"> RECEIVABLE</w:t>
      </w:r>
    </w:p>
    <w:p w14:paraId="243390D1" w14:textId="77777777" w:rsidR="00574786" w:rsidRPr="00FC2211" w:rsidRDefault="00574786" w:rsidP="00927D4B">
      <w:pPr>
        <w:ind w:left="284"/>
        <w:jc w:val="both"/>
        <w:rPr>
          <w:rFonts w:cstheme="minorHAnsi"/>
          <w:szCs w:val="20"/>
          <w:lang w:val="en-CA"/>
        </w:rPr>
      </w:pPr>
    </w:p>
    <w:p w14:paraId="52B6454A" w14:textId="0133C147" w:rsidR="00986EEB" w:rsidRPr="00FC2211" w:rsidRDefault="00B1010B" w:rsidP="00986EEB">
      <w:pPr>
        <w:ind w:left="284"/>
        <w:jc w:val="both"/>
        <w:rPr>
          <w:rFonts w:cstheme="minorHAnsi"/>
          <w:bCs/>
          <w:szCs w:val="20"/>
          <w:lang w:val="en-CA"/>
        </w:rPr>
      </w:pPr>
      <w:r w:rsidRPr="00FC2211">
        <w:rPr>
          <w:rFonts w:cstheme="minorHAnsi"/>
          <w:bCs/>
          <w:szCs w:val="20"/>
          <w:lang w:val="en-CA"/>
        </w:rPr>
        <w:t>O</w:t>
      </w:r>
      <w:r w:rsidR="007E4021" w:rsidRPr="00FC2211">
        <w:rPr>
          <w:rFonts w:cstheme="minorHAnsi"/>
          <w:bCs/>
          <w:szCs w:val="20"/>
          <w:lang w:val="en-CA"/>
        </w:rPr>
        <w:t xml:space="preserve">n </w:t>
      </w:r>
      <w:r w:rsidR="007A1C8D" w:rsidRPr="00FC2211">
        <w:rPr>
          <w:rFonts w:cstheme="minorHAnsi"/>
          <w:bCs/>
          <w:szCs w:val="20"/>
          <w:lang w:val="en-CA"/>
        </w:rPr>
        <w:t>May</w:t>
      </w:r>
      <w:r w:rsidR="007E4021" w:rsidRPr="00FC2211">
        <w:rPr>
          <w:rFonts w:cstheme="minorHAnsi"/>
          <w:bCs/>
          <w:szCs w:val="20"/>
          <w:lang w:val="en-CA"/>
        </w:rPr>
        <w:t xml:space="preserve"> 3</w:t>
      </w:r>
      <w:r w:rsidR="007A1C8D" w:rsidRPr="00FC2211">
        <w:rPr>
          <w:rFonts w:cstheme="minorHAnsi"/>
          <w:bCs/>
          <w:szCs w:val="20"/>
          <w:lang w:val="en-CA"/>
        </w:rPr>
        <w:t>, 2023</w:t>
      </w:r>
      <w:r w:rsidRPr="00FC2211">
        <w:rPr>
          <w:rFonts w:cstheme="minorHAnsi"/>
          <w:bCs/>
          <w:szCs w:val="20"/>
          <w:lang w:val="en-CA"/>
        </w:rPr>
        <w:t xml:space="preserve">, </w:t>
      </w:r>
      <w:r w:rsidR="00E34EF2" w:rsidRPr="00FC2211">
        <w:rPr>
          <w:rFonts w:cstheme="minorHAnsi"/>
          <w:bCs/>
          <w:szCs w:val="20"/>
          <w:lang w:val="en-CA"/>
        </w:rPr>
        <w:t xml:space="preserve">a third party issued a promissory note in </w:t>
      </w:r>
      <w:r w:rsidR="00833A04" w:rsidRPr="00FC2211">
        <w:rPr>
          <w:rFonts w:cstheme="minorHAnsi"/>
          <w:bCs/>
          <w:szCs w:val="20"/>
          <w:lang w:val="en-CA"/>
        </w:rPr>
        <w:t>favour</w:t>
      </w:r>
      <w:r w:rsidR="00E34EF2" w:rsidRPr="00FC2211">
        <w:rPr>
          <w:rFonts w:cstheme="minorHAnsi"/>
          <w:bCs/>
          <w:szCs w:val="20"/>
          <w:lang w:val="en-CA"/>
        </w:rPr>
        <w:t xml:space="preserve"> of </w:t>
      </w:r>
      <w:r w:rsidRPr="00FC2211">
        <w:rPr>
          <w:rFonts w:cstheme="minorHAnsi"/>
          <w:bCs/>
          <w:szCs w:val="20"/>
          <w:lang w:val="en-CA"/>
        </w:rPr>
        <w:t xml:space="preserve">the Company </w:t>
      </w:r>
      <w:r w:rsidR="00E34EF2" w:rsidRPr="00FC2211">
        <w:rPr>
          <w:rFonts w:cstheme="minorHAnsi"/>
          <w:bCs/>
          <w:szCs w:val="20"/>
          <w:lang w:val="en-CA"/>
        </w:rPr>
        <w:t>amounting to $25,000</w:t>
      </w:r>
      <w:r w:rsidR="008C227A" w:rsidRPr="00FC2211">
        <w:rPr>
          <w:rFonts w:cstheme="minorHAnsi"/>
          <w:bCs/>
          <w:szCs w:val="20"/>
          <w:lang w:val="en-CA"/>
        </w:rPr>
        <w:t xml:space="preserve">, with </w:t>
      </w:r>
      <w:r w:rsidR="00833A04" w:rsidRPr="00FC2211">
        <w:rPr>
          <w:rFonts w:cstheme="minorHAnsi"/>
          <w:bCs/>
          <w:szCs w:val="20"/>
          <w:lang w:val="en-CA"/>
        </w:rPr>
        <w:t xml:space="preserve">a </w:t>
      </w:r>
      <w:r w:rsidR="008C227A" w:rsidRPr="00FC2211">
        <w:rPr>
          <w:rFonts w:cstheme="minorHAnsi"/>
          <w:bCs/>
          <w:szCs w:val="20"/>
          <w:lang w:val="en-CA"/>
        </w:rPr>
        <w:t xml:space="preserve">maturity date </w:t>
      </w:r>
      <w:r w:rsidR="00833A04" w:rsidRPr="00FC2211">
        <w:rPr>
          <w:rFonts w:cstheme="minorHAnsi"/>
          <w:bCs/>
          <w:szCs w:val="20"/>
          <w:lang w:val="en-CA"/>
        </w:rPr>
        <w:t>of</w:t>
      </w:r>
      <w:r w:rsidR="008C227A" w:rsidRPr="00FC2211">
        <w:rPr>
          <w:rFonts w:cstheme="minorHAnsi"/>
          <w:bCs/>
          <w:szCs w:val="20"/>
          <w:lang w:val="en-CA"/>
        </w:rPr>
        <w:t xml:space="preserve"> April 4, 2024</w:t>
      </w:r>
      <w:r w:rsidR="007E4021" w:rsidRPr="00FC2211">
        <w:rPr>
          <w:rFonts w:cstheme="minorHAnsi"/>
          <w:bCs/>
          <w:szCs w:val="20"/>
          <w:lang w:val="en-CA"/>
        </w:rPr>
        <w:t xml:space="preserve">. </w:t>
      </w:r>
      <w:r w:rsidR="00B850C4" w:rsidRPr="00FC2211">
        <w:rPr>
          <w:rFonts w:cstheme="minorHAnsi"/>
          <w:bCs/>
          <w:szCs w:val="20"/>
          <w:lang w:val="en-CA"/>
        </w:rPr>
        <w:t>The unsecured promissory note</w:t>
      </w:r>
      <w:r w:rsidR="005C28BB" w:rsidRPr="00FC2211">
        <w:rPr>
          <w:rFonts w:cstheme="minorHAnsi"/>
          <w:bCs/>
          <w:szCs w:val="20"/>
          <w:lang w:val="en-CA"/>
        </w:rPr>
        <w:t xml:space="preserve"> bears an annual interest rate of 12% in the first year of the commitment period and 15% </w:t>
      </w:r>
      <w:r w:rsidR="00B850C4" w:rsidRPr="00FC2211">
        <w:rPr>
          <w:rFonts w:cstheme="minorHAnsi"/>
          <w:bCs/>
          <w:szCs w:val="20"/>
          <w:lang w:val="en-CA"/>
        </w:rPr>
        <w:t>after that</w:t>
      </w:r>
      <w:r w:rsidR="005C28BB" w:rsidRPr="00FC2211">
        <w:rPr>
          <w:rFonts w:cstheme="minorHAnsi"/>
          <w:bCs/>
          <w:szCs w:val="20"/>
          <w:lang w:val="en-CA"/>
        </w:rPr>
        <w:t>.</w:t>
      </w:r>
      <w:r w:rsidR="00023D88" w:rsidRPr="00FC2211">
        <w:t xml:space="preserve"> </w:t>
      </w:r>
      <w:r w:rsidR="005C28BB" w:rsidRPr="00FC2211">
        <w:rPr>
          <w:rFonts w:cstheme="minorHAnsi"/>
          <w:bCs/>
          <w:szCs w:val="20"/>
          <w:lang w:val="en-CA"/>
        </w:rPr>
        <w:t xml:space="preserve">During the </w:t>
      </w:r>
      <w:r w:rsidR="00E021C4" w:rsidRPr="00FC2211">
        <w:rPr>
          <w:rFonts w:cstheme="minorHAnsi"/>
          <w:bCs/>
          <w:szCs w:val="20"/>
          <w:lang w:val="en-CA"/>
        </w:rPr>
        <w:t>six</w:t>
      </w:r>
      <w:r w:rsidR="00051A59" w:rsidRPr="00FC2211">
        <w:rPr>
          <w:rFonts w:cstheme="minorHAnsi"/>
          <w:bCs/>
          <w:szCs w:val="20"/>
          <w:lang w:val="en-CA"/>
        </w:rPr>
        <w:t xml:space="preserve"> </w:t>
      </w:r>
      <w:r w:rsidR="00F244E4" w:rsidRPr="00FC2211">
        <w:rPr>
          <w:rFonts w:cstheme="minorHAnsi"/>
          <w:bCs/>
          <w:szCs w:val="20"/>
          <w:lang w:val="en-CA"/>
        </w:rPr>
        <w:t>month</w:t>
      </w:r>
      <w:r w:rsidR="00051A59" w:rsidRPr="00FC2211">
        <w:rPr>
          <w:rFonts w:cstheme="minorHAnsi"/>
          <w:bCs/>
          <w:szCs w:val="20"/>
          <w:lang w:val="en-CA"/>
        </w:rPr>
        <w:t>s</w:t>
      </w:r>
      <w:r w:rsidR="005C28BB" w:rsidRPr="00FC2211">
        <w:rPr>
          <w:rFonts w:cstheme="minorHAnsi"/>
          <w:bCs/>
          <w:szCs w:val="20"/>
          <w:lang w:val="en-CA"/>
        </w:rPr>
        <w:t xml:space="preserve"> ended </w:t>
      </w:r>
      <w:r w:rsidR="00E021C4" w:rsidRPr="00FC2211">
        <w:rPr>
          <w:rFonts w:cstheme="minorHAnsi"/>
          <w:bCs/>
          <w:szCs w:val="20"/>
          <w:lang w:val="en-CA"/>
        </w:rPr>
        <w:t>December</w:t>
      </w:r>
      <w:r w:rsidR="005C28BB" w:rsidRPr="00FC2211">
        <w:rPr>
          <w:rFonts w:cstheme="minorHAnsi"/>
          <w:bCs/>
          <w:szCs w:val="20"/>
          <w:lang w:val="en-CA"/>
        </w:rPr>
        <w:t xml:space="preserve"> 3</w:t>
      </w:r>
      <w:r w:rsidR="00E021C4" w:rsidRPr="00FC2211">
        <w:rPr>
          <w:rFonts w:cstheme="minorHAnsi"/>
          <w:bCs/>
          <w:szCs w:val="20"/>
          <w:lang w:val="en-CA"/>
        </w:rPr>
        <w:t>1</w:t>
      </w:r>
      <w:r w:rsidR="005C28BB" w:rsidRPr="00FC2211">
        <w:rPr>
          <w:rFonts w:cstheme="minorHAnsi"/>
          <w:bCs/>
          <w:szCs w:val="20"/>
          <w:lang w:val="en-CA"/>
        </w:rPr>
        <w:t>, 2023, the interest income accrued from the note receivable amounted to $</w:t>
      </w:r>
      <w:r w:rsidR="00EE4D9D" w:rsidRPr="00FC2211">
        <w:rPr>
          <w:rFonts w:cstheme="minorHAnsi"/>
          <w:bCs/>
          <w:szCs w:val="20"/>
          <w:lang w:val="en-CA"/>
        </w:rPr>
        <w:t>1,504</w:t>
      </w:r>
      <w:r w:rsidR="00556EC2" w:rsidRPr="00FC2211">
        <w:rPr>
          <w:rFonts w:cstheme="minorHAnsi"/>
          <w:bCs/>
          <w:szCs w:val="20"/>
          <w:lang w:val="en-CA"/>
        </w:rPr>
        <w:t xml:space="preserve"> </w:t>
      </w:r>
      <w:r w:rsidR="005C28BB" w:rsidRPr="00FC2211">
        <w:rPr>
          <w:rFonts w:cstheme="minorHAnsi"/>
          <w:bCs/>
          <w:szCs w:val="20"/>
          <w:lang w:val="en-CA"/>
        </w:rPr>
        <w:t>(</w:t>
      </w:r>
      <w:r w:rsidR="00E021C4" w:rsidRPr="00FC2211">
        <w:rPr>
          <w:rFonts w:cstheme="minorHAnsi"/>
          <w:bCs/>
          <w:szCs w:val="20"/>
          <w:lang w:val="en-CA"/>
        </w:rPr>
        <w:t>December 31</w:t>
      </w:r>
      <w:r w:rsidR="00927D4B" w:rsidRPr="00FC2211">
        <w:rPr>
          <w:rFonts w:cstheme="minorHAnsi"/>
          <w:bCs/>
          <w:szCs w:val="20"/>
          <w:lang w:val="en-CA"/>
        </w:rPr>
        <w:t xml:space="preserve">, </w:t>
      </w:r>
      <w:r w:rsidR="005C28BB" w:rsidRPr="00FC2211">
        <w:rPr>
          <w:rFonts w:cstheme="minorHAnsi"/>
          <w:bCs/>
          <w:szCs w:val="20"/>
          <w:lang w:val="en-CA"/>
        </w:rPr>
        <w:t xml:space="preserve">2022 - </w:t>
      </w:r>
      <w:r w:rsidR="00EB3813" w:rsidRPr="00FC2211">
        <w:rPr>
          <w:rFonts w:cstheme="minorHAnsi"/>
          <w:bCs/>
          <w:szCs w:val="20"/>
          <w:lang w:val="en-CA"/>
        </w:rPr>
        <w:t>$N</w:t>
      </w:r>
      <w:r w:rsidR="005C28BB" w:rsidRPr="00FC2211">
        <w:rPr>
          <w:rFonts w:cstheme="minorHAnsi"/>
          <w:bCs/>
          <w:szCs w:val="20"/>
          <w:lang w:val="en-CA"/>
        </w:rPr>
        <w:t>il).</w:t>
      </w:r>
      <w:r w:rsidR="00927D4B" w:rsidRPr="00FC2211">
        <w:rPr>
          <w:rFonts w:cstheme="minorHAnsi"/>
          <w:bCs/>
          <w:szCs w:val="20"/>
          <w:lang w:val="en-CA"/>
        </w:rPr>
        <w:t xml:space="preserve"> </w:t>
      </w:r>
    </w:p>
    <w:p w14:paraId="7F4293F6" w14:textId="77777777" w:rsidR="00986EEB" w:rsidRPr="00FC2211" w:rsidRDefault="00986EEB" w:rsidP="00986EEB">
      <w:pPr>
        <w:ind w:left="284"/>
        <w:jc w:val="both"/>
        <w:rPr>
          <w:rFonts w:cstheme="minorHAnsi"/>
          <w:bCs/>
          <w:szCs w:val="20"/>
          <w:lang w:val="en-CA"/>
        </w:rPr>
      </w:pPr>
    </w:p>
    <w:p w14:paraId="6474D98B" w14:textId="358D0D43" w:rsidR="007A1C8D" w:rsidRPr="00FC2211" w:rsidRDefault="00D366D5" w:rsidP="00986EEB">
      <w:pPr>
        <w:ind w:left="284"/>
        <w:jc w:val="both"/>
        <w:rPr>
          <w:rFonts w:cstheme="minorHAnsi"/>
          <w:bCs/>
          <w:szCs w:val="20"/>
          <w:lang w:val="en-CA"/>
        </w:rPr>
      </w:pPr>
      <w:r w:rsidRPr="00FC2211">
        <w:rPr>
          <w:rFonts w:eastAsia="Calibri" w:cstheme="minorHAnsi"/>
          <w:szCs w:val="20"/>
        </w:rPr>
        <w:t>The reconciliation of opening and closing balances of notes receivable follows:</w:t>
      </w:r>
    </w:p>
    <w:p w14:paraId="0EE3F245" w14:textId="77777777" w:rsidR="005C28BB" w:rsidRPr="00FC2211" w:rsidRDefault="005C28BB" w:rsidP="00D366D5">
      <w:pPr>
        <w:pStyle w:val="NormalWeb"/>
        <w:ind w:left="357"/>
        <w:jc w:val="both"/>
        <w:rPr>
          <w:rFonts w:eastAsia="Calibri" w:cstheme="minorHAnsi"/>
          <w:szCs w:val="20"/>
        </w:rPr>
      </w:pPr>
    </w:p>
    <w:tbl>
      <w:tblPr>
        <w:tblW w:w="5245" w:type="dxa"/>
        <w:jc w:val="center"/>
        <w:tblLook w:val="04A0" w:firstRow="1" w:lastRow="0" w:firstColumn="1" w:lastColumn="0" w:noHBand="0" w:noVBand="1"/>
      </w:tblPr>
      <w:tblGrid>
        <w:gridCol w:w="3828"/>
        <w:gridCol w:w="1417"/>
      </w:tblGrid>
      <w:tr w:rsidR="00986EEB" w:rsidRPr="00FC2211" w14:paraId="67F0480C" w14:textId="77777777" w:rsidTr="006A281E">
        <w:trPr>
          <w:trHeight w:val="492"/>
          <w:jc w:val="center"/>
        </w:trPr>
        <w:tc>
          <w:tcPr>
            <w:tcW w:w="3828" w:type="dxa"/>
            <w:tcBorders>
              <w:top w:val="nil"/>
              <w:left w:val="nil"/>
              <w:bottom w:val="nil"/>
              <w:right w:val="nil"/>
            </w:tcBorders>
            <w:shd w:val="clear" w:color="auto" w:fill="auto"/>
            <w:noWrap/>
            <w:vAlign w:val="bottom"/>
            <w:hideMark/>
          </w:tcPr>
          <w:p w14:paraId="121E1B16" w14:textId="77777777" w:rsidR="00986EEB" w:rsidRPr="00FC2211" w:rsidRDefault="00986EEB" w:rsidP="00986EEB">
            <w:pPr>
              <w:rPr>
                <w:rFonts w:ascii="Times New Roman" w:hAnsi="Times New Roman"/>
                <w:szCs w:val="20"/>
                <w:lang w:val="en-CA" w:eastAsia="en-CA"/>
              </w:rPr>
            </w:pPr>
          </w:p>
        </w:tc>
        <w:tc>
          <w:tcPr>
            <w:tcW w:w="1417" w:type="dxa"/>
            <w:tcBorders>
              <w:top w:val="nil"/>
              <w:left w:val="nil"/>
              <w:bottom w:val="single" w:sz="8" w:space="0" w:color="auto"/>
              <w:right w:val="nil"/>
            </w:tcBorders>
            <w:shd w:val="clear" w:color="auto" w:fill="auto"/>
            <w:noWrap/>
            <w:vAlign w:val="bottom"/>
            <w:hideMark/>
          </w:tcPr>
          <w:p w14:paraId="2801CBB3" w14:textId="77777777" w:rsidR="00986EEB" w:rsidRPr="00FC2211" w:rsidRDefault="00986EEB" w:rsidP="00986EEB">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Amount</w:t>
            </w:r>
          </w:p>
        </w:tc>
      </w:tr>
      <w:tr w:rsidR="00986EEB" w:rsidRPr="00FC2211" w14:paraId="59A10603" w14:textId="77777777" w:rsidTr="006A281E">
        <w:trPr>
          <w:trHeight w:val="240"/>
          <w:jc w:val="center"/>
        </w:trPr>
        <w:tc>
          <w:tcPr>
            <w:tcW w:w="3828" w:type="dxa"/>
            <w:tcBorders>
              <w:top w:val="nil"/>
              <w:left w:val="nil"/>
              <w:bottom w:val="nil"/>
              <w:right w:val="nil"/>
            </w:tcBorders>
            <w:shd w:val="clear" w:color="auto" w:fill="auto"/>
            <w:noWrap/>
            <w:vAlign w:val="bottom"/>
            <w:hideMark/>
          </w:tcPr>
          <w:p w14:paraId="0808F324" w14:textId="77777777" w:rsidR="00986EEB" w:rsidRPr="00FC2211" w:rsidRDefault="00986EEB" w:rsidP="00986EEB">
            <w:pPr>
              <w:rPr>
                <w:rFonts w:ascii="Calibri" w:hAnsi="Calibri" w:cs="Calibri"/>
                <w:color w:val="000000"/>
                <w:szCs w:val="20"/>
                <w:lang w:val="en-CA" w:eastAsia="en-CA"/>
              </w:rPr>
            </w:pPr>
            <w:r w:rsidRPr="00FC2211">
              <w:rPr>
                <w:rFonts w:ascii="Calibri" w:hAnsi="Calibri" w:cs="Calibri"/>
                <w:color w:val="000000"/>
                <w:szCs w:val="20"/>
                <w:lang w:val="en-CA" w:eastAsia="en-CA"/>
              </w:rPr>
              <w:t>Balance, June 30, 2022</w:t>
            </w:r>
          </w:p>
        </w:tc>
        <w:tc>
          <w:tcPr>
            <w:tcW w:w="1417" w:type="dxa"/>
            <w:tcBorders>
              <w:top w:val="nil"/>
              <w:left w:val="nil"/>
              <w:bottom w:val="nil"/>
              <w:right w:val="nil"/>
            </w:tcBorders>
            <w:shd w:val="clear" w:color="auto" w:fill="auto"/>
            <w:noWrap/>
            <w:vAlign w:val="bottom"/>
            <w:hideMark/>
          </w:tcPr>
          <w:p w14:paraId="5A646C71" w14:textId="0511BC69" w:rsidR="00986EEB" w:rsidRPr="00FC2211" w:rsidRDefault="006A281E" w:rsidP="00681612">
            <w:pPr>
              <w:ind w:right="168"/>
              <w:jc w:val="right"/>
              <w:rPr>
                <w:rFonts w:ascii="Calibri" w:hAnsi="Calibri" w:cs="Calibri"/>
                <w:color w:val="000000"/>
                <w:szCs w:val="20"/>
                <w:lang w:val="en-CA" w:eastAsia="en-CA"/>
              </w:rPr>
            </w:pPr>
            <w:r w:rsidRPr="00FC2211">
              <w:rPr>
                <w:rFonts w:ascii="Calibri" w:hAnsi="Calibri" w:cs="Calibri"/>
                <w:color w:val="000000"/>
                <w:szCs w:val="20"/>
                <w:lang w:val="en-CA" w:eastAsia="en-CA"/>
              </w:rPr>
              <w:t>$</w:t>
            </w:r>
            <w:r w:rsidR="00986EEB" w:rsidRPr="00FC2211">
              <w:rPr>
                <w:rFonts w:ascii="Calibri" w:hAnsi="Calibri" w:cs="Calibri"/>
                <w:color w:val="000000"/>
                <w:szCs w:val="20"/>
                <w:lang w:val="en-CA" w:eastAsia="en-CA"/>
              </w:rPr>
              <w:t xml:space="preserve">         -   </w:t>
            </w:r>
          </w:p>
        </w:tc>
      </w:tr>
      <w:tr w:rsidR="00986EEB" w:rsidRPr="00FC2211" w14:paraId="4B892718" w14:textId="77777777" w:rsidTr="006A281E">
        <w:trPr>
          <w:trHeight w:val="240"/>
          <w:jc w:val="center"/>
        </w:trPr>
        <w:tc>
          <w:tcPr>
            <w:tcW w:w="3828" w:type="dxa"/>
            <w:tcBorders>
              <w:top w:val="nil"/>
              <w:left w:val="nil"/>
              <w:bottom w:val="nil"/>
              <w:right w:val="nil"/>
            </w:tcBorders>
            <w:shd w:val="clear" w:color="auto" w:fill="auto"/>
            <w:noWrap/>
            <w:vAlign w:val="bottom"/>
            <w:hideMark/>
          </w:tcPr>
          <w:p w14:paraId="11708E90" w14:textId="1684AE3B" w:rsidR="00986EEB" w:rsidRPr="00FC2211" w:rsidRDefault="00986EEB" w:rsidP="00986EEB">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Note </w:t>
            </w:r>
            <w:r w:rsidR="004B1E74" w:rsidRPr="00FC2211">
              <w:rPr>
                <w:rFonts w:ascii="Calibri" w:hAnsi="Calibri" w:cs="Calibri"/>
                <w:color w:val="000000"/>
                <w:szCs w:val="20"/>
                <w:lang w:val="en-CA" w:eastAsia="en-CA"/>
              </w:rPr>
              <w:t>r</w:t>
            </w:r>
            <w:r w:rsidRPr="00FC2211">
              <w:rPr>
                <w:rFonts w:ascii="Calibri" w:hAnsi="Calibri" w:cs="Calibri"/>
                <w:color w:val="000000"/>
                <w:szCs w:val="20"/>
                <w:lang w:val="en-CA" w:eastAsia="en-CA"/>
              </w:rPr>
              <w:t>eceivable during the year</w:t>
            </w:r>
          </w:p>
        </w:tc>
        <w:tc>
          <w:tcPr>
            <w:tcW w:w="1417" w:type="dxa"/>
            <w:tcBorders>
              <w:top w:val="nil"/>
              <w:left w:val="nil"/>
              <w:bottom w:val="nil"/>
              <w:right w:val="nil"/>
            </w:tcBorders>
            <w:shd w:val="clear" w:color="auto" w:fill="auto"/>
            <w:noWrap/>
            <w:vAlign w:val="bottom"/>
            <w:hideMark/>
          </w:tcPr>
          <w:p w14:paraId="2619EC40" w14:textId="3035CA72" w:rsidR="00986EEB" w:rsidRPr="00FC2211" w:rsidRDefault="00986EEB" w:rsidP="006A281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25,000 </w:t>
            </w:r>
          </w:p>
        </w:tc>
      </w:tr>
      <w:tr w:rsidR="00986EEB" w:rsidRPr="00FC2211" w14:paraId="313104D4" w14:textId="77777777" w:rsidTr="006A281E">
        <w:trPr>
          <w:trHeight w:val="252"/>
          <w:jc w:val="center"/>
        </w:trPr>
        <w:tc>
          <w:tcPr>
            <w:tcW w:w="3828" w:type="dxa"/>
            <w:tcBorders>
              <w:top w:val="nil"/>
              <w:left w:val="nil"/>
              <w:bottom w:val="nil"/>
              <w:right w:val="nil"/>
            </w:tcBorders>
            <w:shd w:val="clear" w:color="auto" w:fill="auto"/>
            <w:noWrap/>
            <w:vAlign w:val="bottom"/>
            <w:hideMark/>
          </w:tcPr>
          <w:p w14:paraId="67ADA75F" w14:textId="0E6C75DE" w:rsidR="00986EEB" w:rsidRPr="00FC2211" w:rsidRDefault="00986EEB" w:rsidP="00986EEB">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Interest </w:t>
            </w:r>
            <w:r w:rsidR="004B1E74" w:rsidRPr="00FC2211">
              <w:rPr>
                <w:rFonts w:ascii="Calibri" w:hAnsi="Calibri" w:cs="Calibri"/>
                <w:color w:val="000000"/>
                <w:szCs w:val="20"/>
                <w:lang w:val="en-CA" w:eastAsia="en-CA"/>
              </w:rPr>
              <w:t>a</w:t>
            </w:r>
            <w:r w:rsidRPr="00FC2211">
              <w:rPr>
                <w:rFonts w:ascii="Calibri" w:hAnsi="Calibri" w:cs="Calibri"/>
                <w:color w:val="000000"/>
                <w:szCs w:val="20"/>
                <w:lang w:val="en-CA" w:eastAsia="en-CA"/>
              </w:rPr>
              <w:t>ccrued</w:t>
            </w:r>
          </w:p>
        </w:tc>
        <w:tc>
          <w:tcPr>
            <w:tcW w:w="1417" w:type="dxa"/>
            <w:tcBorders>
              <w:top w:val="nil"/>
              <w:left w:val="nil"/>
              <w:bottom w:val="nil"/>
              <w:right w:val="nil"/>
            </w:tcBorders>
            <w:shd w:val="clear" w:color="auto" w:fill="auto"/>
            <w:noWrap/>
            <w:vAlign w:val="bottom"/>
            <w:hideMark/>
          </w:tcPr>
          <w:p w14:paraId="0BFAD7AF" w14:textId="1AA434EF" w:rsidR="00986EEB" w:rsidRPr="00FC2211" w:rsidRDefault="00986EEB" w:rsidP="006A281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393 </w:t>
            </w:r>
          </w:p>
        </w:tc>
      </w:tr>
      <w:tr w:rsidR="00986EEB" w:rsidRPr="00FC2211" w14:paraId="4B521322" w14:textId="77777777" w:rsidTr="006A281E">
        <w:trPr>
          <w:trHeight w:val="240"/>
          <w:jc w:val="center"/>
        </w:trPr>
        <w:tc>
          <w:tcPr>
            <w:tcW w:w="3828" w:type="dxa"/>
            <w:tcBorders>
              <w:top w:val="nil"/>
              <w:left w:val="nil"/>
              <w:bottom w:val="nil"/>
              <w:right w:val="nil"/>
            </w:tcBorders>
            <w:shd w:val="clear" w:color="auto" w:fill="auto"/>
            <w:noWrap/>
            <w:vAlign w:val="bottom"/>
            <w:hideMark/>
          </w:tcPr>
          <w:p w14:paraId="409311F5" w14:textId="77777777" w:rsidR="00986EEB" w:rsidRPr="00FC2211" w:rsidRDefault="00986EEB" w:rsidP="00986EEB">
            <w:pPr>
              <w:rPr>
                <w:rFonts w:ascii="Calibri" w:hAnsi="Calibri" w:cs="Calibri"/>
                <w:color w:val="000000"/>
                <w:szCs w:val="20"/>
                <w:lang w:val="en-CA" w:eastAsia="en-CA"/>
              </w:rPr>
            </w:pPr>
            <w:r w:rsidRPr="00FC2211">
              <w:rPr>
                <w:rFonts w:ascii="Calibri" w:hAnsi="Calibri" w:cs="Calibri"/>
                <w:color w:val="000000"/>
                <w:szCs w:val="20"/>
                <w:lang w:val="en-CA" w:eastAsia="en-CA"/>
              </w:rPr>
              <w:t>Balance, June 30, 2023</w:t>
            </w:r>
          </w:p>
        </w:tc>
        <w:tc>
          <w:tcPr>
            <w:tcW w:w="1417" w:type="dxa"/>
            <w:tcBorders>
              <w:top w:val="single" w:sz="4" w:space="0" w:color="auto"/>
              <w:left w:val="nil"/>
              <w:bottom w:val="single" w:sz="4" w:space="0" w:color="auto"/>
              <w:right w:val="nil"/>
            </w:tcBorders>
            <w:shd w:val="clear" w:color="auto" w:fill="auto"/>
            <w:noWrap/>
            <w:vAlign w:val="bottom"/>
            <w:hideMark/>
          </w:tcPr>
          <w:p w14:paraId="6524AEC8" w14:textId="795E66B9" w:rsidR="00986EEB" w:rsidRPr="00FC2211" w:rsidRDefault="006A281E" w:rsidP="006A281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w:t>
            </w:r>
            <w:r w:rsidR="00986EEB" w:rsidRPr="00FC2211">
              <w:rPr>
                <w:rFonts w:ascii="Calibri" w:hAnsi="Calibri" w:cs="Calibri"/>
                <w:color w:val="000000"/>
                <w:szCs w:val="20"/>
                <w:lang w:val="en-CA" w:eastAsia="en-CA"/>
              </w:rPr>
              <w:t xml:space="preserve">  25,393 </w:t>
            </w:r>
          </w:p>
        </w:tc>
      </w:tr>
      <w:tr w:rsidR="00986EEB" w:rsidRPr="00FC2211" w14:paraId="2E6C1AE0" w14:textId="77777777" w:rsidTr="006A281E">
        <w:trPr>
          <w:trHeight w:val="240"/>
          <w:jc w:val="center"/>
        </w:trPr>
        <w:tc>
          <w:tcPr>
            <w:tcW w:w="3828" w:type="dxa"/>
            <w:tcBorders>
              <w:top w:val="nil"/>
              <w:left w:val="nil"/>
              <w:bottom w:val="nil"/>
              <w:right w:val="nil"/>
            </w:tcBorders>
            <w:shd w:val="clear" w:color="auto" w:fill="auto"/>
            <w:noWrap/>
            <w:vAlign w:val="bottom"/>
            <w:hideMark/>
          </w:tcPr>
          <w:p w14:paraId="26B4EF72" w14:textId="1C8E34E0" w:rsidR="00986EEB" w:rsidRPr="00FC2211" w:rsidRDefault="00986EEB" w:rsidP="00986EEB">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Interest </w:t>
            </w:r>
            <w:r w:rsidR="004B1E74" w:rsidRPr="00FC2211">
              <w:rPr>
                <w:rFonts w:ascii="Calibri" w:hAnsi="Calibri" w:cs="Calibri"/>
                <w:b/>
                <w:bCs/>
                <w:color w:val="000000"/>
                <w:szCs w:val="20"/>
                <w:lang w:val="en-CA" w:eastAsia="en-CA"/>
              </w:rPr>
              <w:t>a</w:t>
            </w:r>
            <w:r w:rsidRPr="00FC2211">
              <w:rPr>
                <w:rFonts w:ascii="Calibri" w:hAnsi="Calibri" w:cs="Calibri"/>
                <w:b/>
                <w:bCs/>
                <w:color w:val="000000"/>
                <w:szCs w:val="20"/>
                <w:lang w:val="en-CA" w:eastAsia="en-CA"/>
              </w:rPr>
              <w:t>ccrued</w:t>
            </w:r>
          </w:p>
        </w:tc>
        <w:tc>
          <w:tcPr>
            <w:tcW w:w="1417" w:type="dxa"/>
            <w:tcBorders>
              <w:top w:val="nil"/>
              <w:left w:val="nil"/>
              <w:bottom w:val="nil"/>
              <w:right w:val="nil"/>
            </w:tcBorders>
            <w:shd w:val="clear" w:color="auto" w:fill="auto"/>
            <w:noWrap/>
            <w:vAlign w:val="bottom"/>
            <w:hideMark/>
          </w:tcPr>
          <w:p w14:paraId="0652B811" w14:textId="4AC1BF2F" w:rsidR="00986EEB" w:rsidRPr="00FC2211" w:rsidRDefault="00986EEB" w:rsidP="006A281E">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EE4D9D" w:rsidRPr="00FC2211">
              <w:rPr>
                <w:rFonts w:ascii="Calibri" w:hAnsi="Calibri" w:cs="Calibri"/>
                <w:b/>
                <w:bCs/>
                <w:color w:val="000000"/>
                <w:szCs w:val="20"/>
                <w:lang w:val="en-CA" w:eastAsia="en-CA"/>
              </w:rPr>
              <w:t>1,504</w:t>
            </w:r>
            <w:r w:rsidRPr="00FC2211">
              <w:rPr>
                <w:rFonts w:ascii="Calibri" w:hAnsi="Calibri" w:cs="Calibri"/>
                <w:b/>
                <w:bCs/>
                <w:color w:val="000000"/>
                <w:szCs w:val="20"/>
                <w:lang w:val="en-CA" w:eastAsia="en-CA"/>
              </w:rPr>
              <w:t xml:space="preserve"> </w:t>
            </w:r>
          </w:p>
        </w:tc>
      </w:tr>
      <w:tr w:rsidR="00986EEB" w:rsidRPr="00FC2211" w14:paraId="113AA296" w14:textId="77777777" w:rsidTr="006A281E">
        <w:trPr>
          <w:trHeight w:val="252"/>
          <w:jc w:val="center"/>
        </w:trPr>
        <w:tc>
          <w:tcPr>
            <w:tcW w:w="3828" w:type="dxa"/>
            <w:tcBorders>
              <w:top w:val="nil"/>
              <w:left w:val="nil"/>
              <w:bottom w:val="nil"/>
              <w:right w:val="nil"/>
            </w:tcBorders>
            <w:shd w:val="clear" w:color="auto" w:fill="auto"/>
            <w:noWrap/>
            <w:vAlign w:val="bottom"/>
            <w:hideMark/>
          </w:tcPr>
          <w:p w14:paraId="044FCDC8" w14:textId="71C11DB1" w:rsidR="00986EEB" w:rsidRPr="00FC2211" w:rsidRDefault="00986EEB" w:rsidP="00986EEB">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Balance, </w:t>
            </w:r>
            <w:r w:rsidR="003D540D" w:rsidRPr="00FC2211">
              <w:rPr>
                <w:rFonts w:ascii="Calibri" w:hAnsi="Calibri" w:cs="Calibri"/>
                <w:b/>
                <w:bCs/>
                <w:color w:val="000000"/>
                <w:szCs w:val="20"/>
                <w:lang w:val="en-CA" w:eastAsia="en-CA"/>
              </w:rPr>
              <w:t>December 31</w:t>
            </w:r>
            <w:r w:rsidRPr="00FC2211">
              <w:rPr>
                <w:rFonts w:ascii="Calibri" w:hAnsi="Calibri" w:cs="Calibri"/>
                <w:b/>
                <w:bCs/>
                <w:color w:val="000000"/>
                <w:szCs w:val="20"/>
                <w:lang w:val="en-CA" w:eastAsia="en-CA"/>
              </w:rPr>
              <w:t>, 2023</w:t>
            </w:r>
          </w:p>
        </w:tc>
        <w:tc>
          <w:tcPr>
            <w:tcW w:w="1417" w:type="dxa"/>
            <w:tcBorders>
              <w:top w:val="single" w:sz="4" w:space="0" w:color="auto"/>
              <w:left w:val="nil"/>
              <w:bottom w:val="single" w:sz="8" w:space="0" w:color="auto"/>
              <w:right w:val="nil"/>
            </w:tcBorders>
            <w:shd w:val="clear" w:color="auto" w:fill="auto"/>
            <w:noWrap/>
            <w:vAlign w:val="bottom"/>
            <w:hideMark/>
          </w:tcPr>
          <w:p w14:paraId="0496334C" w14:textId="78071C62" w:rsidR="00986EEB" w:rsidRPr="00FC2211" w:rsidRDefault="006A281E" w:rsidP="006A281E">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w:t>
            </w:r>
            <w:r w:rsidR="00986EEB" w:rsidRPr="00FC2211">
              <w:rPr>
                <w:rFonts w:ascii="Calibri" w:hAnsi="Calibri" w:cs="Calibri"/>
                <w:b/>
                <w:bCs/>
                <w:color w:val="000000"/>
                <w:szCs w:val="20"/>
                <w:lang w:val="en-CA" w:eastAsia="en-CA"/>
              </w:rPr>
              <w:t xml:space="preserve">  </w:t>
            </w:r>
            <w:r w:rsidR="00EE4D9D" w:rsidRPr="00FC2211">
              <w:rPr>
                <w:rFonts w:ascii="Calibri" w:hAnsi="Calibri" w:cs="Calibri"/>
                <w:b/>
                <w:bCs/>
                <w:color w:val="000000"/>
                <w:szCs w:val="20"/>
                <w:lang w:val="en-CA" w:eastAsia="en-CA"/>
              </w:rPr>
              <w:t>26,897</w:t>
            </w:r>
            <w:r w:rsidR="00986EEB" w:rsidRPr="00FC2211">
              <w:rPr>
                <w:rFonts w:ascii="Calibri" w:hAnsi="Calibri" w:cs="Calibri"/>
                <w:b/>
                <w:bCs/>
                <w:color w:val="000000"/>
                <w:szCs w:val="20"/>
                <w:lang w:val="en-CA" w:eastAsia="en-CA"/>
              </w:rPr>
              <w:t xml:space="preserve"> </w:t>
            </w:r>
          </w:p>
        </w:tc>
      </w:tr>
    </w:tbl>
    <w:p w14:paraId="066CEEBF" w14:textId="77777777" w:rsidR="007A1C8D" w:rsidRPr="00FC2211" w:rsidRDefault="007A1C8D" w:rsidP="00365A7E">
      <w:pPr>
        <w:rPr>
          <w:rFonts w:cstheme="minorHAnsi"/>
          <w:bCs/>
          <w:szCs w:val="20"/>
          <w:lang w:val="en-CA"/>
        </w:rPr>
      </w:pPr>
    </w:p>
    <w:p w14:paraId="25A20C10" w14:textId="77777777" w:rsidR="007A1C8D" w:rsidRPr="00FC2211" w:rsidRDefault="007A1C8D" w:rsidP="00365A7E">
      <w:pPr>
        <w:rPr>
          <w:rFonts w:cstheme="minorHAnsi"/>
          <w:bCs/>
          <w:szCs w:val="20"/>
          <w:lang w:val="en-CA"/>
        </w:rPr>
      </w:pPr>
    </w:p>
    <w:p w14:paraId="419DBEDA" w14:textId="3B06E6DF" w:rsidR="007A1C8D" w:rsidRPr="00FC2211" w:rsidRDefault="007A1C8D" w:rsidP="00365A7E">
      <w:pPr>
        <w:rPr>
          <w:rFonts w:cstheme="minorHAnsi"/>
          <w:bCs/>
          <w:szCs w:val="20"/>
          <w:lang w:val="en-CA"/>
        </w:rPr>
        <w:sectPr w:rsidR="007A1C8D" w:rsidRPr="00FC2211" w:rsidSect="0081636B">
          <w:headerReference w:type="default" r:id="rId25"/>
          <w:footerReference w:type="default" r:id="rId26"/>
          <w:pgSz w:w="12240" w:h="15840" w:code="1"/>
          <w:pgMar w:top="1440" w:right="1440" w:bottom="1440" w:left="1440" w:header="272" w:footer="454" w:gutter="0"/>
          <w:cols w:space="720"/>
          <w:docGrid w:linePitch="360"/>
        </w:sectPr>
      </w:pPr>
    </w:p>
    <w:p w14:paraId="5BAF784D" w14:textId="311BDE7E" w:rsidR="000E7FC1" w:rsidRPr="00FC2211" w:rsidRDefault="00045340" w:rsidP="003433DA">
      <w:pPr>
        <w:pStyle w:val="Heading1"/>
        <w:rPr>
          <w:rFonts w:cstheme="minorHAnsi"/>
          <w:szCs w:val="20"/>
        </w:rPr>
      </w:pPr>
      <w:r w:rsidRPr="00FC2211">
        <w:rPr>
          <w:rFonts w:cstheme="minorHAnsi"/>
          <w:szCs w:val="20"/>
          <w:lang w:val="en-GB"/>
        </w:rPr>
        <w:lastRenderedPageBreak/>
        <w:t>9</w:t>
      </w:r>
      <w:r w:rsidR="003433DA" w:rsidRPr="00FC2211">
        <w:rPr>
          <w:rFonts w:cstheme="minorHAnsi"/>
          <w:szCs w:val="20"/>
          <w:lang w:val="en-GB"/>
        </w:rPr>
        <w:t xml:space="preserve">. </w:t>
      </w:r>
      <w:r w:rsidR="00BA7DAE" w:rsidRPr="00FC2211">
        <w:rPr>
          <w:rFonts w:cstheme="minorHAnsi"/>
          <w:szCs w:val="20"/>
          <w:lang w:val="en-GB"/>
        </w:rPr>
        <w:t xml:space="preserve"> </w:t>
      </w:r>
      <w:r w:rsidR="003433DA" w:rsidRPr="00FC2211">
        <w:rPr>
          <w:rFonts w:cstheme="minorHAnsi"/>
          <w:szCs w:val="20"/>
          <w:lang w:val="en-GB"/>
        </w:rPr>
        <w:t xml:space="preserve"> </w:t>
      </w:r>
      <w:r w:rsidR="00071F45" w:rsidRPr="00FC2211">
        <w:rPr>
          <w:rFonts w:cstheme="minorHAnsi"/>
          <w:szCs w:val="20"/>
          <w:lang w:val="en-GB"/>
        </w:rPr>
        <w:t>EQUIPMENT</w:t>
      </w:r>
    </w:p>
    <w:p w14:paraId="00DC21A0" w14:textId="77777777" w:rsidR="003E30AA" w:rsidRPr="00FC2211" w:rsidRDefault="003E30AA" w:rsidP="003E30AA"/>
    <w:p w14:paraId="2ED90149" w14:textId="7A8DF3B9" w:rsidR="00126FC7" w:rsidRPr="00FC2211" w:rsidRDefault="00126FC7" w:rsidP="00CE34F7">
      <w:pPr>
        <w:rPr>
          <w:rFonts w:cstheme="minorHAnsi"/>
          <w:szCs w:val="20"/>
        </w:rPr>
      </w:pPr>
      <w:r w:rsidRPr="00FC2211">
        <w:rPr>
          <w:rFonts w:cstheme="minorHAnsi"/>
          <w:szCs w:val="20"/>
        </w:rPr>
        <w:t xml:space="preserve">The movements in the balance of </w:t>
      </w:r>
      <w:r w:rsidR="00071F45" w:rsidRPr="00FC2211">
        <w:rPr>
          <w:rFonts w:cstheme="minorHAnsi"/>
          <w:szCs w:val="20"/>
        </w:rPr>
        <w:t>equipment</w:t>
      </w:r>
      <w:r w:rsidRPr="00FC2211">
        <w:rPr>
          <w:rFonts w:cstheme="minorHAnsi"/>
          <w:szCs w:val="20"/>
        </w:rPr>
        <w:t xml:space="preserve"> follows:</w:t>
      </w:r>
    </w:p>
    <w:tbl>
      <w:tblPr>
        <w:tblW w:w="12751" w:type="dxa"/>
        <w:jc w:val="center"/>
        <w:tblLook w:val="04A0" w:firstRow="1" w:lastRow="0" w:firstColumn="1" w:lastColumn="0" w:noHBand="0" w:noVBand="1"/>
      </w:tblPr>
      <w:tblGrid>
        <w:gridCol w:w="3261"/>
        <w:gridCol w:w="1559"/>
        <w:gridCol w:w="1559"/>
        <w:gridCol w:w="1701"/>
        <w:gridCol w:w="1559"/>
        <w:gridCol w:w="1636"/>
        <w:gridCol w:w="1476"/>
      </w:tblGrid>
      <w:tr w:rsidR="00D23DCC" w:rsidRPr="00FC2211" w14:paraId="20760E22" w14:textId="77777777" w:rsidTr="00E30EAF">
        <w:trPr>
          <w:trHeight w:val="972"/>
          <w:jc w:val="center"/>
        </w:trPr>
        <w:tc>
          <w:tcPr>
            <w:tcW w:w="3261" w:type="dxa"/>
            <w:tcBorders>
              <w:top w:val="nil"/>
              <w:left w:val="nil"/>
              <w:bottom w:val="single" w:sz="8" w:space="0" w:color="auto"/>
              <w:right w:val="nil"/>
            </w:tcBorders>
            <w:shd w:val="clear" w:color="auto" w:fill="auto"/>
            <w:noWrap/>
            <w:vAlign w:val="bottom"/>
            <w:hideMark/>
          </w:tcPr>
          <w:p w14:paraId="45D550E3" w14:textId="0F0005B8" w:rsidR="00D23DCC" w:rsidRPr="00FC2211" w:rsidRDefault="00D23DCC" w:rsidP="00E30EAF">
            <w:pPr>
              <w:jc w:val="center"/>
              <w:rPr>
                <w:rFonts w:ascii="Calibri" w:hAnsi="Calibri" w:cs="Calibri"/>
                <w:b/>
                <w:bCs/>
                <w:color w:val="000000"/>
                <w:szCs w:val="20"/>
                <w:lang w:val="en-CA" w:eastAsia="en-CA"/>
              </w:rPr>
            </w:pPr>
          </w:p>
        </w:tc>
        <w:tc>
          <w:tcPr>
            <w:tcW w:w="1559" w:type="dxa"/>
            <w:tcBorders>
              <w:top w:val="nil"/>
              <w:left w:val="nil"/>
              <w:bottom w:val="single" w:sz="8" w:space="0" w:color="auto"/>
              <w:right w:val="nil"/>
            </w:tcBorders>
            <w:shd w:val="clear" w:color="auto" w:fill="auto"/>
            <w:vAlign w:val="bottom"/>
            <w:hideMark/>
          </w:tcPr>
          <w:p w14:paraId="238CF619" w14:textId="77777777" w:rsidR="00D23DCC" w:rsidRPr="00FC2211" w:rsidRDefault="00D23DCC" w:rsidP="00E30EAF">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Furniture and Equipment</w:t>
            </w:r>
          </w:p>
        </w:tc>
        <w:tc>
          <w:tcPr>
            <w:tcW w:w="1559" w:type="dxa"/>
            <w:tcBorders>
              <w:top w:val="nil"/>
              <w:left w:val="nil"/>
              <w:bottom w:val="single" w:sz="8" w:space="0" w:color="auto"/>
              <w:right w:val="nil"/>
            </w:tcBorders>
            <w:shd w:val="clear" w:color="auto" w:fill="auto"/>
            <w:vAlign w:val="bottom"/>
            <w:hideMark/>
          </w:tcPr>
          <w:p w14:paraId="71C9EA8E" w14:textId="77777777" w:rsidR="00D23DCC" w:rsidRPr="00FC2211" w:rsidRDefault="00D23DCC" w:rsidP="00E30EAF">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Computer Hardware</w:t>
            </w:r>
          </w:p>
        </w:tc>
        <w:tc>
          <w:tcPr>
            <w:tcW w:w="1701" w:type="dxa"/>
            <w:tcBorders>
              <w:top w:val="nil"/>
              <w:left w:val="nil"/>
              <w:bottom w:val="single" w:sz="8" w:space="0" w:color="auto"/>
              <w:right w:val="nil"/>
            </w:tcBorders>
            <w:shd w:val="clear" w:color="auto" w:fill="auto"/>
            <w:vAlign w:val="bottom"/>
            <w:hideMark/>
          </w:tcPr>
          <w:p w14:paraId="6A3842BE" w14:textId="77777777" w:rsidR="00D23DCC" w:rsidRPr="00FC2211" w:rsidRDefault="00D23DCC" w:rsidP="00E30EAF">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Motor Vehicle</w:t>
            </w:r>
          </w:p>
        </w:tc>
        <w:tc>
          <w:tcPr>
            <w:tcW w:w="1559" w:type="dxa"/>
            <w:tcBorders>
              <w:top w:val="nil"/>
              <w:left w:val="nil"/>
              <w:bottom w:val="single" w:sz="8" w:space="0" w:color="auto"/>
              <w:right w:val="nil"/>
            </w:tcBorders>
            <w:shd w:val="clear" w:color="auto" w:fill="auto"/>
            <w:vAlign w:val="bottom"/>
            <w:hideMark/>
          </w:tcPr>
          <w:p w14:paraId="0B65684A" w14:textId="77777777" w:rsidR="00D23DCC" w:rsidRPr="00FC2211" w:rsidRDefault="00D23DCC" w:rsidP="00E30EAF">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Welcoming Pedestals -Installed Units</w:t>
            </w:r>
          </w:p>
        </w:tc>
        <w:tc>
          <w:tcPr>
            <w:tcW w:w="1636" w:type="dxa"/>
            <w:tcBorders>
              <w:top w:val="nil"/>
              <w:left w:val="nil"/>
              <w:bottom w:val="single" w:sz="8" w:space="0" w:color="auto"/>
              <w:right w:val="nil"/>
            </w:tcBorders>
            <w:shd w:val="clear" w:color="auto" w:fill="auto"/>
            <w:vAlign w:val="bottom"/>
            <w:hideMark/>
          </w:tcPr>
          <w:p w14:paraId="4C5E9CA0" w14:textId="77777777" w:rsidR="00D23DCC" w:rsidRPr="00FC2211" w:rsidRDefault="00D23DCC" w:rsidP="00E30EAF">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WIP Installed Units</w:t>
            </w:r>
          </w:p>
        </w:tc>
        <w:tc>
          <w:tcPr>
            <w:tcW w:w="1476" w:type="dxa"/>
            <w:tcBorders>
              <w:top w:val="nil"/>
              <w:left w:val="nil"/>
              <w:bottom w:val="single" w:sz="8" w:space="0" w:color="auto"/>
              <w:right w:val="nil"/>
            </w:tcBorders>
            <w:shd w:val="clear" w:color="auto" w:fill="auto"/>
            <w:noWrap/>
            <w:vAlign w:val="bottom"/>
            <w:hideMark/>
          </w:tcPr>
          <w:p w14:paraId="64AB7360" w14:textId="77777777" w:rsidR="00D23DCC" w:rsidRPr="00FC2211" w:rsidRDefault="00D23DCC" w:rsidP="00E30EAF">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Total</w:t>
            </w:r>
          </w:p>
        </w:tc>
      </w:tr>
      <w:tr w:rsidR="00D23DCC" w:rsidRPr="00FC2211" w14:paraId="1975486A" w14:textId="77777777" w:rsidTr="00D23DCC">
        <w:trPr>
          <w:trHeight w:val="288"/>
          <w:jc w:val="center"/>
        </w:trPr>
        <w:tc>
          <w:tcPr>
            <w:tcW w:w="3261" w:type="dxa"/>
            <w:tcBorders>
              <w:top w:val="nil"/>
              <w:left w:val="nil"/>
              <w:bottom w:val="single" w:sz="8" w:space="0" w:color="auto"/>
              <w:right w:val="nil"/>
            </w:tcBorders>
            <w:shd w:val="clear" w:color="auto" w:fill="auto"/>
            <w:noWrap/>
            <w:vAlign w:val="center"/>
            <w:hideMark/>
          </w:tcPr>
          <w:p w14:paraId="6C08E32C" w14:textId="77777777" w:rsidR="00D23DCC" w:rsidRPr="00FC2211" w:rsidRDefault="00D23DCC" w:rsidP="00D23DCC">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Costs:</w:t>
            </w:r>
          </w:p>
        </w:tc>
        <w:tc>
          <w:tcPr>
            <w:tcW w:w="1559" w:type="dxa"/>
            <w:tcBorders>
              <w:top w:val="nil"/>
              <w:left w:val="nil"/>
              <w:bottom w:val="single" w:sz="8" w:space="0" w:color="auto"/>
              <w:right w:val="nil"/>
            </w:tcBorders>
            <w:shd w:val="clear" w:color="auto" w:fill="auto"/>
            <w:noWrap/>
            <w:vAlign w:val="center"/>
            <w:hideMark/>
          </w:tcPr>
          <w:p w14:paraId="2C00115C" w14:textId="77777777" w:rsidR="00D23DCC" w:rsidRPr="00FC2211" w:rsidRDefault="00D23DCC" w:rsidP="00D23DCC">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559" w:type="dxa"/>
            <w:tcBorders>
              <w:top w:val="nil"/>
              <w:left w:val="nil"/>
              <w:bottom w:val="single" w:sz="8" w:space="0" w:color="auto"/>
              <w:right w:val="nil"/>
            </w:tcBorders>
            <w:shd w:val="clear" w:color="auto" w:fill="auto"/>
            <w:noWrap/>
            <w:vAlign w:val="center"/>
            <w:hideMark/>
          </w:tcPr>
          <w:p w14:paraId="19A6D25D" w14:textId="77777777" w:rsidR="00D23DCC" w:rsidRPr="00FC2211" w:rsidRDefault="00D23DCC" w:rsidP="00D23DCC">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701" w:type="dxa"/>
            <w:tcBorders>
              <w:top w:val="nil"/>
              <w:left w:val="nil"/>
              <w:bottom w:val="single" w:sz="8" w:space="0" w:color="auto"/>
              <w:right w:val="nil"/>
            </w:tcBorders>
            <w:shd w:val="clear" w:color="auto" w:fill="auto"/>
            <w:noWrap/>
            <w:vAlign w:val="center"/>
            <w:hideMark/>
          </w:tcPr>
          <w:p w14:paraId="2FE0E864" w14:textId="77777777" w:rsidR="00D23DCC" w:rsidRPr="00FC2211" w:rsidRDefault="00D23DCC" w:rsidP="00D23DCC">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559" w:type="dxa"/>
            <w:tcBorders>
              <w:top w:val="nil"/>
              <w:left w:val="nil"/>
              <w:bottom w:val="single" w:sz="8" w:space="0" w:color="auto"/>
              <w:right w:val="nil"/>
            </w:tcBorders>
            <w:shd w:val="clear" w:color="auto" w:fill="auto"/>
            <w:noWrap/>
            <w:vAlign w:val="center"/>
            <w:hideMark/>
          </w:tcPr>
          <w:p w14:paraId="62401D6B" w14:textId="77777777" w:rsidR="00D23DCC" w:rsidRPr="00FC2211" w:rsidRDefault="00D23DCC" w:rsidP="00D23DCC">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636" w:type="dxa"/>
            <w:tcBorders>
              <w:top w:val="nil"/>
              <w:left w:val="nil"/>
              <w:bottom w:val="single" w:sz="8" w:space="0" w:color="auto"/>
              <w:right w:val="nil"/>
            </w:tcBorders>
            <w:shd w:val="clear" w:color="auto" w:fill="auto"/>
            <w:noWrap/>
            <w:vAlign w:val="center"/>
            <w:hideMark/>
          </w:tcPr>
          <w:p w14:paraId="50B56A96" w14:textId="77777777" w:rsidR="00D23DCC" w:rsidRPr="00FC2211" w:rsidRDefault="00D23DCC" w:rsidP="00D23DCC">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476" w:type="dxa"/>
            <w:tcBorders>
              <w:top w:val="nil"/>
              <w:left w:val="nil"/>
              <w:bottom w:val="single" w:sz="8" w:space="0" w:color="auto"/>
              <w:right w:val="nil"/>
            </w:tcBorders>
            <w:shd w:val="clear" w:color="auto" w:fill="auto"/>
            <w:noWrap/>
            <w:vAlign w:val="center"/>
            <w:hideMark/>
          </w:tcPr>
          <w:p w14:paraId="5AC6D8BA" w14:textId="77777777" w:rsidR="00D23DCC" w:rsidRPr="00FC2211" w:rsidRDefault="00D23DCC" w:rsidP="00D23DCC">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r>
      <w:tr w:rsidR="00D23DCC" w:rsidRPr="00FC2211" w14:paraId="6A40429E" w14:textId="77777777" w:rsidTr="00D23DCC">
        <w:trPr>
          <w:trHeight w:val="276"/>
          <w:jc w:val="center"/>
        </w:trPr>
        <w:tc>
          <w:tcPr>
            <w:tcW w:w="3261" w:type="dxa"/>
            <w:tcBorders>
              <w:top w:val="nil"/>
              <w:left w:val="nil"/>
              <w:bottom w:val="nil"/>
              <w:right w:val="nil"/>
            </w:tcBorders>
            <w:shd w:val="clear" w:color="auto" w:fill="auto"/>
            <w:noWrap/>
            <w:vAlign w:val="center"/>
            <w:hideMark/>
          </w:tcPr>
          <w:p w14:paraId="4367D31D" w14:textId="77777777" w:rsidR="00D23DCC" w:rsidRPr="00FC2211" w:rsidRDefault="00D23DCC" w:rsidP="00D23DCC">
            <w:pPr>
              <w:rPr>
                <w:rFonts w:ascii="Calibri" w:hAnsi="Calibri" w:cs="Calibri"/>
                <w:color w:val="000000"/>
                <w:szCs w:val="20"/>
                <w:lang w:val="en-CA" w:eastAsia="en-CA"/>
              </w:rPr>
            </w:pPr>
            <w:r w:rsidRPr="00FC2211">
              <w:rPr>
                <w:rFonts w:ascii="Calibri" w:hAnsi="Calibri" w:cs="Calibri"/>
                <w:color w:val="000000"/>
                <w:szCs w:val="20"/>
                <w:lang w:val="en-CA" w:eastAsia="en-CA"/>
              </w:rPr>
              <w:t>Balance, June 30, 2022</w:t>
            </w:r>
          </w:p>
        </w:tc>
        <w:tc>
          <w:tcPr>
            <w:tcW w:w="1559" w:type="dxa"/>
            <w:tcBorders>
              <w:top w:val="nil"/>
              <w:left w:val="nil"/>
              <w:bottom w:val="nil"/>
              <w:right w:val="nil"/>
            </w:tcBorders>
            <w:shd w:val="clear" w:color="auto" w:fill="auto"/>
            <w:noWrap/>
            <w:vAlign w:val="center"/>
            <w:hideMark/>
          </w:tcPr>
          <w:p w14:paraId="011AD9C1" w14:textId="03F0B8A7"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r w:rsidR="00EE03DD" w:rsidRPr="00FC2211">
              <w:rPr>
                <w:rFonts w:ascii="Calibri" w:hAnsi="Calibri" w:cs="Calibri"/>
                <w:color w:val="000000"/>
                <w:szCs w:val="20"/>
                <w:lang w:val="en-CA" w:eastAsia="en-CA"/>
              </w:rPr>
              <w:t xml:space="preserve"> </w:t>
            </w:r>
            <w:r w:rsidRPr="00FC2211">
              <w:rPr>
                <w:rFonts w:ascii="Calibri" w:hAnsi="Calibri" w:cs="Calibri"/>
                <w:color w:val="000000"/>
                <w:szCs w:val="20"/>
                <w:lang w:val="en-CA" w:eastAsia="en-CA"/>
              </w:rPr>
              <w:t xml:space="preserve">  108,134 </w:t>
            </w:r>
          </w:p>
        </w:tc>
        <w:tc>
          <w:tcPr>
            <w:tcW w:w="1559" w:type="dxa"/>
            <w:tcBorders>
              <w:top w:val="nil"/>
              <w:left w:val="nil"/>
              <w:bottom w:val="nil"/>
              <w:right w:val="nil"/>
            </w:tcBorders>
            <w:shd w:val="clear" w:color="auto" w:fill="auto"/>
            <w:noWrap/>
            <w:vAlign w:val="center"/>
            <w:hideMark/>
          </w:tcPr>
          <w:p w14:paraId="7E2068E6" w14:textId="44E89477"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79,256 </w:t>
            </w:r>
          </w:p>
        </w:tc>
        <w:tc>
          <w:tcPr>
            <w:tcW w:w="1701" w:type="dxa"/>
            <w:tcBorders>
              <w:top w:val="nil"/>
              <w:left w:val="nil"/>
              <w:bottom w:val="nil"/>
              <w:right w:val="nil"/>
            </w:tcBorders>
            <w:shd w:val="clear" w:color="auto" w:fill="auto"/>
            <w:noWrap/>
            <w:vAlign w:val="center"/>
            <w:hideMark/>
          </w:tcPr>
          <w:p w14:paraId="3C652AB4" w14:textId="62A50EA5"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r w:rsidR="00115364" w:rsidRPr="00FC2211">
              <w:rPr>
                <w:rFonts w:ascii="Calibri" w:hAnsi="Calibri" w:cs="Calibri"/>
                <w:color w:val="000000"/>
                <w:szCs w:val="20"/>
                <w:lang w:val="en-CA" w:eastAsia="en-CA"/>
              </w:rPr>
              <w:t xml:space="preserve">  </w:t>
            </w:r>
            <w:r w:rsidRPr="00FC2211">
              <w:rPr>
                <w:rFonts w:ascii="Calibri" w:hAnsi="Calibri" w:cs="Calibri"/>
                <w:color w:val="000000"/>
                <w:szCs w:val="20"/>
                <w:lang w:val="en-CA" w:eastAsia="en-CA"/>
              </w:rPr>
              <w:t xml:space="preserve"> 13,800 </w:t>
            </w:r>
          </w:p>
        </w:tc>
        <w:tc>
          <w:tcPr>
            <w:tcW w:w="1559" w:type="dxa"/>
            <w:tcBorders>
              <w:top w:val="nil"/>
              <w:left w:val="nil"/>
              <w:bottom w:val="nil"/>
              <w:right w:val="nil"/>
            </w:tcBorders>
            <w:shd w:val="clear" w:color="auto" w:fill="auto"/>
            <w:noWrap/>
            <w:vAlign w:val="center"/>
            <w:hideMark/>
          </w:tcPr>
          <w:p w14:paraId="10241708" w14:textId="101F281B"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621,667 </w:t>
            </w:r>
          </w:p>
        </w:tc>
        <w:tc>
          <w:tcPr>
            <w:tcW w:w="1636" w:type="dxa"/>
            <w:tcBorders>
              <w:top w:val="nil"/>
              <w:left w:val="nil"/>
              <w:bottom w:val="nil"/>
              <w:right w:val="nil"/>
            </w:tcBorders>
            <w:shd w:val="clear" w:color="auto" w:fill="auto"/>
            <w:noWrap/>
            <w:vAlign w:val="center"/>
            <w:hideMark/>
          </w:tcPr>
          <w:p w14:paraId="53944700" w14:textId="2B3DB104"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r w:rsidR="00115364" w:rsidRPr="00FC2211">
              <w:rPr>
                <w:rFonts w:ascii="Calibri" w:hAnsi="Calibri" w:cs="Calibri"/>
                <w:color w:val="000000"/>
                <w:szCs w:val="20"/>
                <w:lang w:val="en-CA" w:eastAsia="en-CA"/>
              </w:rPr>
              <w:t xml:space="preserve">   </w:t>
            </w:r>
            <w:r w:rsidRPr="00FC2211">
              <w:rPr>
                <w:rFonts w:ascii="Calibri" w:hAnsi="Calibri" w:cs="Calibri"/>
                <w:color w:val="000000"/>
                <w:szCs w:val="20"/>
                <w:lang w:val="en-CA" w:eastAsia="en-CA"/>
              </w:rPr>
              <w:t xml:space="preserve">314,429 </w:t>
            </w:r>
          </w:p>
        </w:tc>
        <w:tc>
          <w:tcPr>
            <w:tcW w:w="1476" w:type="dxa"/>
            <w:tcBorders>
              <w:top w:val="nil"/>
              <w:left w:val="nil"/>
              <w:bottom w:val="nil"/>
              <w:right w:val="nil"/>
            </w:tcBorders>
            <w:shd w:val="clear" w:color="auto" w:fill="auto"/>
            <w:noWrap/>
            <w:vAlign w:val="center"/>
            <w:hideMark/>
          </w:tcPr>
          <w:p w14:paraId="7A74B492" w14:textId="31738013"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1,137,286 </w:t>
            </w:r>
          </w:p>
        </w:tc>
      </w:tr>
      <w:tr w:rsidR="00D23DCC" w:rsidRPr="00FC2211" w14:paraId="2C228190" w14:textId="77777777" w:rsidTr="00D23DCC">
        <w:trPr>
          <w:trHeight w:val="276"/>
          <w:jc w:val="center"/>
        </w:trPr>
        <w:tc>
          <w:tcPr>
            <w:tcW w:w="3261" w:type="dxa"/>
            <w:tcBorders>
              <w:top w:val="nil"/>
              <w:left w:val="nil"/>
              <w:bottom w:val="nil"/>
              <w:right w:val="nil"/>
            </w:tcBorders>
            <w:shd w:val="clear" w:color="auto" w:fill="auto"/>
            <w:noWrap/>
            <w:vAlign w:val="center"/>
            <w:hideMark/>
          </w:tcPr>
          <w:p w14:paraId="3E4891B9" w14:textId="77777777" w:rsidR="00D23DCC" w:rsidRPr="00FC2211" w:rsidRDefault="00D23DCC" w:rsidP="00D23DCC">
            <w:pPr>
              <w:rPr>
                <w:rFonts w:ascii="Calibri" w:hAnsi="Calibri" w:cs="Calibri"/>
                <w:color w:val="000000"/>
                <w:szCs w:val="20"/>
                <w:lang w:val="en-CA" w:eastAsia="en-CA"/>
              </w:rPr>
            </w:pPr>
            <w:r w:rsidRPr="00FC2211">
              <w:rPr>
                <w:rFonts w:ascii="Calibri" w:hAnsi="Calibri" w:cs="Calibri"/>
                <w:color w:val="000000"/>
                <w:szCs w:val="20"/>
                <w:lang w:val="en-CA" w:eastAsia="en-CA"/>
              </w:rPr>
              <w:t>Additions</w:t>
            </w:r>
          </w:p>
        </w:tc>
        <w:tc>
          <w:tcPr>
            <w:tcW w:w="1559" w:type="dxa"/>
            <w:tcBorders>
              <w:top w:val="nil"/>
              <w:left w:val="nil"/>
              <w:bottom w:val="nil"/>
              <w:right w:val="nil"/>
            </w:tcBorders>
            <w:shd w:val="clear" w:color="auto" w:fill="auto"/>
            <w:noWrap/>
            <w:vAlign w:val="center"/>
            <w:hideMark/>
          </w:tcPr>
          <w:p w14:paraId="010B3662" w14:textId="581C007D"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43,796 </w:t>
            </w:r>
          </w:p>
        </w:tc>
        <w:tc>
          <w:tcPr>
            <w:tcW w:w="1559" w:type="dxa"/>
            <w:tcBorders>
              <w:top w:val="nil"/>
              <w:left w:val="nil"/>
              <w:bottom w:val="nil"/>
              <w:right w:val="nil"/>
            </w:tcBorders>
            <w:shd w:val="clear" w:color="auto" w:fill="auto"/>
            <w:noWrap/>
            <w:vAlign w:val="center"/>
            <w:hideMark/>
          </w:tcPr>
          <w:p w14:paraId="26320EB7" w14:textId="70FC207C"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1,071 </w:t>
            </w:r>
          </w:p>
        </w:tc>
        <w:tc>
          <w:tcPr>
            <w:tcW w:w="1701" w:type="dxa"/>
            <w:tcBorders>
              <w:top w:val="nil"/>
              <w:left w:val="nil"/>
              <w:bottom w:val="nil"/>
              <w:right w:val="nil"/>
            </w:tcBorders>
            <w:shd w:val="clear" w:color="auto" w:fill="auto"/>
            <w:noWrap/>
            <w:vAlign w:val="center"/>
            <w:hideMark/>
          </w:tcPr>
          <w:p w14:paraId="696B5666" w14:textId="48C96387" w:rsidR="00D23DCC" w:rsidRPr="00FC2211" w:rsidRDefault="00D23DCC" w:rsidP="00681612">
            <w:pPr>
              <w:ind w:right="168"/>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559" w:type="dxa"/>
            <w:tcBorders>
              <w:top w:val="nil"/>
              <w:left w:val="nil"/>
              <w:bottom w:val="nil"/>
              <w:right w:val="nil"/>
            </w:tcBorders>
            <w:shd w:val="clear" w:color="auto" w:fill="auto"/>
            <w:noWrap/>
            <w:vAlign w:val="center"/>
            <w:hideMark/>
          </w:tcPr>
          <w:p w14:paraId="55DE7D2E" w14:textId="16523D52"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447,972 </w:t>
            </w:r>
          </w:p>
        </w:tc>
        <w:tc>
          <w:tcPr>
            <w:tcW w:w="1636" w:type="dxa"/>
            <w:tcBorders>
              <w:top w:val="nil"/>
              <w:left w:val="nil"/>
              <w:bottom w:val="nil"/>
              <w:right w:val="nil"/>
            </w:tcBorders>
            <w:shd w:val="clear" w:color="auto" w:fill="auto"/>
            <w:noWrap/>
            <w:vAlign w:val="center"/>
            <w:hideMark/>
          </w:tcPr>
          <w:p w14:paraId="53752214" w14:textId="78BCC04A"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425,138 </w:t>
            </w:r>
          </w:p>
        </w:tc>
        <w:tc>
          <w:tcPr>
            <w:tcW w:w="1476" w:type="dxa"/>
            <w:tcBorders>
              <w:top w:val="nil"/>
              <w:left w:val="nil"/>
              <w:bottom w:val="nil"/>
              <w:right w:val="nil"/>
            </w:tcBorders>
            <w:shd w:val="clear" w:color="auto" w:fill="auto"/>
            <w:noWrap/>
            <w:vAlign w:val="center"/>
            <w:hideMark/>
          </w:tcPr>
          <w:p w14:paraId="4FA94756" w14:textId="37051898"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917,977 </w:t>
            </w:r>
          </w:p>
        </w:tc>
      </w:tr>
      <w:tr w:rsidR="00EE03DD" w:rsidRPr="00FC2211" w14:paraId="6BEFD096" w14:textId="77777777" w:rsidTr="00D23DCC">
        <w:trPr>
          <w:trHeight w:val="276"/>
          <w:jc w:val="center"/>
        </w:trPr>
        <w:tc>
          <w:tcPr>
            <w:tcW w:w="3261" w:type="dxa"/>
            <w:tcBorders>
              <w:top w:val="nil"/>
              <w:left w:val="nil"/>
              <w:bottom w:val="single" w:sz="4" w:space="0" w:color="auto"/>
              <w:right w:val="nil"/>
            </w:tcBorders>
            <w:shd w:val="clear" w:color="auto" w:fill="auto"/>
            <w:noWrap/>
            <w:vAlign w:val="center"/>
            <w:hideMark/>
          </w:tcPr>
          <w:p w14:paraId="42D14A8D" w14:textId="77777777" w:rsidR="00EE03DD" w:rsidRPr="00FC2211" w:rsidRDefault="00EE03DD" w:rsidP="00EE03DD">
            <w:pPr>
              <w:rPr>
                <w:rFonts w:ascii="Calibri" w:hAnsi="Calibri" w:cs="Calibri"/>
                <w:color w:val="000000"/>
                <w:szCs w:val="20"/>
                <w:lang w:val="en-CA" w:eastAsia="en-CA"/>
              </w:rPr>
            </w:pPr>
            <w:r w:rsidRPr="00FC2211">
              <w:rPr>
                <w:rFonts w:ascii="Calibri" w:hAnsi="Calibri" w:cs="Calibri"/>
                <w:color w:val="000000"/>
                <w:szCs w:val="20"/>
                <w:lang w:val="en-CA" w:eastAsia="en-CA"/>
              </w:rPr>
              <w:t>Transfer of WIP to Installed units</w:t>
            </w:r>
          </w:p>
        </w:tc>
        <w:tc>
          <w:tcPr>
            <w:tcW w:w="1559" w:type="dxa"/>
            <w:tcBorders>
              <w:top w:val="nil"/>
              <w:left w:val="nil"/>
              <w:bottom w:val="single" w:sz="4" w:space="0" w:color="auto"/>
              <w:right w:val="nil"/>
            </w:tcBorders>
            <w:shd w:val="clear" w:color="auto" w:fill="auto"/>
            <w:noWrap/>
            <w:vAlign w:val="center"/>
            <w:hideMark/>
          </w:tcPr>
          <w:p w14:paraId="7225E9DF" w14:textId="53EC9E98" w:rsidR="00EE03DD" w:rsidRPr="00FC2211" w:rsidRDefault="00EE03DD" w:rsidP="00681612">
            <w:pPr>
              <w:ind w:right="174"/>
              <w:jc w:val="right"/>
              <w:rPr>
                <w:rFonts w:ascii="Calibri" w:hAnsi="Calibri" w:cs="Calibri"/>
                <w:b/>
                <w:bCs/>
                <w:color w:val="000000"/>
                <w:szCs w:val="20"/>
                <w:lang w:val="en-CA" w:eastAsia="en-CA"/>
              </w:rPr>
            </w:pPr>
            <w:r w:rsidRPr="00FC2211">
              <w:rPr>
                <w:rFonts w:ascii="Calibri" w:hAnsi="Calibri" w:cs="Calibri"/>
                <w:color w:val="000000"/>
                <w:szCs w:val="20"/>
                <w:lang w:val="en-CA" w:eastAsia="en-CA"/>
              </w:rPr>
              <w:t xml:space="preserve">          -   </w:t>
            </w:r>
          </w:p>
        </w:tc>
        <w:tc>
          <w:tcPr>
            <w:tcW w:w="1559" w:type="dxa"/>
            <w:tcBorders>
              <w:top w:val="nil"/>
              <w:left w:val="nil"/>
              <w:bottom w:val="single" w:sz="4" w:space="0" w:color="auto"/>
              <w:right w:val="nil"/>
            </w:tcBorders>
            <w:shd w:val="clear" w:color="auto" w:fill="auto"/>
            <w:noWrap/>
            <w:vAlign w:val="center"/>
            <w:hideMark/>
          </w:tcPr>
          <w:p w14:paraId="338A0A5F" w14:textId="20C90589" w:rsidR="00EE03DD" w:rsidRPr="00FC2211" w:rsidRDefault="00EE03DD" w:rsidP="00681612">
            <w:pPr>
              <w:ind w:right="174"/>
              <w:jc w:val="right"/>
              <w:rPr>
                <w:rFonts w:ascii="Calibri" w:hAnsi="Calibri" w:cs="Calibri"/>
                <w:b/>
                <w:bCs/>
                <w:color w:val="000000"/>
                <w:szCs w:val="20"/>
                <w:lang w:val="en-CA" w:eastAsia="en-CA"/>
              </w:rPr>
            </w:pPr>
            <w:r w:rsidRPr="00FC2211">
              <w:rPr>
                <w:rFonts w:ascii="Calibri" w:hAnsi="Calibri" w:cs="Calibri"/>
                <w:color w:val="000000"/>
                <w:szCs w:val="20"/>
                <w:lang w:val="en-CA" w:eastAsia="en-CA"/>
              </w:rPr>
              <w:t xml:space="preserve">        -   </w:t>
            </w:r>
          </w:p>
        </w:tc>
        <w:tc>
          <w:tcPr>
            <w:tcW w:w="1701" w:type="dxa"/>
            <w:tcBorders>
              <w:top w:val="nil"/>
              <w:left w:val="nil"/>
              <w:bottom w:val="single" w:sz="4" w:space="0" w:color="auto"/>
              <w:right w:val="nil"/>
            </w:tcBorders>
            <w:shd w:val="clear" w:color="auto" w:fill="auto"/>
            <w:noWrap/>
            <w:vAlign w:val="center"/>
            <w:hideMark/>
          </w:tcPr>
          <w:p w14:paraId="51BCA9D0" w14:textId="5AE61BE7" w:rsidR="00EE03DD" w:rsidRPr="00FC2211" w:rsidRDefault="00EE03DD" w:rsidP="00681612">
            <w:pPr>
              <w:ind w:right="168"/>
              <w:jc w:val="right"/>
              <w:rPr>
                <w:rFonts w:ascii="Calibri" w:hAnsi="Calibri" w:cs="Calibri"/>
                <w:b/>
                <w:bCs/>
                <w:color w:val="000000"/>
                <w:szCs w:val="20"/>
                <w:lang w:val="en-CA" w:eastAsia="en-CA"/>
              </w:rPr>
            </w:pPr>
            <w:r w:rsidRPr="00FC2211">
              <w:rPr>
                <w:rFonts w:ascii="Calibri" w:hAnsi="Calibri" w:cs="Calibri"/>
                <w:color w:val="000000"/>
                <w:szCs w:val="20"/>
                <w:lang w:val="en-CA" w:eastAsia="en-CA"/>
              </w:rPr>
              <w:t xml:space="preserve">          -   </w:t>
            </w:r>
          </w:p>
        </w:tc>
        <w:tc>
          <w:tcPr>
            <w:tcW w:w="1559" w:type="dxa"/>
            <w:tcBorders>
              <w:top w:val="nil"/>
              <w:left w:val="nil"/>
              <w:bottom w:val="single" w:sz="4" w:space="0" w:color="auto"/>
              <w:right w:val="nil"/>
            </w:tcBorders>
            <w:shd w:val="clear" w:color="auto" w:fill="auto"/>
            <w:noWrap/>
            <w:vAlign w:val="center"/>
            <w:hideMark/>
          </w:tcPr>
          <w:p w14:paraId="4DCB7F75" w14:textId="6C073E64"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455,695 </w:t>
            </w:r>
          </w:p>
        </w:tc>
        <w:tc>
          <w:tcPr>
            <w:tcW w:w="1636" w:type="dxa"/>
            <w:tcBorders>
              <w:top w:val="nil"/>
              <w:left w:val="nil"/>
              <w:bottom w:val="single" w:sz="4" w:space="0" w:color="auto"/>
              <w:right w:val="nil"/>
            </w:tcBorders>
            <w:shd w:val="clear" w:color="auto" w:fill="auto"/>
            <w:noWrap/>
            <w:vAlign w:val="center"/>
            <w:hideMark/>
          </w:tcPr>
          <w:p w14:paraId="12E57EC1" w14:textId="7C29CEEA" w:rsidR="00EE03DD" w:rsidRPr="00FC2211" w:rsidRDefault="00EE03DD" w:rsidP="00E30EAF">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(455,695)</w:t>
            </w:r>
          </w:p>
        </w:tc>
        <w:tc>
          <w:tcPr>
            <w:tcW w:w="1476" w:type="dxa"/>
            <w:tcBorders>
              <w:top w:val="nil"/>
              <w:left w:val="nil"/>
              <w:bottom w:val="single" w:sz="4" w:space="0" w:color="auto"/>
              <w:right w:val="nil"/>
            </w:tcBorders>
            <w:shd w:val="clear" w:color="auto" w:fill="auto"/>
            <w:noWrap/>
            <w:vAlign w:val="center"/>
            <w:hideMark/>
          </w:tcPr>
          <w:p w14:paraId="093C5E06" w14:textId="598D41D4" w:rsidR="00EE03DD" w:rsidRPr="00FC2211" w:rsidRDefault="00EE03DD" w:rsidP="00681612">
            <w:pPr>
              <w:ind w:right="171"/>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r>
      <w:tr w:rsidR="00D23DCC" w:rsidRPr="00FC2211" w14:paraId="342B699C" w14:textId="77777777" w:rsidTr="00D23DCC">
        <w:trPr>
          <w:trHeight w:val="276"/>
          <w:jc w:val="center"/>
        </w:trPr>
        <w:tc>
          <w:tcPr>
            <w:tcW w:w="3261" w:type="dxa"/>
            <w:tcBorders>
              <w:top w:val="nil"/>
              <w:left w:val="nil"/>
              <w:bottom w:val="single" w:sz="4" w:space="0" w:color="auto"/>
              <w:right w:val="nil"/>
            </w:tcBorders>
            <w:shd w:val="clear" w:color="auto" w:fill="auto"/>
            <w:noWrap/>
            <w:vAlign w:val="center"/>
            <w:hideMark/>
          </w:tcPr>
          <w:p w14:paraId="6A220479" w14:textId="77777777" w:rsidR="00D23DCC" w:rsidRPr="00FC2211" w:rsidRDefault="00D23DCC" w:rsidP="00D23DCC">
            <w:pPr>
              <w:rPr>
                <w:rFonts w:ascii="Calibri" w:hAnsi="Calibri" w:cs="Calibri"/>
                <w:color w:val="000000"/>
                <w:szCs w:val="20"/>
                <w:lang w:val="en-CA" w:eastAsia="en-CA"/>
              </w:rPr>
            </w:pPr>
            <w:r w:rsidRPr="00FC2211">
              <w:rPr>
                <w:rFonts w:ascii="Calibri" w:hAnsi="Calibri" w:cs="Calibri"/>
                <w:color w:val="000000"/>
                <w:szCs w:val="20"/>
                <w:lang w:val="en-CA" w:eastAsia="en-CA"/>
              </w:rPr>
              <w:t>Balance, June 30, 2023</w:t>
            </w:r>
          </w:p>
        </w:tc>
        <w:tc>
          <w:tcPr>
            <w:tcW w:w="1559" w:type="dxa"/>
            <w:tcBorders>
              <w:top w:val="nil"/>
              <w:left w:val="nil"/>
              <w:bottom w:val="single" w:sz="4" w:space="0" w:color="auto"/>
              <w:right w:val="nil"/>
            </w:tcBorders>
            <w:shd w:val="clear" w:color="auto" w:fill="auto"/>
            <w:noWrap/>
            <w:vAlign w:val="center"/>
            <w:hideMark/>
          </w:tcPr>
          <w:p w14:paraId="36128B12" w14:textId="1C0A744A"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151,930 </w:t>
            </w:r>
          </w:p>
        </w:tc>
        <w:tc>
          <w:tcPr>
            <w:tcW w:w="1559" w:type="dxa"/>
            <w:tcBorders>
              <w:top w:val="nil"/>
              <w:left w:val="nil"/>
              <w:bottom w:val="single" w:sz="4" w:space="0" w:color="auto"/>
              <w:right w:val="nil"/>
            </w:tcBorders>
            <w:shd w:val="clear" w:color="auto" w:fill="auto"/>
            <w:noWrap/>
            <w:vAlign w:val="center"/>
            <w:hideMark/>
          </w:tcPr>
          <w:p w14:paraId="006E07B6" w14:textId="41766F89"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80,327 </w:t>
            </w:r>
          </w:p>
        </w:tc>
        <w:tc>
          <w:tcPr>
            <w:tcW w:w="1701" w:type="dxa"/>
            <w:tcBorders>
              <w:top w:val="nil"/>
              <w:left w:val="nil"/>
              <w:bottom w:val="single" w:sz="4" w:space="0" w:color="auto"/>
              <w:right w:val="nil"/>
            </w:tcBorders>
            <w:shd w:val="clear" w:color="auto" w:fill="auto"/>
            <w:noWrap/>
            <w:vAlign w:val="center"/>
            <w:hideMark/>
          </w:tcPr>
          <w:p w14:paraId="182A8040" w14:textId="712FB491"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13,800 </w:t>
            </w:r>
          </w:p>
        </w:tc>
        <w:tc>
          <w:tcPr>
            <w:tcW w:w="1559" w:type="dxa"/>
            <w:tcBorders>
              <w:top w:val="nil"/>
              <w:left w:val="nil"/>
              <w:bottom w:val="single" w:sz="4" w:space="0" w:color="auto"/>
              <w:right w:val="nil"/>
            </w:tcBorders>
            <w:shd w:val="clear" w:color="auto" w:fill="auto"/>
            <w:noWrap/>
            <w:vAlign w:val="center"/>
            <w:hideMark/>
          </w:tcPr>
          <w:p w14:paraId="3186D465" w14:textId="6CF166BB"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1,525,334 </w:t>
            </w:r>
          </w:p>
        </w:tc>
        <w:tc>
          <w:tcPr>
            <w:tcW w:w="1636" w:type="dxa"/>
            <w:tcBorders>
              <w:top w:val="nil"/>
              <w:left w:val="nil"/>
              <w:bottom w:val="single" w:sz="4" w:space="0" w:color="auto"/>
              <w:right w:val="nil"/>
            </w:tcBorders>
            <w:shd w:val="clear" w:color="auto" w:fill="auto"/>
            <w:noWrap/>
            <w:vAlign w:val="center"/>
            <w:hideMark/>
          </w:tcPr>
          <w:p w14:paraId="1C8EEE10" w14:textId="6AF3E6E8"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283,872 </w:t>
            </w:r>
          </w:p>
        </w:tc>
        <w:tc>
          <w:tcPr>
            <w:tcW w:w="1476" w:type="dxa"/>
            <w:tcBorders>
              <w:top w:val="nil"/>
              <w:left w:val="nil"/>
              <w:bottom w:val="single" w:sz="4" w:space="0" w:color="auto"/>
              <w:right w:val="nil"/>
            </w:tcBorders>
            <w:shd w:val="clear" w:color="auto" w:fill="auto"/>
            <w:noWrap/>
            <w:vAlign w:val="center"/>
            <w:hideMark/>
          </w:tcPr>
          <w:p w14:paraId="324FA2F5" w14:textId="1B234E37"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2,055,263 </w:t>
            </w:r>
          </w:p>
        </w:tc>
      </w:tr>
      <w:tr w:rsidR="00D23DCC" w:rsidRPr="00FC2211" w14:paraId="48DAF4C0" w14:textId="77777777" w:rsidTr="00D23DCC">
        <w:trPr>
          <w:trHeight w:val="276"/>
          <w:jc w:val="center"/>
        </w:trPr>
        <w:tc>
          <w:tcPr>
            <w:tcW w:w="3261" w:type="dxa"/>
            <w:tcBorders>
              <w:top w:val="nil"/>
              <w:left w:val="nil"/>
              <w:bottom w:val="nil"/>
              <w:right w:val="nil"/>
            </w:tcBorders>
            <w:shd w:val="clear" w:color="auto" w:fill="auto"/>
            <w:noWrap/>
            <w:vAlign w:val="center"/>
            <w:hideMark/>
          </w:tcPr>
          <w:p w14:paraId="007F4447" w14:textId="77777777" w:rsidR="00D23DCC" w:rsidRPr="00FC2211" w:rsidRDefault="00D23DCC" w:rsidP="00D23DCC">
            <w:pPr>
              <w:rPr>
                <w:rFonts w:ascii="Calibri" w:hAnsi="Calibri" w:cs="Calibri"/>
                <w:color w:val="000000"/>
                <w:szCs w:val="20"/>
                <w:lang w:val="en-CA" w:eastAsia="en-CA"/>
              </w:rPr>
            </w:pPr>
            <w:r w:rsidRPr="00FC2211">
              <w:rPr>
                <w:rFonts w:ascii="Calibri" w:hAnsi="Calibri" w:cs="Calibri"/>
                <w:color w:val="000000"/>
                <w:szCs w:val="20"/>
                <w:lang w:val="en-CA" w:eastAsia="en-CA"/>
              </w:rPr>
              <w:t>Additions</w:t>
            </w:r>
          </w:p>
        </w:tc>
        <w:tc>
          <w:tcPr>
            <w:tcW w:w="1559" w:type="dxa"/>
            <w:tcBorders>
              <w:top w:val="nil"/>
              <w:left w:val="nil"/>
              <w:bottom w:val="nil"/>
              <w:right w:val="nil"/>
            </w:tcBorders>
            <w:shd w:val="clear" w:color="auto" w:fill="auto"/>
            <w:noWrap/>
            <w:vAlign w:val="center"/>
            <w:hideMark/>
          </w:tcPr>
          <w:p w14:paraId="2D6B1546" w14:textId="0A5085B0" w:rsidR="00D23DCC" w:rsidRPr="00FC2211" w:rsidRDefault="00D23DCC" w:rsidP="00681612">
            <w:pPr>
              <w:ind w:right="174"/>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559" w:type="dxa"/>
            <w:tcBorders>
              <w:top w:val="nil"/>
              <w:left w:val="nil"/>
              <w:bottom w:val="nil"/>
              <w:right w:val="nil"/>
            </w:tcBorders>
            <w:shd w:val="clear" w:color="auto" w:fill="auto"/>
            <w:noWrap/>
            <w:vAlign w:val="center"/>
            <w:hideMark/>
          </w:tcPr>
          <w:p w14:paraId="001BE67B" w14:textId="6677E640" w:rsidR="00D23DCC" w:rsidRPr="00FC2211" w:rsidRDefault="00D23DCC" w:rsidP="00681612">
            <w:pPr>
              <w:ind w:right="174"/>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701" w:type="dxa"/>
            <w:tcBorders>
              <w:top w:val="nil"/>
              <w:left w:val="nil"/>
              <w:bottom w:val="nil"/>
              <w:right w:val="nil"/>
            </w:tcBorders>
            <w:shd w:val="clear" w:color="auto" w:fill="auto"/>
            <w:noWrap/>
            <w:vAlign w:val="center"/>
            <w:hideMark/>
          </w:tcPr>
          <w:p w14:paraId="49659AF4" w14:textId="4E2F1CB4" w:rsidR="00D23DCC" w:rsidRPr="00FC2211" w:rsidRDefault="00D23DCC" w:rsidP="00681612">
            <w:pPr>
              <w:ind w:right="168"/>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559" w:type="dxa"/>
            <w:tcBorders>
              <w:top w:val="nil"/>
              <w:left w:val="nil"/>
              <w:bottom w:val="nil"/>
              <w:right w:val="nil"/>
            </w:tcBorders>
            <w:shd w:val="clear" w:color="auto" w:fill="auto"/>
            <w:noWrap/>
            <w:vAlign w:val="center"/>
            <w:hideMark/>
          </w:tcPr>
          <w:p w14:paraId="59F66B2A" w14:textId="03FEFD10"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168,254 </w:t>
            </w:r>
          </w:p>
        </w:tc>
        <w:tc>
          <w:tcPr>
            <w:tcW w:w="1636" w:type="dxa"/>
            <w:tcBorders>
              <w:top w:val="nil"/>
              <w:left w:val="nil"/>
              <w:bottom w:val="nil"/>
              <w:right w:val="nil"/>
            </w:tcBorders>
            <w:shd w:val="clear" w:color="auto" w:fill="auto"/>
            <w:noWrap/>
            <w:vAlign w:val="center"/>
            <w:hideMark/>
          </w:tcPr>
          <w:p w14:paraId="5D7A2164" w14:textId="16F03DDE"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912C79" w:rsidRPr="00FC2211">
              <w:rPr>
                <w:rFonts w:ascii="Calibri" w:hAnsi="Calibri" w:cs="Calibri"/>
                <w:color w:val="000000"/>
                <w:szCs w:val="20"/>
                <w:lang w:val="en-CA" w:eastAsia="en-CA"/>
              </w:rPr>
              <w:t>95,246</w:t>
            </w:r>
            <w:r w:rsidRPr="00FC2211">
              <w:rPr>
                <w:rFonts w:ascii="Calibri" w:hAnsi="Calibri" w:cs="Calibri"/>
                <w:color w:val="000000"/>
                <w:szCs w:val="20"/>
                <w:lang w:val="en-CA" w:eastAsia="en-CA"/>
              </w:rPr>
              <w:t xml:space="preserve"> </w:t>
            </w:r>
          </w:p>
        </w:tc>
        <w:tc>
          <w:tcPr>
            <w:tcW w:w="1476" w:type="dxa"/>
            <w:tcBorders>
              <w:top w:val="nil"/>
              <w:left w:val="nil"/>
              <w:bottom w:val="nil"/>
              <w:right w:val="nil"/>
            </w:tcBorders>
            <w:shd w:val="clear" w:color="auto" w:fill="auto"/>
            <w:noWrap/>
            <w:vAlign w:val="center"/>
            <w:hideMark/>
          </w:tcPr>
          <w:p w14:paraId="315FF230" w14:textId="5E7D6C12" w:rsidR="00D23DCC" w:rsidRPr="00FC2211" w:rsidRDefault="00D23DCC" w:rsidP="00D23DCC">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7E0E2F" w:rsidRPr="00FC2211">
              <w:rPr>
                <w:rFonts w:ascii="Calibri" w:hAnsi="Calibri" w:cs="Calibri"/>
                <w:color w:val="000000"/>
                <w:szCs w:val="20"/>
                <w:lang w:val="en-CA" w:eastAsia="en-CA"/>
              </w:rPr>
              <w:t>263,500</w:t>
            </w:r>
            <w:r w:rsidRPr="00FC2211">
              <w:rPr>
                <w:rFonts w:ascii="Calibri" w:hAnsi="Calibri" w:cs="Calibri"/>
                <w:color w:val="000000"/>
                <w:szCs w:val="20"/>
                <w:lang w:val="en-CA" w:eastAsia="en-CA"/>
              </w:rPr>
              <w:t xml:space="preserve"> </w:t>
            </w:r>
          </w:p>
        </w:tc>
      </w:tr>
      <w:tr w:rsidR="00EE03DD" w:rsidRPr="00FC2211" w14:paraId="211E0F62" w14:textId="77777777" w:rsidTr="00D23DCC">
        <w:trPr>
          <w:trHeight w:val="276"/>
          <w:jc w:val="center"/>
        </w:trPr>
        <w:tc>
          <w:tcPr>
            <w:tcW w:w="3261" w:type="dxa"/>
            <w:tcBorders>
              <w:top w:val="nil"/>
              <w:left w:val="nil"/>
              <w:bottom w:val="nil"/>
              <w:right w:val="nil"/>
            </w:tcBorders>
            <w:shd w:val="clear" w:color="auto" w:fill="auto"/>
            <w:noWrap/>
            <w:vAlign w:val="center"/>
            <w:hideMark/>
          </w:tcPr>
          <w:p w14:paraId="12EC5760" w14:textId="77777777" w:rsidR="00EE03DD" w:rsidRPr="00FC2211" w:rsidRDefault="00EE03DD" w:rsidP="00EE03DD">
            <w:pPr>
              <w:rPr>
                <w:rFonts w:ascii="Calibri" w:hAnsi="Calibri" w:cs="Calibri"/>
                <w:color w:val="000000"/>
                <w:szCs w:val="20"/>
                <w:lang w:val="en-CA" w:eastAsia="en-CA"/>
              </w:rPr>
            </w:pPr>
            <w:r w:rsidRPr="00FC2211">
              <w:rPr>
                <w:rFonts w:ascii="Calibri" w:hAnsi="Calibri" w:cs="Calibri"/>
                <w:color w:val="000000"/>
                <w:szCs w:val="20"/>
                <w:lang w:val="en-CA" w:eastAsia="en-CA"/>
              </w:rPr>
              <w:t>Transfer of WIP to Installed units</w:t>
            </w:r>
          </w:p>
        </w:tc>
        <w:tc>
          <w:tcPr>
            <w:tcW w:w="1559" w:type="dxa"/>
            <w:tcBorders>
              <w:top w:val="nil"/>
              <w:left w:val="nil"/>
              <w:bottom w:val="nil"/>
              <w:right w:val="nil"/>
            </w:tcBorders>
            <w:shd w:val="clear" w:color="auto" w:fill="auto"/>
            <w:noWrap/>
            <w:vAlign w:val="center"/>
            <w:hideMark/>
          </w:tcPr>
          <w:p w14:paraId="0FE0A763" w14:textId="3D534249" w:rsidR="00EE03DD" w:rsidRPr="00FC2211" w:rsidRDefault="00EE03DD" w:rsidP="00681612">
            <w:pPr>
              <w:ind w:right="174"/>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559" w:type="dxa"/>
            <w:tcBorders>
              <w:top w:val="nil"/>
              <w:left w:val="nil"/>
              <w:bottom w:val="nil"/>
              <w:right w:val="nil"/>
            </w:tcBorders>
            <w:shd w:val="clear" w:color="auto" w:fill="auto"/>
            <w:noWrap/>
            <w:vAlign w:val="center"/>
            <w:hideMark/>
          </w:tcPr>
          <w:p w14:paraId="38824C91" w14:textId="738AA971" w:rsidR="00EE03DD" w:rsidRPr="00FC2211" w:rsidRDefault="00EE03DD" w:rsidP="00681612">
            <w:pPr>
              <w:ind w:right="174"/>
              <w:jc w:val="right"/>
              <w:rPr>
                <w:rFonts w:ascii="Times New Roman" w:hAnsi="Times New Roman"/>
                <w:szCs w:val="20"/>
                <w:lang w:val="en-CA" w:eastAsia="en-CA"/>
              </w:rPr>
            </w:pPr>
            <w:r w:rsidRPr="00FC2211">
              <w:rPr>
                <w:rFonts w:ascii="Calibri" w:hAnsi="Calibri" w:cs="Calibri"/>
                <w:color w:val="000000"/>
                <w:szCs w:val="20"/>
                <w:lang w:val="en-CA" w:eastAsia="en-CA"/>
              </w:rPr>
              <w:t xml:space="preserve">          -   </w:t>
            </w:r>
          </w:p>
        </w:tc>
        <w:tc>
          <w:tcPr>
            <w:tcW w:w="1701" w:type="dxa"/>
            <w:tcBorders>
              <w:top w:val="nil"/>
              <w:left w:val="nil"/>
              <w:bottom w:val="nil"/>
              <w:right w:val="nil"/>
            </w:tcBorders>
            <w:shd w:val="clear" w:color="auto" w:fill="auto"/>
            <w:noWrap/>
            <w:vAlign w:val="center"/>
            <w:hideMark/>
          </w:tcPr>
          <w:p w14:paraId="79C03B14" w14:textId="006D1351" w:rsidR="00EE03DD" w:rsidRPr="00FC2211" w:rsidRDefault="00EE03DD" w:rsidP="00681612">
            <w:pPr>
              <w:ind w:right="168"/>
              <w:jc w:val="right"/>
              <w:rPr>
                <w:rFonts w:ascii="Times New Roman" w:hAnsi="Times New Roman"/>
                <w:szCs w:val="20"/>
                <w:lang w:val="en-CA" w:eastAsia="en-CA"/>
              </w:rPr>
            </w:pPr>
            <w:r w:rsidRPr="00FC2211">
              <w:rPr>
                <w:rFonts w:ascii="Calibri" w:hAnsi="Calibri" w:cs="Calibri"/>
                <w:color w:val="000000"/>
                <w:szCs w:val="20"/>
                <w:lang w:val="en-CA" w:eastAsia="en-CA"/>
              </w:rPr>
              <w:t xml:space="preserve">      -   </w:t>
            </w:r>
          </w:p>
        </w:tc>
        <w:tc>
          <w:tcPr>
            <w:tcW w:w="1559" w:type="dxa"/>
            <w:tcBorders>
              <w:top w:val="nil"/>
              <w:left w:val="nil"/>
              <w:bottom w:val="nil"/>
              <w:right w:val="nil"/>
            </w:tcBorders>
            <w:shd w:val="clear" w:color="auto" w:fill="auto"/>
            <w:noWrap/>
            <w:vAlign w:val="center"/>
            <w:hideMark/>
          </w:tcPr>
          <w:p w14:paraId="5EA75763" w14:textId="36E48246"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912C79" w:rsidRPr="00FC2211">
              <w:rPr>
                <w:rFonts w:ascii="Calibri" w:hAnsi="Calibri" w:cs="Calibri"/>
                <w:color w:val="000000"/>
                <w:szCs w:val="20"/>
                <w:lang w:val="en-CA" w:eastAsia="en-CA"/>
              </w:rPr>
              <w:t>94,929</w:t>
            </w:r>
            <w:r w:rsidRPr="00FC2211">
              <w:rPr>
                <w:rFonts w:ascii="Calibri" w:hAnsi="Calibri" w:cs="Calibri"/>
                <w:color w:val="000000"/>
                <w:szCs w:val="20"/>
                <w:lang w:val="en-CA" w:eastAsia="en-CA"/>
              </w:rPr>
              <w:t xml:space="preserve"> </w:t>
            </w:r>
          </w:p>
        </w:tc>
        <w:tc>
          <w:tcPr>
            <w:tcW w:w="1636" w:type="dxa"/>
            <w:tcBorders>
              <w:top w:val="nil"/>
              <w:left w:val="nil"/>
              <w:bottom w:val="nil"/>
              <w:right w:val="nil"/>
            </w:tcBorders>
            <w:shd w:val="clear" w:color="auto" w:fill="auto"/>
            <w:noWrap/>
            <w:vAlign w:val="center"/>
            <w:hideMark/>
          </w:tcPr>
          <w:p w14:paraId="54D06B2C" w14:textId="44A060FA" w:rsidR="00EE03DD" w:rsidRPr="00FC2211" w:rsidRDefault="00EE03DD" w:rsidP="00E30EAF">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(9</w:t>
            </w:r>
            <w:r w:rsidR="00912C79" w:rsidRPr="00FC2211">
              <w:rPr>
                <w:rFonts w:ascii="Calibri" w:hAnsi="Calibri" w:cs="Calibri"/>
                <w:color w:val="000000"/>
                <w:szCs w:val="20"/>
                <w:lang w:val="en-CA" w:eastAsia="en-CA"/>
              </w:rPr>
              <w:t>4,929</w:t>
            </w:r>
            <w:r w:rsidRPr="00FC2211">
              <w:rPr>
                <w:rFonts w:ascii="Calibri" w:hAnsi="Calibri" w:cs="Calibri"/>
                <w:color w:val="000000"/>
                <w:szCs w:val="20"/>
                <w:lang w:val="en-CA" w:eastAsia="en-CA"/>
              </w:rPr>
              <w:t>)</w:t>
            </w:r>
          </w:p>
        </w:tc>
        <w:tc>
          <w:tcPr>
            <w:tcW w:w="1476" w:type="dxa"/>
            <w:tcBorders>
              <w:top w:val="nil"/>
              <w:left w:val="nil"/>
              <w:bottom w:val="nil"/>
              <w:right w:val="nil"/>
            </w:tcBorders>
            <w:shd w:val="clear" w:color="auto" w:fill="auto"/>
            <w:noWrap/>
            <w:vAlign w:val="center"/>
            <w:hideMark/>
          </w:tcPr>
          <w:p w14:paraId="5AAC5AA3" w14:textId="2077920A" w:rsidR="00EE03DD" w:rsidRPr="00FC2211" w:rsidRDefault="00EE03DD" w:rsidP="00681612">
            <w:pPr>
              <w:ind w:right="171"/>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r>
      <w:tr w:rsidR="00EE03DD" w:rsidRPr="00FC2211" w14:paraId="3D4B64B8" w14:textId="77777777" w:rsidTr="00D23DCC">
        <w:trPr>
          <w:trHeight w:val="288"/>
          <w:jc w:val="center"/>
        </w:trPr>
        <w:tc>
          <w:tcPr>
            <w:tcW w:w="3261" w:type="dxa"/>
            <w:tcBorders>
              <w:top w:val="single" w:sz="4" w:space="0" w:color="auto"/>
              <w:left w:val="nil"/>
              <w:bottom w:val="single" w:sz="8" w:space="0" w:color="auto"/>
              <w:right w:val="nil"/>
            </w:tcBorders>
            <w:shd w:val="clear" w:color="auto" w:fill="auto"/>
            <w:noWrap/>
            <w:vAlign w:val="center"/>
            <w:hideMark/>
          </w:tcPr>
          <w:p w14:paraId="1940F939" w14:textId="0AC8DC4C" w:rsidR="00EE03DD" w:rsidRPr="00FC2211" w:rsidRDefault="00EE03DD" w:rsidP="00EE03DD">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Balance, </w:t>
            </w:r>
            <w:r w:rsidR="00EE4D9D" w:rsidRPr="00FC2211">
              <w:rPr>
                <w:rFonts w:ascii="Calibri" w:hAnsi="Calibri" w:cs="Calibri"/>
                <w:b/>
                <w:bCs/>
                <w:color w:val="000000"/>
                <w:szCs w:val="20"/>
                <w:lang w:val="en-CA" w:eastAsia="en-CA"/>
              </w:rPr>
              <w:t>December 31</w:t>
            </w:r>
            <w:r w:rsidRPr="00FC2211">
              <w:rPr>
                <w:rFonts w:ascii="Calibri" w:hAnsi="Calibri" w:cs="Calibri"/>
                <w:b/>
                <w:bCs/>
                <w:color w:val="000000"/>
                <w:szCs w:val="20"/>
                <w:lang w:val="en-CA" w:eastAsia="en-CA"/>
              </w:rPr>
              <w:t>, 2023</w:t>
            </w:r>
          </w:p>
        </w:tc>
        <w:tc>
          <w:tcPr>
            <w:tcW w:w="1559" w:type="dxa"/>
            <w:tcBorders>
              <w:top w:val="single" w:sz="4" w:space="0" w:color="auto"/>
              <w:left w:val="nil"/>
              <w:bottom w:val="single" w:sz="8" w:space="0" w:color="auto"/>
              <w:right w:val="nil"/>
            </w:tcBorders>
            <w:shd w:val="clear" w:color="auto" w:fill="auto"/>
            <w:noWrap/>
            <w:vAlign w:val="center"/>
            <w:hideMark/>
          </w:tcPr>
          <w:p w14:paraId="6CA5B248" w14:textId="66C763E7" w:rsidR="00EE03DD" w:rsidRPr="00FC2211" w:rsidRDefault="00EE03DD" w:rsidP="00EE03D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151,930 </w:t>
            </w:r>
          </w:p>
        </w:tc>
        <w:tc>
          <w:tcPr>
            <w:tcW w:w="1559" w:type="dxa"/>
            <w:tcBorders>
              <w:top w:val="single" w:sz="4" w:space="0" w:color="auto"/>
              <w:left w:val="nil"/>
              <w:bottom w:val="single" w:sz="8" w:space="0" w:color="auto"/>
              <w:right w:val="nil"/>
            </w:tcBorders>
            <w:shd w:val="clear" w:color="auto" w:fill="auto"/>
            <w:noWrap/>
            <w:vAlign w:val="center"/>
            <w:hideMark/>
          </w:tcPr>
          <w:p w14:paraId="2BB5654D" w14:textId="29935BE6" w:rsidR="00EE03DD" w:rsidRPr="00FC2211" w:rsidRDefault="00EE03DD" w:rsidP="00EE03D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80,327 </w:t>
            </w:r>
          </w:p>
        </w:tc>
        <w:tc>
          <w:tcPr>
            <w:tcW w:w="1701" w:type="dxa"/>
            <w:tcBorders>
              <w:top w:val="single" w:sz="4" w:space="0" w:color="auto"/>
              <w:left w:val="nil"/>
              <w:bottom w:val="single" w:sz="8" w:space="0" w:color="auto"/>
              <w:right w:val="nil"/>
            </w:tcBorders>
            <w:shd w:val="clear" w:color="auto" w:fill="auto"/>
            <w:noWrap/>
            <w:vAlign w:val="center"/>
            <w:hideMark/>
          </w:tcPr>
          <w:p w14:paraId="68FBF93C" w14:textId="0E0926B8" w:rsidR="00EE03DD" w:rsidRPr="00FC2211" w:rsidRDefault="00EE03DD" w:rsidP="00EE03D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13,800 </w:t>
            </w:r>
          </w:p>
        </w:tc>
        <w:tc>
          <w:tcPr>
            <w:tcW w:w="1559" w:type="dxa"/>
            <w:tcBorders>
              <w:top w:val="single" w:sz="4" w:space="0" w:color="auto"/>
              <w:left w:val="nil"/>
              <w:bottom w:val="single" w:sz="8" w:space="0" w:color="auto"/>
              <w:right w:val="nil"/>
            </w:tcBorders>
            <w:shd w:val="clear" w:color="auto" w:fill="auto"/>
            <w:noWrap/>
            <w:vAlign w:val="center"/>
            <w:hideMark/>
          </w:tcPr>
          <w:p w14:paraId="259570D4" w14:textId="5EF92DDD" w:rsidR="00EE03DD" w:rsidRPr="00FC2211" w:rsidRDefault="00EE03DD" w:rsidP="00EE03D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w:t>
            </w:r>
            <w:r w:rsidR="006C1E25" w:rsidRPr="00FC2211">
              <w:rPr>
                <w:rFonts w:ascii="Calibri" w:hAnsi="Calibri" w:cs="Calibri"/>
                <w:b/>
                <w:bCs/>
                <w:color w:val="000000"/>
                <w:szCs w:val="20"/>
                <w:lang w:val="en-CA" w:eastAsia="en-CA"/>
              </w:rPr>
              <w:t>788,517</w:t>
            </w:r>
            <w:r w:rsidRPr="00FC2211">
              <w:rPr>
                <w:rFonts w:ascii="Calibri" w:hAnsi="Calibri" w:cs="Calibri"/>
                <w:b/>
                <w:bCs/>
                <w:color w:val="000000"/>
                <w:szCs w:val="20"/>
                <w:lang w:val="en-CA" w:eastAsia="en-CA"/>
              </w:rPr>
              <w:t xml:space="preserve"> </w:t>
            </w:r>
          </w:p>
        </w:tc>
        <w:tc>
          <w:tcPr>
            <w:tcW w:w="1636" w:type="dxa"/>
            <w:tcBorders>
              <w:top w:val="single" w:sz="4" w:space="0" w:color="auto"/>
              <w:left w:val="nil"/>
              <w:bottom w:val="single" w:sz="8" w:space="0" w:color="auto"/>
              <w:right w:val="nil"/>
            </w:tcBorders>
            <w:shd w:val="clear" w:color="auto" w:fill="auto"/>
            <w:noWrap/>
            <w:vAlign w:val="center"/>
            <w:hideMark/>
          </w:tcPr>
          <w:p w14:paraId="71163C6B" w14:textId="247E22BE" w:rsidR="00EE03DD" w:rsidRPr="00FC2211" w:rsidRDefault="00EE03DD" w:rsidP="00EE03D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2</w:t>
            </w:r>
            <w:r w:rsidR="006C1E25" w:rsidRPr="00FC2211">
              <w:rPr>
                <w:rFonts w:ascii="Calibri" w:hAnsi="Calibri" w:cs="Calibri"/>
                <w:b/>
                <w:bCs/>
                <w:color w:val="000000"/>
                <w:szCs w:val="20"/>
                <w:lang w:val="en-CA" w:eastAsia="en-CA"/>
              </w:rPr>
              <w:t>84,189</w:t>
            </w:r>
            <w:r w:rsidRPr="00FC2211">
              <w:rPr>
                <w:rFonts w:ascii="Calibri" w:hAnsi="Calibri" w:cs="Calibri"/>
                <w:b/>
                <w:bCs/>
                <w:color w:val="000000"/>
                <w:szCs w:val="20"/>
                <w:lang w:val="en-CA" w:eastAsia="en-CA"/>
              </w:rPr>
              <w:t xml:space="preserve"> </w:t>
            </w:r>
          </w:p>
        </w:tc>
        <w:tc>
          <w:tcPr>
            <w:tcW w:w="1476" w:type="dxa"/>
            <w:tcBorders>
              <w:top w:val="single" w:sz="4" w:space="0" w:color="auto"/>
              <w:left w:val="nil"/>
              <w:bottom w:val="single" w:sz="8" w:space="0" w:color="auto"/>
              <w:right w:val="nil"/>
            </w:tcBorders>
            <w:shd w:val="clear" w:color="auto" w:fill="auto"/>
            <w:noWrap/>
            <w:vAlign w:val="center"/>
            <w:hideMark/>
          </w:tcPr>
          <w:p w14:paraId="7D18D90B" w14:textId="3A1D2CF6" w:rsidR="00EE03DD" w:rsidRPr="00FC2211" w:rsidRDefault="00EE03DD" w:rsidP="00EE03D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2,3</w:t>
            </w:r>
            <w:r w:rsidR="007E0E2F" w:rsidRPr="00FC2211">
              <w:rPr>
                <w:rFonts w:ascii="Calibri" w:hAnsi="Calibri" w:cs="Calibri"/>
                <w:b/>
                <w:bCs/>
                <w:color w:val="000000"/>
                <w:szCs w:val="20"/>
                <w:lang w:val="en-CA" w:eastAsia="en-CA"/>
              </w:rPr>
              <w:t>18,763</w:t>
            </w:r>
            <w:r w:rsidRPr="00FC2211">
              <w:rPr>
                <w:rFonts w:ascii="Calibri" w:hAnsi="Calibri" w:cs="Calibri"/>
                <w:b/>
                <w:bCs/>
                <w:color w:val="000000"/>
                <w:szCs w:val="20"/>
                <w:lang w:val="en-CA" w:eastAsia="en-CA"/>
              </w:rPr>
              <w:t xml:space="preserve"> </w:t>
            </w:r>
          </w:p>
        </w:tc>
      </w:tr>
      <w:tr w:rsidR="00EE03DD" w:rsidRPr="00FC2211" w14:paraId="099AB75C" w14:textId="77777777" w:rsidTr="00D23DCC">
        <w:trPr>
          <w:trHeight w:val="288"/>
          <w:jc w:val="center"/>
        </w:trPr>
        <w:tc>
          <w:tcPr>
            <w:tcW w:w="3261" w:type="dxa"/>
            <w:tcBorders>
              <w:top w:val="nil"/>
              <w:left w:val="nil"/>
              <w:bottom w:val="single" w:sz="8" w:space="0" w:color="auto"/>
              <w:right w:val="nil"/>
            </w:tcBorders>
            <w:shd w:val="clear" w:color="auto" w:fill="auto"/>
            <w:noWrap/>
            <w:vAlign w:val="center"/>
            <w:hideMark/>
          </w:tcPr>
          <w:p w14:paraId="1063CC13" w14:textId="77777777" w:rsidR="00EE03DD" w:rsidRPr="00FC2211" w:rsidRDefault="00EE03DD" w:rsidP="00EE03DD">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Accumulated Depreciation:</w:t>
            </w:r>
          </w:p>
        </w:tc>
        <w:tc>
          <w:tcPr>
            <w:tcW w:w="1559" w:type="dxa"/>
            <w:tcBorders>
              <w:top w:val="nil"/>
              <w:left w:val="nil"/>
              <w:bottom w:val="single" w:sz="8" w:space="0" w:color="auto"/>
              <w:right w:val="nil"/>
            </w:tcBorders>
            <w:shd w:val="clear" w:color="auto" w:fill="auto"/>
            <w:noWrap/>
            <w:vAlign w:val="center"/>
            <w:hideMark/>
          </w:tcPr>
          <w:p w14:paraId="5F98B796" w14:textId="77777777"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559" w:type="dxa"/>
            <w:tcBorders>
              <w:top w:val="nil"/>
              <w:left w:val="nil"/>
              <w:bottom w:val="single" w:sz="8" w:space="0" w:color="auto"/>
              <w:right w:val="nil"/>
            </w:tcBorders>
            <w:shd w:val="clear" w:color="auto" w:fill="auto"/>
            <w:noWrap/>
            <w:vAlign w:val="center"/>
            <w:hideMark/>
          </w:tcPr>
          <w:p w14:paraId="00C7E8A9" w14:textId="77777777"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701" w:type="dxa"/>
            <w:tcBorders>
              <w:top w:val="nil"/>
              <w:left w:val="nil"/>
              <w:bottom w:val="single" w:sz="8" w:space="0" w:color="auto"/>
              <w:right w:val="nil"/>
            </w:tcBorders>
            <w:shd w:val="clear" w:color="auto" w:fill="auto"/>
            <w:noWrap/>
            <w:vAlign w:val="center"/>
            <w:hideMark/>
          </w:tcPr>
          <w:p w14:paraId="103555D8" w14:textId="77777777"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559" w:type="dxa"/>
            <w:tcBorders>
              <w:top w:val="nil"/>
              <w:left w:val="nil"/>
              <w:bottom w:val="single" w:sz="8" w:space="0" w:color="auto"/>
              <w:right w:val="nil"/>
            </w:tcBorders>
            <w:shd w:val="clear" w:color="auto" w:fill="auto"/>
            <w:noWrap/>
            <w:vAlign w:val="center"/>
            <w:hideMark/>
          </w:tcPr>
          <w:p w14:paraId="692AE6A8" w14:textId="77777777"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636" w:type="dxa"/>
            <w:tcBorders>
              <w:top w:val="nil"/>
              <w:left w:val="nil"/>
              <w:bottom w:val="single" w:sz="8" w:space="0" w:color="auto"/>
              <w:right w:val="nil"/>
            </w:tcBorders>
            <w:shd w:val="clear" w:color="auto" w:fill="auto"/>
            <w:noWrap/>
            <w:vAlign w:val="center"/>
            <w:hideMark/>
          </w:tcPr>
          <w:p w14:paraId="2DDFA04C" w14:textId="77777777"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476" w:type="dxa"/>
            <w:tcBorders>
              <w:top w:val="nil"/>
              <w:left w:val="nil"/>
              <w:bottom w:val="single" w:sz="8" w:space="0" w:color="auto"/>
              <w:right w:val="nil"/>
            </w:tcBorders>
            <w:shd w:val="clear" w:color="auto" w:fill="auto"/>
            <w:noWrap/>
            <w:vAlign w:val="center"/>
            <w:hideMark/>
          </w:tcPr>
          <w:p w14:paraId="77155CEC" w14:textId="77777777"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w:t>
            </w:r>
          </w:p>
        </w:tc>
      </w:tr>
      <w:tr w:rsidR="00EE03DD" w:rsidRPr="00FC2211" w14:paraId="08476A6E" w14:textId="77777777" w:rsidTr="00D23DCC">
        <w:trPr>
          <w:trHeight w:val="276"/>
          <w:jc w:val="center"/>
        </w:trPr>
        <w:tc>
          <w:tcPr>
            <w:tcW w:w="3261" w:type="dxa"/>
            <w:tcBorders>
              <w:top w:val="nil"/>
              <w:left w:val="nil"/>
              <w:bottom w:val="nil"/>
              <w:right w:val="nil"/>
            </w:tcBorders>
            <w:shd w:val="clear" w:color="auto" w:fill="auto"/>
            <w:noWrap/>
            <w:vAlign w:val="center"/>
            <w:hideMark/>
          </w:tcPr>
          <w:p w14:paraId="0F78EE03" w14:textId="77777777" w:rsidR="00EE03DD" w:rsidRPr="00FC2211" w:rsidRDefault="00EE03DD" w:rsidP="00EE03DD">
            <w:pPr>
              <w:rPr>
                <w:rFonts w:ascii="Calibri" w:hAnsi="Calibri" w:cs="Calibri"/>
                <w:color w:val="000000"/>
                <w:szCs w:val="20"/>
                <w:lang w:val="en-CA" w:eastAsia="en-CA"/>
              </w:rPr>
            </w:pPr>
            <w:r w:rsidRPr="00FC2211">
              <w:rPr>
                <w:rFonts w:ascii="Calibri" w:hAnsi="Calibri" w:cs="Calibri"/>
                <w:color w:val="000000"/>
                <w:szCs w:val="20"/>
                <w:lang w:val="en-CA" w:eastAsia="en-CA"/>
              </w:rPr>
              <w:t>Balance, June 30, 2022</w:t>
            </w:r>
          </w:p>
        </w:tc>
        <w:tc>
          <w:tcPr>
            <w:tcW w:w="1559" w:type="dxa"/>
            <w:tcBorders>
              <w:top w:val="nil"/>
              <w:left w:val="nil"/>
              <w:bottom w:val="nil"/>
              <w:right w:val="nil"/>
            </w:tcBorders>
            <w:shd w:val="clear" w:color="auto" w:fill="auto"/>
            <w:noWrap/>
            <w:vAlign w:val="center"/>
            <w:hideMark/>
          </w:tcPr>
          <w:p w14:paraId="2D4F954D" w14:textId="524573C8"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95,136 </w:t>
            </w:r>
          </w:p>
        </w:tc>
        <w:tc>
          <w:tcPr>
            <w:tcW w:w="1559" w:type="dxa"/>
            <w:tcBorders>
              <w:top w:val="nil"/>
              <w:left w:val="nil"/>
              <w:bottom w:val="nil"/>
              <w:right w:val="nil"/>
            </w:tcBorders>
            <w:shd w:val="clear" w:color="auto" w:fill="auto"/>
            <w:noWrap/>
            <w:vAlign w:val="center"/>
            <w:hideMark/>
          </w:tcPr>
          <w:p w14:paraId="611F64E4" w14:textId="153951B6"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59,872 </w:t>
            </w:r>
          </w:p>
        </w:tc>
        <w:tc>
          <w:tcPr>
            <w:tcW w:w="1701" w:type="dxa"/>
            <w:tcBorders>
              <w:top w:val="nil"/>
              <w:left w:val="nil"/>
              <w:bottom w:val="nil"/>
              <w:right w:val="nil"/>
            </w:tcBorders>
            <w:shd w:val="clear" w:color="auto" w:fill="auto"/>
            <w:noWrap/>
            <w:vAlign w:val="center"/>
            <w:hideMark/>
          </w:tcPr>
          <w:p w14:paraId="0C6E6855" w14:textId="46CEFE93"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4,205 </w:t>
            </w:r>
          </w:p>
        </w:tc>
        <w:tc>
          <w:tcPr>
            <w:tcW w:w="1559" w:type="dxa"/>
            <w:tcBorders>
              <w:top w:val="nil"/>
              <w:left w:val="nil"/>
              <w:bottom w:val="nil"/>
              <w:right w:val="nil"/>
            </w:tcBorders>
            <w:shd w:val="clear" w:color="auto" w:fill="auto"/>
            <w:noWrap/>
            <w:vAlign w:val="center"/>
            <w:hideMark/>
          </w:tcPr>
          <w:p w14:paraId="02A52EC5" w14:textId="6532E3B8"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197,364 </w:t>
            </w:r>
          </w:p>
        </w:tc>
        <w:tc>
          <w:tcPr>
            <w:tcW w:w="1636" w:type="dxa"/>
            <w:tcBorders>
              <w:top w:val="nil"/>
              <w:left w:val="nil"/>
              <w:bottom w:val="nil"/>
              <w:right w:val="nil"/>
            </w:tcBorders>
            <w:shd w:val="clear" w:color="auto" w:fill="auto"/>
            <w:noWrap/>
            <w:vAlign w:val="center"/>
            <w:hideMark/>
          </w:tcPr>
          <w:p w14:paraId="15FFDD49" w14:textId="5345761F" w:rsidR="00EE03DD" w:rsidRPr="00FC2211" w:rsidRDefault="00EE03DD" w:rsidP="00681612">
            <w:pPr>
              <w:ind w:right="103"/>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476" w:type="dxa"/>
            <w:tcBorders>
              <w:top w:val="nil"/>
              <w:left w:val="nil"/>
              <w:bottom w:val="nil"/>
              <w:right w:val="nil"/>
            </w:tcBorders>
            <w:shd w:val="clear" w:color="auto" w:fill="auto"/>
            <w:noWrap/>
            <w:vAlign w:val="center"/>
            <w:hideMark/>
          </w:tcPr>
          <w:p w14:paraId="13D90953" w14:textId="3DFB66E5"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356,577 </w:t>
            </w:r>
          </w:p>
        </w:tc>
      </w:tr>
      <w:tr w:rsidR="00EE03DD" w:rsidRPr="00FC2211" w14:paraId="0AE9F4D4" w14:textId="77777777" w:rsidTr="00D23DCC">
        <w:trPr>
          <w:trHeight w:val="276"/>
          <w:jc w:val="center"/>
        </w:trPr>
        <w:tc>
          <w:tcPr>
            <w:tcW w:w="3261" w:type="dxa"/>
            <w:tcBorders>
              <w:top w:val="nil"/>
              <w:left w:val="nil"/>
              <w:bottom w:val="single" w:sz="4" w:space="0" w:color="auto"/>
              <w:right w:val="nil"/>
            </w:tcBorders>
            <w:shd w:val="clear" w:color="auto" w:fill="auto"/>
            <w:noWrap/>
            <w:vAlign w:val="center"/>
            <w:hideMark/>
          </w:tcPr>
          <w:p w14:paraId="36CAB70F" w14:textId="77777777" w:rsidR="00EE03DD" w:rsidRPr="00FC2211" w:rsidRDefault="00EE03DD" w:rsidP="00EE03DD">
            <w:pPr>
              <w:rPr>
                <w:rFonts w:ascii="Calibri" w:hAnsi="Calibri" w:cs="Calibri"/>
                <w:color w:val="000000"/>
                <w:szCs w:val="20"/>
                <w:lang w:val="en-CA" w:eastAsia="en-CA"/>
              </w:rPr>
            </w:pPr>
            <w:r w:rsidRPr="00FC2211">
              <w:rPr>
                <w:rFonts w:ascii="Calibri" w:hAnsi="Calibri" w:cs="Calibri"/>
                <w:color w:val="000000"/>
                <w:szCs w:val="20"/>
                <w:lang w:val="en-CA" w:eastAsia="en-CA"/>
              </w:rPr>
              <w:t>Amortization</w:t>
            </w:r>
          </w:p>
        </w:tc>
        <w:tc>
          <w:tcPr>
            <w:tcW w:w="1559" w:type="dxa"/>
            <w:tcBorders>
              <w:top w:val="nil"/>
              <w:left w:val="nil"/>
              <w:bottom w:val="single" w:sz="4" w:space="0" w:color="auto"/>
              <w:right w:val="nil"/>
            </w:tcBorders>
            <w:shd w:val="clear" w:color="auto" w:fill="auto"/>
            <w:noWrap/>
            <w:vAlign w:val="center"/>
            <w:hideMark/>
          </w:tcPr>
          <w:p w14:paraId="19DD7DAA" w14:textId="4D77A21D"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5,381 </w:t>
            </w:r>
          </w:p>
        </w:tc>
        <w:tc>
          <w:tcPr>
            <w:tcW w:w="1559" w:type="dxa"/>
            <w:tcBorders>
              <w:top w:val="nil"/>
              <w:left w:val="nil"/>
              <w:bottom w:val="single" w:sz="4" w:space="0" w:color="auto"/>
              <w:right w:val="nil"/>
            </w:tcBorders>
            <w:shd w:val="clear" w:color="auto" w:fill="auto"/>
            <w:noWrap/>
            <w:vAlign w:val="center"/>
            <w:hideMark/>
          </w:tcPr>
          <w:p w14:paraId="612A939C" w14:textId="53006DB6"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3,943 </w:t>
            </w:r>
          </w:p>
        </w:tc>
        <w:tc>
          <w:tcPr>
            <w:tcW w:w="1701" w:type="dxa"/>
            <w:tcBorders>
              <w:top w:val="nil"/>
              <w:left w:val="nil"/>
              <w:bottom w:val="single" w:sz="4" w:space="0" w:color="auto"/>
              <w:right w:val="nil"/>
            </w:tcBorders>
            <w:shd w:val="clear" w:color="auto" w:fill="auto"/>
            <w:noWrap/>
            <w:vAlign w:val="center"/>
            <w:hideMark/>
          </w:tcPr>
          <w:p w14:paraId="396DB1FF" w14:textId="3A757324"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1,773 </w:t>
            </w:r>
          </w:p>
        </w:tc>
        <w:tc>
          <w:tcPr>
            <w:tcW w:w="1559" w:type="dxa"/>
            <w:tcBorders>
              <w:top w:val="nil"/>
              <w:left w:val="nil"/>
              <w:bottom w:val="single" w:sz="4" w:space="0" w:color="auto"/>
              <w:right w:val="nil"/>
            </w:tcBorders>
            <w:shd w:val="clear" w:color="auto" w:fill="auto"/>
            <w:noWrap/>
            <w:vAlign w:val="center"/>
            <w:hideMark/>
          </w:tcPr>
          <w:p w14:paraId="405253CF" w14:textId="6C5706D2"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178,201 </w:t>
            </w:r>
          </w:p>
        </w:tc>
        <w:tc>
          <w:tcPr>
            <w:tcW w:w="1636" w:type="dxa"/>
            <w:tcBorders>
              <w:top w:val="nil"/>
              <w:left w:val="nil"/>
              <w:bottom w:val="single" w:sz="4" w:space="0" w:color="auto"/>
              <w:right w:val="nil"/>
            </w:tcBorders>
            <w:shd w:val="clear" w:color="auto" w:fill="auto"/>
            <w:noWrap/>
            <w:vAlign w:val="center"/>
            <w:hideMark/>
          </w:tcPr>
          <w:p w14:paraId="316613AD" w14:textId="43FCC605" w:rsidR="00EE03DD" w:rsidRPr="00FC2211" w:rsidRDefault="00EE03DD" w:rsidP="00681612">
            <w:pPr>
              <w:ind w:right="103"/>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476" w:type="dxa"/>
            <w:tcBorders>
              <w:top w:val="nil"/>
              <w:left w:val="nil"/>
              <w:bottom w:val="single" w:sz="4" w:space="0" w:color="auto"/>
              <w:right w:val="nil"/>
            </w:tcBorders>
            <w:shd w:val="clear" w:color="auto" w:fill="auto"/>
            <w:noWrap/>
            <w:vAlign w:val="center"/>
            <w:hideMark/>
          </w:tcPr>
          <w:p w14:paraId="340DA7C5" w14:textId="70A73AD3"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189,298 </w:t>
            </w:r>
          </w:p>
        </w:tc>
      </w:tr>
      <w:tr w:rsidR="00EE03DD" w:rsidRPr="00FC2211" w14:paraId="6E355DD6" w14:textId="77777777" w:rsidTr="00D23DCC">
        <w:trPr>
          <w:trHeight w:val="276"/>
          <w:jc w:val="center"/>
        </w:trPr>
        <w:tc>
          <w:tcPr>
            <w:tcW w:w="3261" w:type="dxa"/>
            <w:tcBorders>
              <w:top w:val="nil"/>
              <w:left w:val="nil"/>
              <w:bottom w:val="single" w:sz="4" w:space="0" w:color="auto"/>
              <w:right w:val="nil"/>
            </w:tcBorders>
            <w:shd w:val="clear" w:color="auto" w:fill="auto"/>
            <w:noWrap/>
            <w:vAlign w:val="center"/>
            <w:hideMark/>
          </w:tcPr>
          <w:p w14:paraId="4C622EB3" w14:textId="77777777" w:rsidR="00EE03DD" w:rsidRPr="00FC2211" w:rsidRDefault="00EE03DD" w:rsidP="00EE03DD">
            <w:pPr>
              <w:rPr>
                <w:rFonts w:ascii="Calibri" w:hAnsi="Calibri" w:cs="Calibri"/>
                <w:color w:val="000000"/>
                <w:szCs w:val="20"/>
                <w:lang w:val="en-CA" w:eastAsia="en-CA"/>
              </w:rPr>
            </w:pPr>
            <w:r w:rsidRPr="00FC2211">
              <w:rPr>
                <w:rFonts w:ascii="Calibri" w:hAnsi="Calibri" w:cs="Calibri"/>
                <w:color w:val="000000"/>
                <w:szCs w:val="20"/>
                <w:lang w:val="en-CA" w:eastAsia="en-CA"/>
              </w:rPr>
              <w:t>Balance, June 30, 2023</w:t>
            </w:r>
          </w:p>
        </w:tc>
        <w:tc>
          <w:tcPr>
            <w:tcW w:w="1559" w:type="dxa"/>
            <w:tcBorders>
              <w:top w:val="nil"/>
              <w:left w:val="nil"/>
              <w:bottom w:val="single" w:sz="4" w:space="0" w:color="auto"/>
              <w:right w:val="nil"/>
            </w:tcBorders>
            <w:shd w:val="clear" w:color="auto" w:fill="auto"/>
            <w:noWrap/>
            <w:vAlign w:val="center"/>
            <w:hideMark/>
          </w:tcPr>
          <w:p w14:paraId="6DA66004" w14:textId="0192FFF1"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100,517 </w:t>
            </w:r>
          </w:p>
        </w:tc>
        <w:tc>
          <w:tcPr>
            <w:tcW w:w="1559" w:type="dxa"/>
            <w:tcBorders>
              <w:top w:val="nil"/>
              <w:left w:val="nil"/>
              <w:bottom w:val="single" w:sz="4" w:space="0" w:color="auto"/>
              <w:right w:val="nil"/>
            </w:tcBorders>
            <w:shd w:val="clear" w:color="auto" w:fill="auto"/>
            <w:noWrap/>
            <w:vAlign w:val="center"/>
            <w:hideMark/>
          </w:tcPr>
          <w:p w14:paraId="22BE753D" w14:textId="527DBA9B"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63,815 </w:t>
            </w:r>
          </w:p>
        </w:tc>
        <w:tc>
          <w:tcPr>
            <w:tcW w:w="1701" w:type="dxa"/>
            <w:tcBorders>
              <w:top w:val="nil"/>
              <w:left w:val="nil"/>
              <w:bottom w:val="single" w:sz="4" w:space="0" w:color="auto"/>
              <w:right w:val="nil"/>
            </w:tcBorders>
            <w:shd w:val="clear" w:color="auto" w:fill="auto"/>
            <w:noWrap/>
            <w:vAlign w:val="center"/>
            <w:hideMark/>
          </w:tcPr>
          <w:p w14:paraId="7FA45B54" w14:textId="11EC89F7"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5,978 </w:t>
            </w:r>
          </w:p>
        </w:tc>
        <w:tc>
          <w:tcPr>
            <w:tcW w:w="1559" w:type="dxa"/>
            <w:tcBorders>
              <w:top w:val="nil"/>
              <w:left w:val="nil"/>
              <w:bottom w:val="single" w:sz="4" w:space="0" w:color="auto"/>
              <w:right w:val="nil"/>
            </w:tcBorders>
            <w:shd w:val="clear" w:color="auto" w:fill="auto"/>
            <w:noWrap/>
            <w:vAlign w:val="center"/>
            <w:hideMark/>
          </w:tcPr>
          <w:p w14:paraId="5F50B23B" w14:textId="61ADA597"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375,565 </w:t>
            </w:r>
          </w:p>
        </w:tc>
        <w:tc>
          <w:tcPr>
            <w:tcW w:w="1636" w:type="dxa"/>
            <w:tcBorders>
              <w:top w:val="nil"/>
              <w:left w:val="nil"/>
              <w:bottom w:val="single" w:sz="4" w:space="0" w:color="auto"/>
              <w:right w:val="nil"/>
            </w:tcBorders>
            <w:shd w:val="clear" w:color="auto" w:fill="auto"/>
            <w:noWrap/>
            <w:vAlign w:val="center"/>
            <w:hideMark/>
          </w:tcPr>
          <w:p w14:paraId="35D26012" w14:textId="2AD167F8" w:rsidR="00EE03DD" w:rsidRPr="00FC2211" w:rsidRDefault="00EE03DD" w:rsidP="00681612">
            <w:pPr>
              <w:ind w:right="103"/>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476" w:type="dxa"/>
            <w:tcBorders>
              <w:top w:val="nil"/>
              <w:left w:val="nil"/>
              <w:bottom w:val="single" w:sz="4" w:space="0" w:color="auto"/>
              <w:right w:val="nil"/>
            </w:tcBorders>
            <w:shd w:val="clear" w:color="auto" w:fill="auto"/>
            <w:noWrap/>
            <w:vAlign w:val="center"/>
            <w:hideMark/>
          </w:tcPr>
          <w:p w14:paraId="62BC55D3" w14:textId="5A88B679"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545,875 </w:t>
            </w:r>
          </w:p>
        </w:tc>
      </w:tr>
      <w:tr w:rsidR="00EE03DD" w:rsidRPr="00FC2211" w14:paraId="32361BAE" w14:textId="77777777" w:rsidTr="00D23DCC">
        <w:trPr>
          <w:trHeight w:val="276"/>
          <w:jc w:val="center"/>
        </w:trPr>
        <w:tc>
          <w:tcPr>
            <w:tcW w:w="3261" w:type="dxa"/>
            <w:tcBorders>
              <w:top w:val="nil"/>
              <w:left w:val="nil"/>
              <w:bottom w:val="nil"/>
              <w:right w:val="nil"/>
            </w:tcBorders>
            <w:shd w:val="clear" w:color="auto" w:fill="auto"/>
            <w:noWrap/>
            <w:vAlign w:val="center"/>
            <w:hideMark/>
          </w:tcPr>
          <w:p w14:paraId="105DC0F3" w14:textId="77777777" w:rsidR="00EE03DD" w:rsidRPr="00FC2211" w:rsidRDefault="00EE03DD" w:rsidP="00EE03DD">
            <w:pPr>
              <w:rPr>
                <w:rFonts w:ascii="Calibri" w:hAnsi="Calibri" w:cs="Calibri"/>
                <w:color w:val="000000"/>
                <w:szCs w:val="20"/>
                <w:lang w:val="en-CA" w:eastAsia="en-CA"/>
              </w:rPr>
            </w:pPr>
            <w:r w:rsidRPr="00FC2211">
              <w:rPr>
                <w:rFonts w:ascii="Calibri" w:hAnsi="Calibri" w:cs="Calibri"/>
                <w:color w:val="000000"/>
                <w:szCs w:val="20"/>
                <w:lang w:val="en-CA" w:eastAsia="en-CA"/>
              </w:rPr>
              <w:t>Amortization</w:t>
            </w:r>
          </w:p>
        </w:tc>
        <w:tc>
          <w:tcPr>
            <w:tcW w:w="1559" w:type="dxa"/>
            <w:tcBorders>
              <w:top w:val="nil"/>
              <w:left w:val="nil"/>
              <w:bottom w:val="nil"/>
              <w:right w:val="nil"/>
            </w:tcBorders>
            <w:shd w:val="clear" w:color="auto" w:fill="auto"/>
            <w:noWrap/>
            <w:vAlign w:val="center"/>
            <w:hideMark/>
          </w:tcPr>
          <w:p w14:paraId="77BFD475" w14:textId="18E01A82"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912C79" w:rsidRPr="00FC2211">
              <w:rPr>
                <w:rFonts w:ascii="Calibri" w:hAnsi="Calibri" w:cs="Calibri"/>
                <w:color w:val="000000"/>
                <w:szCs w:val="20"/>
                <w:lang w:val="en-CA" w:eastAsia="en-CA"/>
              </w:rPr>
              <w:t>9,739</w:t>
            </w:r>
            <w:r w:rsidRPr="00FC2211">
              <w:rPr>
                <w:rFonts w:ascii="Calibri" w:hAnsi="Calibri" w:cs="Calibri"/>
                <w:color w:val="000000"/>
                <w:szCs w:val="20"/>
                <w:lang w:val="en-CA" w:eastAsia="en-CA"/>
              </w:rPr>
              <w:t xml:space="preserve"> </w:t>
            </w:r>
          </w:p>
        </w:tc>
        <w:tc>
          <w:tcPr>
            <w:tcW w:w="1559" w:type="dxa"/>
            <w:tcBorders>
              <w:top w:val="nil"/>
              <w:left w:val="nil"/>
              <w:bottom w:val="nil"/>
              <w:right w:val="nil"/>
            </w:tcBorders>
            <w:shd w:val="clear" w:color="auto" w:fill="auto"/>
            <w:noWrap/>
            <w:vAlign w:val="center"/>
            <w:hideMark/>
          </w:tcPr>
          <w:p w14:paraId="154696D3" w14:textId="0CA0402C" w:rsidR="00EE03DD" w:rsidRPr="00FC2211" w:rsidRDefault="00912C79"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1,722</w:t>
            </w:r>
            <w:r w:rsidR="00EE03DD" w:rsidRPr="00FC2211">
              <w:rPr>
                <w:rFonts w:ascii="Calibri" w:hAnsi="Calibri" w:cs="Calibri"/>
                <w:color w:val="000000"/>
                <w:szCs w:val="20"/>
                <w:lang w:val="en-CA" w:eastAsia="en-CA"/>
              </w:rPr>
              <w:t xml:space="preserve"> </w:t>
            </w:r>
          </w:p>
        </w:tc>
        <w:tc>
          <w:tcPr>
            <w:tcW w:w="1701" w:type="dxa"/>
            <w:tcBorders>
              <w:top w:val="nil"/>
              <w:left w:val="nil"/>
              <w:bottom w:val="nil"/>
              <w:right w:val="nil"/>
            </w:tcBorders>
            <w:shd w:val="clear" w:color="auto" w:fill="auto"/>
            <w:noWrap/>
            <w:vAlign w:val="center"/>
            <w:hideMark/>
          </w:tcPr>
          <w:p w14:paraId="5014DC1E" w14:textId="550EDAEA" w:rsidR="00EE03DD" w:rsidRPr="00FC2211" w:rsidRDefault="00912C79"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750</w:t>
            </w:r>
            <w:r w:rsidR="00EE03DD" w:rsidRPr="00FC2211">
              <w:rPr>
                <w:rFonts w:ascii="Calibri" w:hAnsi="Calibri" w:cs="Calibri"/>
                <w:color w:val="000000"/>
                <w:szCs w:val="20"/>
                <w:lang w:val="en-CA" w:eastAsia="en-CA"/>
              </w:rPr>
              <w:t xml:space="preserve"> </w:t>
            </w:r>
          </w:p>
        </w:tc>
        <w:tc>
          <w:tcPr>
            <w:tcW w:w="1559" w:type="dxa"/>
            <w:tcBorders>
              <w:top w:val="nil"/>
              <w:left w:val="nil"/>
              <w:bottom w:val="nil"/>
              <w:right w:val="nil"/>
            </w:tcBorders>
            <w:shd w:val="clear" w:color="auto" w:fill="auto"/>
            <w:noWrap/>
            <w:vAlign w:val="center"/>
            <w:hideMark/>
          </w:tcPr>
          <w:p w14:paraId="4B4D3EF8" w14:textId="069698D3"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912C79" w:rsidRPr="00FC2211">
              <w:rPr>
                <w:rFonts w:ascii="Calibri" w:hAnsi="Calibri" w:cs="Calibri"/>
                <w:color w:val="000000"/>
                <w:szCs w:val="20"/>
                <w:lang w:val="en-CA" w:eastAsia="en-CA"/>
              </w:rPr>
              <w:t>173,810</w:t>
            </w:r>
            <w:r w:rsidRPr="00FC2211">
              <w:rPr>
                <w:rFonts w:ascii="Calibri" w:hAnsi="Calibri" w:cs="Calibri"/>
                <w:color w:val="000000"/>
                <w:szCs w:val="20"/>
                <w:lang w:val="en-CA" w:eastAsia="en-CA"/>
              </w:rPr>
              <w:t xml:space="preserve"> </w:t>
            </w:r>
          </w:p>
        </w:tc>
        <w:tc>
          <w:tcPr>
            <w:tcW w:w="1636" w:type="dxa"/>
            <w:tcBorders>
              <w:top w:val="nil"/>
              <w:left w:val="nil"/>
              <w:bottom w:val="nil"/>
              <w:right w:val="nil"/>
            </w:tcBorders>
            <w:shd w:val="clear" w:color="auto" w:fill="auto"/>
            <w:noWrap/>
            <w:vAlign w:val="center"/>
            <w:hideMark/>
          </w:tcPr>
          <w:p w14:paraId="6D75824A" w14:textId="3E8E4D5E" w:rsidR="00EE03DD" w:rsidRPr="00FC2211" w:rsidRDefault="00EE03DD" w:rsidP="00681612">
            <w:pPr>
              <w:ind w:right="103" w:firstLineChars="200" w:firstLine="400"/>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476" w:type="dxa"/>
            <w:tcBorders>
              <w:top w:val="nil"/>
              <w:left w:val="nil"/>
              <w:bottom w:val="nil"/>
              <w:right w:val="nil"/>
            </w:tcBorders>
            <w:shd w:val="clear" w:color="auto" w:fill="auto"/>
            <w:noWrap/>
            <w:vAlign w:val="center"/>
            <w:hideMark/>
          </w:tcPr>
          <w:p w14:paraId="501434B0" w14:textId="78861BF8" w:rsidR="00EE03DD" w:rsidRPr="00FC2211" w:rsidRDefault="00912C79"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186,021</w:t>
            </w:r>
            <w:r w:rsidR="00EE03DD" w:rsidRPr="00FC2211">
              <w:rPr>
                <w:rFonts w:ascii="Calibri" w:hAnsi="Calibri" w:cs="Calibri"/>
                <w:color w:val="000000"/>
                <w:szCs w:val="20"/>
                <w:lang w:val="en-CA" w:eastAsia="en-CA"/>
              </w:rPr>
              <w:t xml:space="preserve"> </w:t>
            </w:r>
          </w:p>
        </w:tc>
      </w:tr>
      <w:tr w:rsidR="00EE03DD" w:rsidRPr="00FC2211" w14:paraId="50C8F7E4" w14:textId="77777777" w:rsidTr="00D23DCC">
        <w:trPr>
          <w:trHeight w:val="288"/>
          <w:jc w:val="center"/>
        </w:trPr>
        <w:tc>
          <w:tcPr>
            <w:tcW w:w="3261" w:type="dxa"/>
            <w:tcBorders>
              <w:top w:val="single" w:sz="4" w:space="0" w:color="auto"/>
              <w:left w:val="nil"/>
              <w:bottom w:val="single" w:sz="8" w:space="0" w:color="auto"/>
              <w:right w:val="nil"/>
            </w:tcBorders>
            <w:shd w:val="clear" w:color="auto" w:fill="auto"/>
            <w:noWrap/>
            <w:vAlign w:val="center"/>
            <w:hideMark/>
          </w:tcPr>
          <w:p w14:paraId="60D0B096" w14:textId="3BFD7556" w:rsidR="00EE03DD" w:rsidRPr="00FC2211" w:rsidRDefault="00EE4D9D" w:rsidP="00EE03DD">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Balance, December 31, 2023</w:t>
            </w:r>
          </w:p>
        </w:tc>
        <w:tc>
          <w:tcPr>
            <w:tcW w:w="1559" w:type="dxa"/>
            <w:tcBorders>
              <w:top w:val="single" w:sz="4" w:space="0" w:color="auto"/>
              <w:left w:val="nil"/>
              <w:bottom w:val="single" w:sz="8" w:space="0" w:color="auto"/>
              <w:right w:val="nil"/>
            </w:tcBorders>
            <w:shd w:val="clear" w:color="auto" w:fill="auto"/>
            <w:noWrap/>
            <w:vAlign w:val="center"/>
            <w:hideMark/>
          </w:tcPr>
          <w:p w14:paraId="4113442E" w14:textId="4EE86291" w:rsidR="00EE03DD" w:rsidRPr="00FC2211" w:rsidRDefault="00EE03DD" w:rsidP="00EE03D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w:t>
            </w:r>
            <w:r w:rsidR="006E18D5" w:rsidRPr="00FC2211">
              <w:rPr>
                <w:rFonts w:ascii="Calibri" w:hAnsi="Calibri" w:cs="Calibri"/>
                <w:b/>
                <w:bCs/>
                <w:color w:val="000000"/>
                <w:szCs w:val="20"/>
                <w:lang w:val="en-CA" w:eastAsia="en-CA"/>
              </w:rPr>
              <w:t>10,256</w:t>
            </w:r>
            <w:r w:rsidRPr="00FC2211">
              <w:rPr>
                <w:rFonts w:ascii="Calibri" w:hAnsi="Calibri" w:cs="Calibri"/>
                <w:b/>
                <w:bCs/>
                <w:color w:val="000000"/>
                <w:szCs w:val="20"/>
                <w:lang w:val="en-CA" w:eastAsia="en-CA"/>
              </w:rPr>
              <w:t xml:space="preserve"> </w:t>
            </w:r>
          </w:p>
        </w:tc>
        <w:tc>
          <w:tcPr>
            <w:tcW w:w="1559" w:type="dxa"/>
            <w:tcBorders>
              <w:top w:val="single" w:sz="4" w:space="0" w:color="auto"/>
              <w:left w:val="nil"/>
              <w:bottom w:val="single" w:sz="8" w:space="0" w:color="auto"/>
              <w:right w:val="nil"/>
            </w:tcBorders>
            <w:shd w:val="clear" w:color="auto" w:fill="auto"/>
            <w:noWrap/>
            <w:vAlign w:val="center"/>
            <w:hideMark/>
          </w:tcPr>
          <w:p w14:paraId="1B2B82D0" w14:textId="1E505333" w:rsidR="00EE03DD" w:rsidRPr="00FC2211" w:rsidRDefault="00EE03DD" w:rsidP="00EE03D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6</w:t>
            </w:r>
            <w:r w:rsidR="006E18D5" w:rsidRPr="00FC2211">
              <w:rPr>
                <w:rFonts w:ascii="Calibri" w:hAnsi="Calibri" w:cs="Calibri"/>
                <w:b/>
                <w:bCs/>
                <w:color w:val="000000"/>
                <w:szCs w:val="20"/>
                <w:lang w:val="en-CA" w:eastAsia="en-CA"/>
              </w:rPr>
              <w:t>5,537</w:t>
            </w:r>
            <w:r w:rsidRPr="00FC2211">
              <w:rPr>
                <w:rFonts w:ascii="Calibri" w:hAnsi="Calibri" w:cs="Calibri"/>
                <w:b/>
                <w:bCs/>
                <w:color w:val="000000"/>
                <w:szCs w:val="20"/>
                <w:lang w:val="en-CA" w:eastAsia="en-CA"/>
              </w:rPr>
              <w:t xml:space="preserve"> </w:t>
            </w:r>
          </w:p>
        </w:tc>
        <w:tc>
          <w:tcPr>
            <w:tcW w:w="1701" w:type="dxa"/>
            <w:tcBorders>
              <w:top w:val="single" w:sz="4" w:space="0" w:color="auto"/>
              <w:left w:val="nil"/>
              <w:bottom w:val="single" w:sz="8" w:space="0" w:color="auto"/>
              <w:right w:val="nil"/>
            </w:tcBorders>
            <w:shd w:val="clear" w:color="auto" w:fill="auto"/>
            <w:noWrap/>
            <w:vAlign w:val="center"/>
            <w:hideMark/>
          </w:tcPr>
          <w:p w14:paraId="6F4620D4" w14:textId="41080FB4" w:rsidR="00EE03DD" w:rsidRPr="00FC2211" w:rsidRDefault="00EE03DD" w:rsidP="00EE03D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6,</w:t>
            </w:r>
            <w:r w:rsidR="006E18D5" w:rsidRPr="00FC2211">
              <w:rPr>
                <w:rFonts w:ascii="Calibri" w:hAnsi="Calibri" w:cs="Calibri"/>
                <w:b/>
                <w:bCs/>
                <w:color w:val="000000"/>
                <w:szCs w:val="20"/>
                <w:lang w:val="en-CA" w:eastAsia="en-CA"/>
              </w:rPr>
              <w:t>728</w:t>
            </w:r>
            <w:r w:rsidRPr="00FC2211">
              <w:rPr>
                <w:rFonts w:ascii="Calibri" w:hAnsi="Calibri" w:cs="Calibri"/>
                <w:b/>
                <w:bCs/>
                <w:color w:val="000000"/>
                <w:szCs w:val="20"/>
                <w:lang w:val="en-CA" w:eastAsia="en-CA"/>
              </w:rPr>
              <w:t xml:space="preserve"> </w:t>
            </w:r>
          </w:p>
        </w:tc>
        <w:tc>
          <w:tcPr>
            <w:tcW w:w="1559" w:type="dxa"/>
            <w:tcBorders>
              <w:top w:val="single" w:sz="4" w:space="0" w:color="auto"/>
              <w:left w:val="nil"/>
              <w:bottom w:val="single" w:sz="8" w:space="0" w:color="auto"/>
              <w:right w:val="nil"/>
            </w:tcBorders>
            <w:shd w:val="clear" w:color="auto" w:fill="auto"/>
            <w:noWrap/>
            <w:vAlign w:val="center"/>
            <w:hideMark/>
          </w:tcPr>
          <w:p w14:paraId="706658DA" w14:textId="731BE55E" w:rsidR="00EE03DD" w:rsidRPr="00FC2211" w:rsidRDefault="00EE03DD" w:rsidP="00EE03D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6E18D5" w:rsidRPr="00FC2211">
              <w:rPr>
                <w:rFonts w:ascii="Calibri" w:hAnsi="Calibri" w:cs="Calibri"/>
                <w:b/>
                <w:bCs/>
                <w:color w:val="000000"/>
                <w:szCs w:val="20"/>
                <w:lang w:val="en-CA" w:eastAsia="en-CA"/>
              </w:rPr>
              <w:t>549,375</w:t>
            </w:r>
            <w:r w:rsidRPr="00FC2211">
              <w:rPr>
                <w:rFonts w:ascii="Calibri" w:hAnsi="Calibri" w:cs="Calibri"/>
                <w:b/>
                <w:bCs/>
                <w:color w:val="000000"/>
                <w:szCs w:val="20"/>
                <w:lang w:val="en-CA" w:eastAsia="en-CA"/>
              </w:rPr>
              <w:t xml:space="preserve"> </w:t>
            </w:r>
          </w:p>
        </w:tc>
        <w:tc>
          <w:tcPr>
            <w:tcW w:w="1636" w:type="dxa"/>
            <w:tcBorders>
              <w:top w:val="single" w:sz="4" w:space="0" w:color="auto"/>
              <w:left w:val="nil"/>
              <w:bottom w:val="single" w:sz="8" w:space="0" w:color="auto"/>
              <w:right w:val="nil"/>
            </w:tcBorders>
            <w:shd w:val="clear" w:color="auto" w:fill="auto"/>
            <w:noWrap/>
            <w:vAlign w:val="center"/>
            <w:hideMark/>
          </w:tcPr>
          <w:p w14:paraId="216B9C82" w14:textId="743AD26E" w:rsidR="00EE03DD" w:rsidRPr="00FC2211" w:rsidRDefault="00EE03DD" w:rsidP="00681612">
            <w:pPr>
              <w:ind w:right="103"/>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p>
        </w:tc>
        <w:tc>
          <w:tcPr>
            <w:tcW w:w="1476" w:type="dxa"/>
            <w:tcBorders>
              <w:top w:val="single" w:sz="4" w:space="0" w:color="auto"/>
              <w:left w:val="nil"/>
              <w:bottom w:val="single" w:sz="8" w:space="0" w:color="auto"/>
              <w:right w:val="nil"/>
            </w:tcBorders>
            <w:shd w:val="clear" w:color="auto" w:fill="auto"/>
            <w:noWrap/>
            <w:vAlign w:val="center"/>
            <w:hideMark/>
          </w:tcPr>
          <w:p w14:paraId="385FDDB3" w14:textId="43B4B864" w:rsidR="00EE03DD" w:rsidRPr="00FC2211" w:rsidRDefault="00EE03DD" w:rsidP="00EE03D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6E18D5" w:rsidRPr="00FC2211">
              <w:rPr>
                <w:rFonts w:ascii="Calibri" w:hAnsi="Calibri" w:cs="Calibri"/>
                <w:b/>
                <w:bCs/>
                <w:color w:val="000000"/>
                <w:szCs w:val="20"/>
                <w:lang w:val="en-CA" w:eastAsia="en-CA"/>
              </w:rPr>
              <w:t>731,896</w:t>
            </w:r>
            <w:r w:rsidRPr="00FC2211">
              <w:rPr>
                <w:rFonts w:ascii="Calibri" w:hAnsi="Calibri" w:cs="Calibri"/>
                <w:b/>
                <w:bCs/>
                <w:color w:val="000000"/>
                <w:szCs w:val="20"/>
                <w:lang w:val="en-CA" w:eastAsia="en-CA"/>
              </w:rPr>
              <w:t xml:space="preserve"> </w:t>
            </w:r>
          </w:p>
        </w:tc>
      </w:tr>
      <w:tr w:rsidR="00EE03DD" w:rsidRPr="00FC2211" w14:paraId="39DAF1A9" w14:textId="77777777" w:rsidTr="00D23DCC">
        <w:trPr>
          <w:trHeight w:val="276"/>
          <w:jc w:val="center"/>
        </w:trPr>
        <w:tc>
          <w:tcPr>
            <w:tcW w:w="3261" w:type="dxa"/>
            <w:tcBorders>
              <w:top w:val="nil"/>
              <w:left w:val="nil"/>
              <w:bottom w:val="nil"/>
              <w:right w:val="nil"/>
            </w:tcBorders>
            <w:shd w:val="clear" w:color="auto" w:fill="auto"/>
            <w:noWrap/>
            <w:vAlign w:val="center"/>
            <w:hideMark/>
          </w:tcPr>
          <w:p w14:paraId="48DAB3D4" w14:textId="77777777" w:rsidR="00EE03DD" w:rsidRPr="00FC2211" w:rsidRDefault="00EE03DD" w:rsidP="00EE03DD">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Net Book Value:</w:t>
            </w:r>
          </w:p>
        </w:tc>
        <w:tc>
          <w:tcPr>
            <w:tcW w:w="1559" w:type="dxa"/>
            <w:tcBorders>
              <w:top w:val="nil"/>
              <w:left w:val="nil"/>
              <w:bottom w:val="nil"/>
              <w:right w:val="nil"/>
            </w:tcBorders>
            <w:shd w:val="clear" w:color="auto" w:fill="auto"/>
            <w:noWrap/>
            <w:vAlign w:val="center"/>
            <w:hideMark/>
          </w:tcPr>
          <w:p w14:paraId="0931A93B" w14:textId="77777777" w:rsidR="00EE03DD" w:rsidRPr="00FC2211" w:rsidRDefault="00EE03DD" w:rsidP="00EE03DD">
            <w:pPr>
              <w:rPr>
                <w:rFonts w:ascii="Calibri" w:hAnsi="Calibri" w:cs="Calibri"/>
                <w:b/>
                <w:bCs/>
                <w:color w:val="000000"/>
                <w:szCs w:val="20"/>
                <w:lang w:val="en-CA" w:eastAsia="en-CA"/>
              </w:rPr>
            </w:pPr>
          </w:p>
        </w:tc>
        <w:tc>
          <w:tcPr>
            <w:tcW w:w="1559" w:type="dxa"/>
            <w:tcBorders>
              <w:top w:val="nil"/>
              <w:left w:val="nil"/>
              <w:bottom w:val="nil"/>
              <w:right w:val="nil"/>
            </w:tcBorders>
            <w:shd w:val="clear" w:color="auto" w:fill="auto"/>
            <w:noWrap/>
            <w:vAlign w:val="center"/>
            <w:hideMark/>
          </w:tcPr>
          <w:p w14:paraId="5135EE69" w14:textId="77777777" w:rsidR="00EE03DD" w:rsidRPr="00FC2211" w:rsidRDefault="00EE03DD" w:rsidP="00EE03DD">
            <w:pPr>
              <w:jc w:val="right"/>
              <w:rPr>
                <w:rFonts w:ascii="Times New Roman" w:hAnsi="Times New Roman"/>
                <w:szCs w:val="20"/>
                <w:lang w:val="en-CA" w:eastAsia="en-CA"/>
              </w:rPr>
            </w:pPr>
          </w:p>
        </w:tc>
        <w:tc>
          <w:tcPr>
            <w:tcW w:w="1701" w:type="dxa"/>
            <w:tcBorders>
              <w:top w:val="nil"/>
              <w:left w:val="nil"/>
              <w:bottom w:val="nil"/>
              <w:right w:val="nil"/>
            </w:tcBorders>
            <w:shd w:val="clear" w:color="auto" w:fill="auto"/>
            <w:noWrap/>
            <w:vAlign w:val="center"/>
            <w:hideMark/>
          </w:tcPr>
          <w:p w14:paraId="1D0811E8" w14:textId="77777777" w:rsidR="00EE03DD" w:rsidRPr="00FC2211" w:rsidRDefault="00EE03DD" w:rsidP="00EE03DD">
            <w:pPr>
              <w:jc w:val="right"/>
              <w:rPr>
                <w:rFonts w:ascii="Times New Roman" w:hAnsi="Times New Roman"/>
                <w:szCs w:val="20"/>
                <w:lang w:val="en-CA" w:eastAsia="en-CA"/>
              </w:rPr>
            </w:pPr>
          </w:p>
        </w:tc>
        <w:tc>
          <w:tcPr>
            <w:tcW w:w="1559" w:type="dxa"/>
            <w:tcBorders>
              <w:top w:val="nil"/>
              <w:left w:val="nil"/>
              <w:bottom w:val="nil"/>
              <w:right w:val="nil"/>
            </w:tcBorders>
            <w:shd w:val="clear" w:color="auto" w:fill="auto"/>
            <w:noWrap/>
            <w:vAlign w:val="center"/>
            <w:hideMark/>
          </w:tcPr>
          <w:p w14:paraId="59A3AA00" w14:textId="77777777" w:rsidR="00EE03DD" w:rsidRPr="00FC2211" w:rsidRDefault="00EE03DD" w:rsidP="00EE03DD">
            <w:pPr>
              <w:jc w:val="right"/>
              <w:rPr>
                <w:rFonts w:ascii="Times New Roman" w:hAnsi="Times New Roman"/>
                <w:szCs w:val="20"/>
                <w:lang w:val="en-CA" w:eastAsia="en-CA"/>
              </w:rPr>
            </w:pPr>
          </w:p>
        </w:tc>
        <w:tc>
          <w:tcPr>
            <w:tcW w:w="1636" w:type="dxa"/>
            <w:tcBorders>
              <w:top w:val="nil"/>
              <w:left w:val="nil"/>
              <w:bottom w:val="nil"/>
              <w:right w:val="nil"/>
            </w:tcBorders>
            <w:shd w:val="clear" w:color="auto" w:fill="auto"/>
            <w:noWrap/>
            <w:vAlign w:val="center"/>
            <w:hideMark/>
          </w:tcPr>
          <w:p w14:paraId="76BDAF18" w14:textId="77777777" w:rsidR="00EE03DD" w:rsidRPr="00FC2211" w:rsidRDefault="00EE03DD" w:rsidP="00EE03DD">
            <w:pPr>
              <w:jc w:val="right"/>
              <w:rPr>
                <w:rFonts w:ascii="Times New Roman" w:hAnsi="Times New Roman"/>
                <w:szCs w:val="20"/>
                <w:lang w:val="en-CA" w:eastAsia="en-CA"/>
              </w:rPr>
            </w:pPr>
          </w:p>
        </w:tc>
        <w:tc>
          <w:tcPr>
            <w:tcW w:w="1476" w:type="dxa"/>
            <w:tcBorders>
              <w:top w:val="nil"/>
              <w:left w:val="nil"/>
              <w:bottom w:val="nil"/>
              <w:right w:val="nil"/>
            </w:tcBorders>
            <w:shd w:val="clear" w:color="auto" w:fill="auto"/>
            <w:noWrap/>
            <w:vAlign w:val="center"/>
            <w:hideMark/>
          </w:tcPr>
          <w:p w14:paraId="65F3178A" w14:textId="77777777" w:rsidR="00EE03DD" w:rsidRPr="00FC2211" w:rsidRDefault="00EE03DD" w:rsidP="00EE03DD">
            <w:pPr>
              <w:jc w:val="right"/>
              <w:rPr>
                <w:rFonts w:ascii="Times New Roman" w:hAnsi="Times New Roman"/>
                <w:szCs w:val="20"/>
                <w:lang w:val="en-CA" w:eastAsia="en-CA"/>
              </w:rPr>
            </w:pPr>
          </w:p>
        </w:tc>
      </w:tr>
      <w:tr w:rsidR="00EE03DD" w:rsidRPr="00FC2211" w14:paraId="36E68B66" w14:textId="77777777" w:rsidTr="00D23DCC">
        <w:trPr>
          <w:trHeight w:val="276"/>
          <w:jc w:val="center"/>
        </w:trPr>
        <w:tc>
          <w:tcPr>
            <w:tcW w:w="3261" w:type="dxa"/>
            <w:tcBorders>
              <w:top w:val="single" w:sz="4" w:space="0" w:color="auto"/>
              <w:left w:val="nil"/>
              <w:bottom w:val="single" w:sz="4" w:space="0" w:color="auto"/>
              <w:right w:val="nil"/>
            </w:tcBorders>
            <w:shd w:val="clear" w:color="auto" w:fill="auto"/>
            <w:noWrap/>
            <w:vAlign w:val="center"/>
            <w:hideMark/>
          </w:tcPr>
          <w:p w14:paraId="1F75A2C9" w14:textId="77777777" w:rsidR="00EE03DD" w:rsidRPr="00FC2211" w:rsidRDefault="00EE03DD" w:rsidP="00EE03DD">
            <w:pPr>
              <w:rPr>
                <w:rFonts w:ascii="Calibri" w:hAnsi="Calibri" w:cs="Calibri"/>
                <w:color w:val="000000"/>
                <w:szCs w:val="20"/>
                <w:lang w:val="en-CA" w:eastAsia="en-CA"/>
              </w:rPr>
            </w:pPr>
            <w:r w:rsidRPr="00FC2211">
              <w:rPr>
                <w:rFonts w:ascii="Calibri" w:hAnsi="Calibri" w:cs="Calibri"/>
                <w:color w:val="000000"/>
                <w:szCs w:val="20"/>
                <w:lang w:val="en-CA" w:eastAsia="en-CA"/>
              </w:rPr>
              <w:t>June 30, 2023</w:t>
            </w:r>
          </w:p>
        </w:tc>
        <w:tc>
          <w:tcPr>
            <w:tcW w:w="1559" w:type="dxa"/>
            <w:tcBorders>
              <w:top w:val="single" w:sz="4" w:space="0" w:color="auto"/>
              <w:left w:val="nil"/>
              <w:bottom w:val="single" w:sz="4" w:space="0" w:color="auto"/>
              <w:right w:val="nil"/>
            </w:tcBorders>
            <w:shd w:val="clear" w:color="auto" w:fill="auto"/>
            <w:noWrap/>
            <w:vAlign w:val="center"/>
            <w:hideMark/>
          </w:tcPr>
          <w:p w14:paraId="7EF2A9F2" w14:textId="0BC384B9"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51,413 </w:t>
            </w:r>
          </w:p>
        </w:tc>
        <w:tc>
          <w:tcPr>
            <w:tcW w:w="1559" w:type="dxa"/>
            <w:tcBorders>
              <w:top w:val="single" w:sz="4" w:space="0" w:color="auto"/>
              <w:left w:val="nil"/>
              <w:bottom w:val="single" w:sz="4" w:space="0" w:color="auto"/>
              <w:right w:val="nil"/>
            </w:tcBorders>
            <w:shd w:val="clear" w:color="auto" w:fill="auto"/>
            <w:noWrap/>
            <w:vAlign w:val="center"/>
            <w:hideMark/>
          </w:tcPr>
          <w:p w14:paraId="3E6E9A35" w14:textId="152CD0D1"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r w:rsidR="00115364" w:rsidRPr="00FC2211">
              <w:rPr>
                <w:rFonts w:ascii="Calibri" w:hAnsi="Calibri" w:cs="Calibri"/>
                <w:color w:val="000000"/>
                <w:szCs w:val="20"/>
                <w:lang w:val="en-CA" w:eastAsia="en-CA"/>
              </w:rPr>
              <w:t xml:space="preserve">    </w:t>
            </w:r>
            <w:r w:rsidRPr="00FC2211">
              <w:rPr>
                <w:rFonts w:ascii="Calibri" w:hAnsi="Calibri" w:cs="Calibri"/>
                <w:color w:val="000000"/>
                <w:szCs w:val="20"/>
                <w:lang w:val="en-CA" w:eastAsia="en-CA"/>
              </w:rPr>
              <w:t xml:space="preserve">16,512 </w:t>
            </w:r>
          </w:p>
        </w:tc>
        <w:tc>
          <w:tcPr>
            <w:tcW w:w="1701" w:type="dxa"/>
            <w:tcBorders>
              <w:top w:val="single" w:sz="4" w:space="0" w:color="auto"/>
              <w:left w:val="nil"/>
              <w:bottom w:val="single" w:sz="4" w:space="0" w:color="auto"/>
              <w:right w:val="nil"/>
            </w:tcBorders>
            <w:shd w:val="clear" w:color="auto" w:fill="auto"/>
            <w:noWrap/>
            <w:vAlign w:val="center"/>
            <w:hideMark/>
          </w:tcPr>
          <w:p w14:paraId="341EAF4F" w14:textId="5BA65C75"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7,822 </w:t>
            </w:r>
          </w:p>
        </w:tc>
        <w:tc>
          <w:tcPr>
            <w:tcW w:w="1559" w:type="dxa"/>
            <w:tcBorders>
              <w:top w:val="single" w:sz="4" w:space="0" w:color="auto"/>
              <w:left w:val="nil"/>
              <w:bottom w:val="single" w:sz="4" w:space="0" w:color="auto"/>
              <w:right w:val="nil"/>
            </w:tcBorders>
            <w:shd w:val="clear" w:color="auto" w:fill="auto"/>
            <w:noWrap/>
            <w:vAlign w:val="center"/>
            <w:hideMark/>
          </w:tcPr>
          <w:p w14:paraId="18382B30" w14:textId="51309385"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1,149,769 </w:t>
            </w:r>
          </w:p>
        </w:tc>
        <w:tc>
          <w:tcPr>
            <w:tcW w:w="1636" w:type="dxa"/>
            <w:tcBorders>
              <w:top w:val="single" w:sz="4" w:space="0" w:color="auto"/>
              <w:left w:val="nil"/>
              <w:bottom w:val="single" w:sz="4" w:space="0" w:color="auto"/>
              <w:right w:val="nil"/>
            </w:tcBorders>
            <w:shd w:val="clear" w:color="auto" w:fill="auto"/>
            <w:noWrap/>
            <w:vAlign w:val="center"/>
            <w:hideMark/>
          </w:tcPr>
          <w:p w14:paraId="3DDDA0D6" w14:textId="0FA7CA83"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283,872 </w:t>
            </w:r>
          </w:p>
        </w:tc>
        <w:tc>
          <w:tcPr>
            <w:tcW w:w="1476" w:type="dxa"/>
            <w:tcBorders>
              <w:top w:val="single" w:sz="4" w:space="0" w:color="auto"/>
              <w:left w:val="nil"/>
              <w:bottom w:val="single" w:sz="4" w:space="0" w:color="auto"/>
              <w:right w:val="nil"/>
            </w:tcBorders>
            <w:shd w:val="clear" w:color="auto" w:fill="auto"/>
            <w:noWrap/>
            <w:vAlign w:val="center"/>
            <w:hideMark/>
          </w:tcPr>
          <w:p w14:paraId="7A7007C2" w14:textId="22D9CC79" w:rsidR="00EE03DD" w:rsidRPr="00FC2211" w:rsidRDefault="00EE03DD" w:rsidP="00EE03D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1,509,388 </w:t>
            </w:r>
          </w:p>
        </w:tc>
      </w:tr>
      <w:tr w:rsidR="00EE03DD" w:rsidRPr="00FC2211" w14:paraId="002724ED" w14:textId="77777777" w:rsidTr="00D23DCC">
        <w:trPr>
          <w:trHeight w:val="288"/>
          <w:jc w:val="center"/>
        </w:trPr>
        <w:tc>
          <w:tcPr>
            <w:tcW w:w="3261" w:type="dxa"/>
            <w:tcBorders>
              <w:top w:val="nil"/>
              <w:left w:val="nil"/>
              <w:bottom w:val="single" w:sz="8" w:space="0" w:color="auto"/>
              <w:right w:val="nil"/>
            </w:tcBorders>
            <w:shd w:val="clear" w:color="auto" w:fill="auto"/>
            <w:noWrap/>
            <w:vAlign w:val="center"/>
            <w:hideMark/>
          </w:tcPr>
          <w:p w14:paraId="457E8D83" w14:textId="31E5FE54" w:rsidR="00EE03DD" w:rsidRPr="00FC2211" w:rsidRDefault="00EE4D9D" w:rsidP="00EE03DD">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December 31, 2023</w:t>
            </w:r>
          </w:p>
        </w:tc>
        <w:tc>
          <w:tcPr>
            <w:tcW w:w="1559" w:type="dxa"/>
            <w:tcBorders>
              <w:top w:val="nil"/>
              <w:left w:val="nil"/>
              <w:bottom w:val="single" w:sz="8" w:space="0" w:color="auto"/>
              <w:right w:val="nil"/>
            </w:tcBorders>
            <w:shd w:val="clear" w:color="auto" w:fill="auto"/>
            <w:noWrap/>
            <w:vAlign w:val="center"/>
            <w:hideMark/>
          </w:tcPr>
          <w:p w14:paraId="2307C30B" w14:textId="1299941B" w:rsidR="00EE03DD" w:rsidRPr="00FC2211" w:rsidRDefault="00EE03DD" w:rsidP="00EE03D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6E18D5" w:rsidRPr="00FC2211">
              <w:rPr>
                <w:rFonts w:ascii="Calibri" w:hAnsi="Calibri" w:cs="Calibri"/>
                <w:b/>
                <w:bCs/>
                <w:color w:val="000000"/>
                <w:szCs w:val="20"/>
                <w:lang w:val="en-CA" w:eastAsia="en-CA"/>
              </w:rPr>
              <w:t>41,674</w:t>
            </w:r>
            <w:r w:rsidRPr="00FC2211">
              <w:rPr>
                <w:rFonts w:ascii="Calibri" w:hAnsi="Calibri" w:cs="Calibri"/>
                <w:b/>
                <w:bCs/>
                <w:color w:val="000000"/>
                <w:szCs w:val="20"/>
                <w:lang w:val="en-CA" w:eastAsia="en-CA"/>
              </w:rPr>
              <w:t xml:space="preserve"> </w:t>
            </w:r>
          </w:p>
        </w:tc>
        <w:tc>
          <w:tcPr>
            <w:tcW w:w="1559" w:type="dxa"/>
            <w:tcBorders>
              <w:top w:val="nil"/>
              <w:left w:val="nil"/>
              <w:bottom w:val="single" w:sz="8" w:space="0" w:color="auto"/>
              <w:right w:val="nil"/>
            </w:tcBorders>
            <w:shd w:val="clear" w:color="auto" w:fill="auto"/>
            <w:noWrap/>
            <w:vAlign w:val="center"/>
            <w:hideMark/>
          </w:tcPr>
          <w:p w14:paraId="7BD23869" w14:textId="5122B19F" w:rsidR="00EE03DD" w:rsidRPr="00FC2211" w:rsidRDefault="00EE03DD" w:rsidP="00EE03D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115364" w:rsidRPr="00FC2211">
              <w:rPr>
                <w:rFonts w:ascii="Calibri" w:hAnsi="Calibri" w:cs="Calibri"/>
                <w:b/>
                <w:bCs/>
                <w:color w:val="000000"/>
                <w:szCs w:val="20"/>
                <w:lang w:val="en-CA" w:eastAsia="en-CA"/>
              </w:rPr>
              <w:t xml:space="preserve"> </w:t>
            </w:r>
            <w:r w:rsidR="006E18D5" w:rsidRPr="00FC2211">
              <w:rPr>
                <w:rFonts w:ascii="Calibri" w:hAnsi="Calibri" w:cs="Calibri"/>
                <w:b/>
                <w:bCs/>
                <w:color w:val="000000"/>
                <w:szCs w:val="20"/>
                <w:lang w:val="en-CA" w:eastAsia="en-CA"/>
              </w:rPr>
              <w:t>14,790</w:t>
            </w:r>
            <w:r w:rsidRPr="00FC2211">
              <w:rPr>
                <w:rFonts w:ascii="Calibri" w:hAnsi="Calibri" w:cs="Calibri"/>
                <w:b/>
                <w:bCs/>
                <w:color w:val="000000"/>
                <w:szCs w:val="20"/>
                <w:lang w:val="en-CA" w:eastAsia="en-CA"/>
              </w:rPr>
              <w:t xml:space="preserve"> </w:t>
            </w:r>
          </w:p>
        </w:tc>
        <w:tc>
          <w:tcPr>
            <w:tcW w:w="1701" w:type="dxa"/>
            <w:tcBorders>
              <w:top w:val="nil"/>
              <w:left w:val="nil"/>
              <w:bottom w:val="single" w:sz="8" w:space="0" w:color="auto"/>
              <w:right w:val="nil"/>
            </w:tcBorders>
            <w:shd w:val="clear" w:color="auto" w:fill="auto"/>
            <w:noWrap/>
            <w:vAlign w:val="center"/>
            <w:hideMark/>
          </w:tcPr>
          <w:p w14:paraId="4ACB15EC" w14:textId="3AEF1EC6" w:rsidR="00EE03DD" w:rsidRPr="00FC2211" w:rsidRDefault="00EE03DD" w:rsidP="00EE03D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6E18D5" w:rsidRPr="00FC2211">
              <w:rPr>
                <w:rFonts w:ascii="Calibri" w:hAnsi="Calibri" w:cs="Calibri"/>
                <w:b/>
                <w:bCs/>
                <w:color w:val="000000"/>
                <w:szCs w:val="20"/>
                <w:lang w:val="en-CA" w:eastAsia="en-CA"/>
              </w:rPr>
              <w:t>7,072</w:t>
            </w:r>
            <w:r w:rsidRPr="00FC2211">
              <w:rPr>
                <w:rFonts w:ascii="Calibri" w:hAnsi="Calibri" w:cs="Calibri"/>
                <w:b/>
                <w:bCs/>
                <w:color w:val="000000"/>
                <w:szCs w:val="20"/>
                <w:lang w:val="en-CA" w:eastAsia="en-CA"/>
              </w:rPr>
              <w:t xml:space="preserve"> </w:t>
            </w:r>
          </w:p>
        </w:tc>
        <w:tc>
          <w:tcPr>
            <w:tcW w:w="1559" w:type="dxa"/>
            <w:tcBorders>
              <w:top w:val="nil"/>
              <w:left w:val="nil"/>
              <w:bottom w:val="single" w:sz="8" w:space="0" w:color="auto"/>
              <w:right w:val="nil"/>
            </w:tcBorders>
            <w:shd w:val="clear" w:color="auto" w:fill="auto"/>
            <w:noWrap/>
            <w:vAlign w:val="center"/>
            <w:hideMark/>
          </w:tcPr>
          <w:p w14:paraId="6C14C949" w14:textId="7385E18B" w:rsidR="00EE03DD" w:rsidRPr="00FC2211" w:rsidRDefault="00EE03DD" w:rsidP="00EE03D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6E18D5" w:rsidRPr="00FC2211">
              <w:rPr>
                <w:rFonts w:ascii="Calibri" w:hAnsi="Calibri" w:cs="Calibri"/>
                <w:b/>
                <w:bCs/>
                <w:color w:val="000000"/>
                <w:szCs w:val="20"/>
                <w:lang w:val="en-CA" w:eastAsia="en-CA"/>
              </w:rPr>
              <w:t>1,239,142</w:t>
            </w:r>
            <w:r w:rsidRPr="00FC2211">
              <w:rPr>
                <w:rFonts w:ascii="Calibri" w:hAnsi="Calibri" w:cs="Calibri"/>
                <w:b/>
                <w:bCs/>
                <w:color w:val="000000"/>
                <w:szCs w:val="20"/>
                <w:lang w:val="en-CA" w:eastAsia="en-CA"/>
              </w:rPr>
              <w:t xml:space="preserve"> </w:t>
            </w:r>
          </w:p>
        </w:tc>
        <w:tc>
          <w:tcPr>
            <w:tcW w:w="1636" w:type="dxa"/>
            <w:tcBorders>
              <w:top w:val="nil"/>
              <w:left w:val="nil"/>
              <w:bottom w:val="single" w:sz="8" w:space="0" w:color="auto"/>
              <w:right w:val="nil"/>
            </w:tcBorders>
            <w:shd w:val="clear" w:color="auto" w:fill="auto"/>
            <w:noWrap/>
            <w:vAlign w:val="center"/>
            <w:hideMark/>
          </w:tcPr>
          <w:p w14:paraId="747AEB74" w14:textId="043A1D9C" w:rsidR="00EE03DD" w:rsidRPr="00FC2211" w:rsidRDefault="00EE03DD" w:rsidP="00EE03D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2</w:t>
            </w:r>
            <w:r w:rsidR="006E18D5" w:rsidRPr="00FC2211">
              <w:rPr>
                <w:rFonts w:ascii="Calibri" w:hAnsi="Calibri" w:cs="Calibri"/>
                <w:b/>
                <w:bCs/>
                <w:color w:val="000000"/>
                <w:szCs w:val="20"/>
                <w:lang w:val="en-CA" w:eastAsia="en-CA"/>
              </w:rPr>
              <w:t>84,189</w:t>
            </w:r>
            <w:r w:rsidRPr="00FC2211">
              <w:rPr>
                <w:rFonts w:ascii="Calibri" w:hAnsi="Calibri" w:cs="Calibri"/>
                <w:b/>
                <w:bCs/>
                <w:color w:val="000000"/>
                <w:szCs w:val="20"/>
                <w:lang w:val="en-CA" w:eastAsia="en-CA"/>
              </w:rPr>
              <w:t xml:space="preserve"> </w:t>
            </w:r>
          </w:p>
        </w:tc>
        <w:tc>
          <w:tcPr>
            <w:tcW w:w="1476" w:type="dxa"/>
            <w:tcBorders>
              <w:top w:val="nil"/>
              <w:left w:val="nil"/>
              <w:bottom w:val="single" w:sz="8" w:space="0" w:color="auto"/>
              <w:right w:val="nil"/>
            </w:tcBorders>
            <w:shd w:val="clear" w:color="auto" w:fill="auto"/>
            <w:noWrap/>
            <w:vAlign w:val="center"/>
            <w:hideMark/>
          </w:tcPr>
          <w:p w14:paraId="2AA7BDBF" w14:textId="79D16B80" w:rsidR="00EE03DD" w:rsidRPr="00FC2211" w:rsidRDefault="00EE03DD" w:rsidP="00EE03D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1,</w:t>
            </w:r>
            <w:r w:rsidR="006E18D5" w:rsidRPr="00FC2211">
              <w:rPr>
                <w:rFonts w:ascii="Calibri" w:hAnsi="Calibri" w:cs="Calibri"/>
                <w:b/>
                <w:bCs/>
                <w:color w:val="000000"/>
                <w:szCs w:val="20"/>
                <w:lang w:val="en-CA" w:eastAsia="en-CA"/>
              </w:rPr>
              <w:t>586,867</w:t>
            </w:r>
            <w:r w:rsidRPr="00FC2211">
              <w:rPr>
                <w:rFonts w:ascii="Calibri" w:hAnsi="Calibri" w:cs="Calibri"/>
                <w:b/>
                <w:bCs/>
                <w:color w:val="000000"/>
                <w:szCs w:val="20"/>
                <w:lang w:val="en-CA" w:eastAsia="en-CA"/>
              </w:rPr>
              <w:t xml:space="preserve"> </w:t>
            </w:r>
          </w:p>
        </w:tc>
      </w:tr>
    </w:tbl>
    <w:p w14:paraId="0B8419E2" w14:textId="77777777" w:rsidR="00D23DCC" w:rsidRPr="00FC2211" w:rsidRDefault="00D23DCC" w:rsidP="00CE34F7"/>
    <w:p w14:paraId="27487D45" w14:textId="77777777" w:rsidR="00C67240" w:rsidRPr="00FC2211" w:rsidRDefault="00C67240" w:rsidP="00CE34F7">
      <w:pPr>
        <w:sectPr w:rsidR="00C67240" w:rsidRPr="00FC2211" w:rsidSect="0081636B">
          <w:pgSz w:w="15840" w:h="12240" w:orient="landscape" w:code="1"/>
          <w:pgMar w:top="1440" w:right="1440" w:bottom="1440" w:left="1440" w:header="272" w:footer="454" w:gutter="0"/>
          <w:cols w:space="720"/>
          <w:docGrid w:linePitch="360"/>
        </w:sectPr>
      </w:pPr>
    </w:p>
    <w:p w14:paraId="22FA8381" w14:textId="6A5EF232" w:rsidR="00734642" w:rsidRPr="00FC2211" w:rsidRDefault="0032033A" w:rsidP="008D6468">
      <w:pPr>
        <w:pStyle w:val="Heading1"/>
        <w:rPr>
          <w:rFonts w:cstheme="minorHAnsi"/>
          <w:szCs w:val="20"/>
        </w:rPr>
      </w:pPr>
      <w:r w:rsidRPr="00FC2211">
        <w:rPr>
          <w:rFonts w:cstheme="minorHAnsi"/>
          <w:szCs w:val="20"/>
        </w:rPr>
        <w:lastRenderedPageBreak/>
        <w:t>10</w:t>
      </w:r>
      <w:r w:rsidR="003433DA" w:rsidRPr="00FC2211">
        <w:rPr>
          <w:rFonts w:cstheme="minorHAnsi"/>
          <w:szCs w:val="20"/>
        </w:rPr>
        <w:t>.</w:t>
      </w:r>
      <w:r w:rsidR="009438D0" w:rsidRPr="00FC2211">
        <w:rPr>
          <w:rFonts w:cstheme="minorHAnsi"/>
          <w:szCs w:val="20"/>
        </w:rPr>
        <w:t xml:space="preserve"> </w:t>
      </w:r>
      <w:r w:rsidR="00BA7DAE" w:rsidRPr="00FC2211">
        <w:rPr>
          <w:rFonts w:cstheme="minorHAnsi"/>
          <w:szCs w:val="20"/>
        </w:rPr>
        <w:t xml:space="preserve"> </w:t>
      </w:r>
      <w:r w:rsidR="00487AAD" w:rsidRPr="00FC2211">
        <w:rPr>
          <w:rFonts w:cstheme="minorHAnsi"/>
          <w:szCs w:val="20"/>
        </w:rPr>
        <w:t xml:space="preserve"> </w:t>
      </w:r>
      <w:r w:rsidR="0083186B" w:rsidRPr="00FC2211">
        <w:rPr>
          <w:rFonts w:cstheme="minorHAnsi"/>
          <w:szCs w:val="20"/>
        </w:rPr>
        <w:t>ACCOUNTS PAYABLE AND ACCRUED LIABILITIES</w:t>
      </w:r>
    </w:p>
    <w:p w14:paraId="7F93B19E" w14:textId="77777777" w:rsidR="000C412E" w:rsidRPr="00FC2211" w:rsidRDefault="000C412E" w:rsidP="000C412E">
      <w:pPr>
        <w:rPr>
          <w:rFonts w:cstheme="minorHAnsi"/>
          <w:color w:val="000000"/>
          <w:szCs w:val="20"/>
        </w:rPr>
      </w:pPr>
      <w:r w:rsidRPr="00FC2211">
        <w:rPr>
          <w:rFonts w:cstheme="minorHAnsi"/>
          <w:color w:val="000000"/>
          <w:szCs w:val="20"/>
        </w:rPr>
        <w:t>  </w:t>
      </w:r>
    </w:p>
    <w:p w14:paraId="02762CA0" w14:textId="481A1495" w:rsidR="00F319D1" w:rsidRPr="00FC2211" w:rsidRDefault="00F319D1" w:rsidP="00F319D1">
      <w:pPr>
        <w:ind w:left="284" w:firstLine="1"/>
        <w:rPr>
          <w:rFonts w:cstheme="minorHAnsi"/>
          <w:bCs/>
          <w:szCs w:val="20"/>
          <w:lang w:val="en-CA"/>
        </w:rPr>
      </w:pPr>
      <w:r w:rsidRPr="00FC2211">
        <w:rPr>
          <w:rFonts w:cstheme="minorHAnsi"/>
          <w:bCs/>
          <w:szCs w:val="20"/>
          <w:lang w:val="en-CA"/>
        </w:rPr>
        <w:t>The components of accounts payable and accrued liabilities are as follows:</w:t>
      </w:r>
    </w:p>
    <w:p w14:paraId="782A1BB7" w14:textId="77777777" w:rsidR="00F319D1" w:rsidRPr="00FC2211" w:rsidRDefault="00F319D1" w:rsidP="000C412E">
      <w:pPr>
        <w:rPr>
          <w:rFonts w:cstheme="minorHAnsi"/>
          <w:color w:val="000000"/>
          <w:szCs w:val="20"/>
        </w:rPr>
      </w:pPr>
    </w:p>
    <w:tbl>
      <w:tblPr>
        <w:tblW w:w="6095" w:type="dxa"/>
        <w:jc w:val="center"/>
        <w:tblLook w:val="04A0" w:firstRow="1" w:lastRow="0" w:firstColumn="1" w:lastColumn="0" w:noHBand="0" w:noVBand="1"/>
      </w:tblPr>
      <w:tblGrid>
        <w:gridCol w:w="2756"/>
        <w:gridCol w:w="1922"/>
        <w:gridCol w:w="1417"/>
      </w:tblGrid>
      <w:tr w:rsidR="00344B40" w:rsidRPr="00FC2211" w14:paraId="35ED1868" w14:textId="77777777" w:rsidTr="00344B40">
        <w:trPr>
          <w:trHeight w:val="252"/>
          <w:jc w:val="center"/>
        </w:trPr>
        <w:tc>
          <w:tcPr>
            <w:tcW w:w="2756" w:type="dxa"/>
            <w:tcBorders>
              <w:top w:val="nil"/>
              <w:left w:val="nil"/>
              <w:bottom w:val="single" w:sz="8" w:space="0" w:color="auto"/>
              <w:right w:val="nil"/>
            </w:tcBorders>
            <w:shd w:val="clear" w:color="auto" w:fill="auto"/>
            <w:noWrap/>
            <w:vAlign w:val="center"/>
            <w:hideMark/>
          </w:tcPr>
          <w:p w14:paraId="2587C190" w14:textId="77777777" w:rsidR="00344B40" w:rsidRPr="00FC2211" w:rsidRDefault="00344B40" w:rsidP="00344B40">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w:t>
            </w:r>
          </w:p>
        </w:tc>
        <w:tc>
          <w:tcPr>
            <w:tcW w:w="1922" w:type="dxa"/>
            <w:tcBorders>
              <w:top w:val="nil"/>
              <w:left w:val="nil"/>
              <w:bottom w:val="single" w:sz="8" w:space="0" w:color="auto"/>
              <w:right w:val="nil"/>
            </w:tcBorders>
            <w:shd w:val="clear" w:color="auto" w:fill="auto"/>
            <w:vAlign w:val="center"/>
            <w:hideMark/>
          </w:tcPr>
          <w:p w14:paraId="64197499" w14:textId="2F730135" w:rsidR="00344B40" w:rsidRPr="00FC2211" w:rsidRDefault="00314FB5" w:rsidP="00344B40">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December 31</w:t>
            </w:r>
            <w:r w:rsidR="00344B40" w:rsidRPr="00FC2211">
              <w:rPr>
                <w:rFonts w:ascii="Calibri" w:hAnsi="Calibri" w:cs="Calibri"/>
                <w:b/>
                <w:bCs/>
                <w:color w:val="000000"/>
                <w:szCs w:val="20"/>
                <w:lang w:val="en-CA" w:eastAsia="en-CA"/>
              </w:rPr>
              <w:t>, 2023</w:t>
            </w:r>
          </w:p>
        </w:tc>
        <w:tc>
          <w:tcPr>
            <w:tcW w:w="1417" w:type="dxa"/>
            <w:tcBorders>
              <w:top w:val="nil"/>
              <w:left w:val="nil"/>
              <w:bottom w:val="single" w:sz="8" w:space="0" w:color="auto"/>
              <w:right w:val="nil"/>
            </w:tcBorders>
            <w:shd w:val="clear" w:color="auto" w:fill="auto"/>
            <w:vAlign w:val="center"/>
            <w:hideMark/>
          </w:tcPr>
          <w:p w14:paraId="3F9AEFC4" w14:textId="65339C10" w:rsidR="00344B40" w:rsidRPr="00FC2211" w:rsidRDefault="00344B40" w:rsidP="00344B40">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June 30, 202</w:t>
            </w:r>
            <w:r w:rsidR="00B83330" w:rsidRPr="00FC2211">
              <w:rPr>
                <w:rFonts w:ascii="Calibri" w:hAnsi="Calibri" w:cs="Calibri"/>
                <w:color w:val="000000"/>
                <w:szCs w:val="20"/>
                <w:lang w:val="en-CA" w:eastAsia="en-CA"/>
              </w:rPr>
              <w:t>3</w:t>
            </w:r>
          </w:p>
        </w:tc>
      </w:tr>
      <w:tr w:rsidR="00344B40" w:rsidRPr="00FC2211" w14:paraId="5B3E60A3" w14:textId="77777777" w:rsidTr="00344B40">
        <w:trPr>
          <w:trHeight w:val="240"/>
          <w:jc w:val="center"/>
        </w:trPr>
        <w:tc>
          <w:tcPr>
            <w:tcW w:w="2756" w:type="dxa"/>
            <w:tcBorders>
              <w:top w:val="nil"/>
              <w:left w:val="nil"/>
              <w:bottom w:val="nil"/>
              <w:right w:val="nil"/>
            </w:tcBorders>
            <w:shd w:val="clear" w:color="auto" w:fill="auto"/>
            <w:noWrap/>
            <w:vAlign w:val="center"/>
            <w:hideMark/>
          </w:tcPr>
          <w:p w14:paraId="63CE1E54" w14:textId="77777777" w:rsidR="00344B40" w:rsidRPr="00FC2211" w:rsidRDefault="00344B40" w:rsidP="00344B40">
            <w:pPr>
              <w:rPr>
                <w:rFonts w:ascii="Calibri" w:hAnsi="Calibri" w:cs="Calibri"/>
                <w:color w:val="000000"/>
                <w:szCs w:val="20"/>
                <w:lang w:val="en-CA" w:eastAsia="en-CA"/>
              </w:rPr>
            </w:pPr>
            <w:r w:rsidRPr="00FC2211">
              <w:rPr>
                <w:rFonts w:ascii="Calibri" w:hAnsi="Calibri" w:cs="Calibri"/>
                <w:color w:val="000000"/>
                <w:szCs w:val="20"/>
                <w:lang w:val="en-CA" w:eastAsia="en-CA"/>
              </w:rPr>
              <w:t>Accounts payable</w:t>
            </w:r>
          </w:p>
        </w:tc>
        <w:tc>
          <w:tcPr>
            <w:tcW w:w="1922" w:type="dxa"/>
            <w:tcBorders>
              <w:top w:val="nil"/>
              <w:left w:val="nil"/>
              <w:bottom w:val="nil"/>
              <w:right w:val="nil"/>
            </w:tcBorders>
            <w:shd w:val="clear" w:color="auto" w:fill="auto"/>
            <w:noWrap/>
            <w:vAlign w:val="center"/>
            <w:hideMark/>
          </w:tcPr>
          <w:p w14:paraId="756E6078" w14:textId="42A878E6" w:rsidR="00344B40" w:rsidRPr="00FC2211" w:rsidRDefault="00344B40" w:rsidP="00344B40">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A0751A" w:rsidRPr="00FC2211">
              <w:rPr>
                <w:rFonts w:ascii="Calibri" w:hAnsi="Calibri" w:cs="Calibri"/>
                <w:b/>
                <w:bCs/>
                <w:color w:val="000000"/>
                <w:szCs w:val="20"/>
                <w:lang w:val="en-CA" w:eastAsia="en-CA"/>
              </w:rPr>
              <w:t>856,</w:t>
            </w:r>
            <w:r w:rsidR="00995C93" w:rsidRPr="00FC2211">
              <w:rPr>
                <w:rFonts w:ascii="Calibri" w:hAnsi="Calibri" w:cs="Calibri"/>
                <w:b/>
                <w:bCs/>
                <w:color w:val="000000"/>
                <w:szCs w:val="20"/>
                <w:lang w:val="en-CA" w:eastAsia="en-CA"/>
              </w:rPr>
              <w:t>921</w:t>
            </w:r>
            <w:r w:rsidRPr="00FC2211">
              <w:rPr>
                <w:rFonts w:ascii="Calibri" w:hAnsi="Calibri" w:cs="Calibri"/>
                <w:b/>
                <w:bCs/>
                <w:color w:val="000000"/>
                <w:szCs w:val="20"/>
                <w:lang w:val="en-CA" w:eastAsia="en-CA"/>
              </w:rPr>
              <w:t xml:space="preserve"> </w:t>
            </w:r>
          </w:p>
        </w:tc>
        <w:tc>
          <w:tcPr>
            <w:tcW w:w="1417" w:type="dxa"/>
            <w:tcBorders>
              <w:top w:val="nil"/>
              <w:left w:val="nil"/>
              <w:bottom w:val="nil"/>
              <w:right w:val="nil"/>
            </w:tcBorders>
            <w:shd w:val="clear" w:color="auto" w:fill="auto"/>
            <w:noWrap/>
            <w:vAlign w:val="center"/>
            <w:hideMark/>
          </w:tcPr>
          <w:p w14:paraId="2677C146" w14:textId="25B8CAA5" w:rsidR="00344B40" w:rsidRPr="00FC2211" w:rsidRDefault="00344B40" w:rsidP="00344B40">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394,529 </w:t>
            </w:r>
          </w:p>
        </w:tc>
      </w:tr>
      <w:tr w:rsidR="00344B40" w:rsidRPr="00FC2211" w14:paraId="199CAA5C" w14:textId="77777777" w:rsidTr="00344B40">
        <w:trPr>
          <w:trHeight w:val="240"/>
          <w:jc w:val="center"/>
        </w:trPr>
        <w:tc>
          <w:tcPr>
            <w:tcW w:w="2756" w:type="dxa"/>
            <w:tcBorders>
              <w:top w:val="nil"/>
              <w:left w:val="nil"/>
              <w:bottom w:val="nil"/>
              <w:right w:val="nil"/>
            </w:tcBorders>
            <w:shd w:val="clear" w:color="auto" w:fill="auto"/>
            <w:noWrap/>
            <w:vAlign w:val="center"/>
            <w:hideMark/>
          </w:tcPr>
          <w:p w14:paraId="030E2EA0" w14:textId="77777777" w:rsidR="00344B40" w:rsidRPr="00FC2211" w:rsidRDefault="00344B40" w:rsidP="00344B40">
            <w:pPr>
              <w:rPr>
                <w:rFonts w:ascii="Calibri" w:hAnsi="Calibri" w:cs="Calibri"/>
                <w:color w:val="000000"/>
                <w:szCs w:val="20"/>
                <w:lang w:val="en-CA" w:eastAsia="en-CA"/>
              </w:rPr>
            </w:pPr>
            <w:r w:rsidRPr="00FC2211">
              <w:rPr>
                <w:rFonts w:ascii="Calibri" w:hAnsi="Calibri" w:cs="Calibri"/>
                <w:color w:val="000000"/>
                <w:szCs w:val="20"/>
                <w:lang w:val="en-CA" w:eastAsia="en-CA"/>
              </w:rPr>
              <w:t>Accrued liabilities</w:t>
            </w:r>
          </w:p>
        </w:tc>
        <w:tc>
          <w:tcPr>
            <w:tcW w:w="1922" w:type="dxa"/>
            <w:tcBorders>
              <w:top w:val="nil"/>
              <w:left w:val="nil"/>
              <w:bottom w:val="nil"/>
              <w:right w:val="nil"/>
            </w:tcBorders>
            <w:shd w:val="clear" w:color="auto" w:fill="auto"/>
            <w:noWrap/>
            <w:vAlign w:val="center"/>
            <w:hideMark/>
          </w:tcPr>
          <w:p w14:paraId="521F68B2" w14:textId="07DC8F20" w:rsidR="00344B40" w:rsidRPr="00FC2211" w:rsidRDefault="00344B40" w:rsidP="00344B40">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A0751A" w:rsidRPr="00FC2211">
              <w:rPr>
                <w:rFonts w:ascii="Calibri" w:hAnsi="Calibri" w:cs="Calibri"/>
                <w:b/>
                <w:bCs/>
                <w:color w:val="000000"/>
                <w:szCs w:val="20"/>
                <w:lang w:val="en-CA" w:eastAsia="en-CA"/>
              </w:rPr>
              <w:t>276,833</w:t>
            </w:r>
            <w:r w:rsidRPr="00FC2211">
              <w:rPr>
                <w:rFonts w:ascii="Calibri" w:hAnsi="Calibri" w:cs="Calibri"/>
                <w:b/>
                <w:bCs/>
                <w:color w:val="000000"/>
                <w:szCs w:val="20"/>
                <w:lang w:val="en-CA" w:eastAsia="en-CA"/>
              </w:rPr>
              <w:t xml:space="preserve"> </w:t>
            </w:r>
          </w:p>
        </w:tc>
        <w:tc>
          <w:tcPr>
            <w:tcW w:w="1417" w:type="dxa"/>
            <w:tcBorders>
              <w:top w:val="nil"/>
              <w:left w:val="nil"/>
              <w:bottom w:val="nil"/>
              <w:right w:val="nil"/>
            </w:tcBorders>
            <w:shd w:val="clear" w:color="auto" w:fill="auto"/>
            <w:noWrap/>
            <w:vAlign w:val="center"/>
            <w:hideMark/>
          </w:tcPr>
          <w:p w14:paraId="1A0053D4" w14:textId="3D42EF43" w:rsidR="00344B40" w:rsidRPr="00FC2211" w:rsidRDefault="00344B40" w:rsidP="00344B40">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280,008 </w:t>
            </w:r>
          </w:p>
        </w:tc>
      </w:tr>
      <w:tr w:rsidR="00344B40" w:rsidRPr="00FC2211" w14:paraId="4D383325" w14:textId="77777777" w:rsidTr="00344B40">
        <w:trPr>
          <w:trHeight w:val="252"/>
          <w:jc w:val="center"/>
        </w:trPr>
        <w:tc>
          <w:tcPr>
            <w:tcW w:w="2756" w:type="dxa"/>
            <w:tcBorders>
              <w:top w:val="single" w:sz="4" w:space="0" w:color="auto"/>
              <w:left w:val="nil"/>
              <w:bottom w:val="single" w:sz="8" w:space="0" w:color="auto"/>
              <w:right w:val="nil"/>
            </w:tcBorders>
            <w:shd w:val="clear" w:color="auto" w:fill="auto"/>
            <w:noWrap/>
            <w:vAlign w:val="center"/>
            <w:hideMark/>
          </w:tcPr>
          <w:p w14:paraId="2A4043B2" w14:textId="77777777" w:rsidR="00344B40" w:rsidRPr="00FC2211" w:rsidRDefault="00344B40" w:rsidP="00344B40">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Total </w:t>
            </w:r>
          </w:p>
        </w:tc>
        <w:tc>
          <w:tcPr>
            <w:tcW w:w="1922" w:type="dxa"/>
            <w:tcBorders>
              <w:top w:val="single" w:sz="4" w:space="0" w:color="auto"/>
              <w:left w:val="nil"/>
              <w:bottom w:val="single" w:sz="8" w:space="0" w:color="auto"/>
              <w:right w:val="nil"/>
            </w:tcBorders>
            <w:shd w:val="clear" w:color="auto" w:fill="auto"/>
            <w:noWrap/>
            <w:vAlign w:val="center"/>
            <w:hideMark/>
          </w:tcPr>
          <w:p w14:paraId="7E71C6F2" w14:textId="014994A0" w:rsidR="00344B40" w:rsidRPr="00FC2211" w:rsidRDefault="00344B40" w:rsidP="00344B40">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A0751A" w:rsidRPr="00FC2211">
              <w:rPr>
                <w:rFonts w:ascii="Calibri" w:hAnsi="Calibri" w:cs="Calibri"/>
                <w:b/>
                <w:bCs/>
                <w:color w:val="000000"/>
                <w:szCs w:val="20"/>
                <w:lang w:val="en-CA" w:eastAsia="en-CA"/>
              </w:rPr>
              <w:t>1,133,</w:t>
            </w:r>
            <w:r w:rsidR="00995C93" w:rsidRPr="00FC2211">
              <w:rPr>
                <w:rFonts w:ascii="Calibri" w:hAnsi="Calibri" w:cs="Calibri"/>
                <w:b/>
                <w:bCs/>
                <w:color w:val="000000"/>
                <w:szCs w:val="20"/>
                <w:lang w:val="en-CA" w:eastAsia="en-CA"/>
              </w:rPr>
              <w:t>754</w:t>
            </w:r>
            <w:r w:rsidRPr="00FC2211">
              <w:rPr>
                <w:rFonts w:ascii="Calibri" w:hAnsi="Calibri" w:cs="Calibri"/>
                <w:b/>
                <w:bCs/>
                <w:color w:val="000000"/>
                <w:szCs w:val="20"/>
                <w:lang w:val="en-CA" w:eastAsia="en-CA"/>
              </w:rPr>
              <w:t xml:space="preserve"> </w:t>
            </w:r>
          </w:p>
        </w:tc>
        <w:tc>
          <w:tcPr>
            <w:tcW w:w="1417" w:type="dxa"/>
            <w:tcBorders>
              <w:top w:val="single" w:sz="4" w:space="0" w:color="auto"/>
              <w:left w:val="nil"/>
              <w:bottom w:val="single" w:sz="8" w:space="0" w:color="auto"/>
              <w:right w:val="nil"/>
            </w:tcBorders>
            <w:shd w:val="clear" w:color="auto" w:fill="auto"/>
            <w:noWrap/>
            <w:vAlign w:val="center"/>
            <w:hideMark/>
          </w:tcPr>
          <w:p w14:paraId="6DEA3676" w14:textId="7C07A24C" w:rsidR="00344B40" w:rsidRPr="00FC2211" w:rsidRDefault="00344B40" w:rsidP="00344B40">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674,537 </w:t>
            </w:r>
          </w:p>
        </w:tc>
      </w:tr>
    </w:tbl>
    <w:p w14:paraId="5E36CA97" w14:textId="77777777" w:rsidR="000C412E" w:rsidRPr="00FC2211" w:rsidRDefault="000C412E" w:rsidP="000C412E">
      <w:pPr>
        <w:rPr>
          <w:rFonts w:cstheme="minorHAnsi"/>
          <w:color w:val="000000"/>
          <w:szCs w:val="20"/>
        </w:rPr>
      </w:pPr>
    </w:p>
    <w:p w14:paraId="69FF1462" w14:textId="77777777" w:rsidR="00F319D1" w:rsidRPr="00FC2211" w:rsidRDefault="00D44BAF" w:rsidP="00F319D1">
      <w:pPr>
        <w:ind w:left="360" w:hanging="14"/>
        <w:jc w:val="both"/>
        <w:rPr>
          <w:rFonts w:cstheme="minorHAnsi"/>
          <w:szCs w:val="20"/>
        </w:rPr>
      </w:pPr>
      <w:r w:rsidRPr="00FC2211">
        <w:rPr>
          <w:rFonts w:cstheme="minorHAnsi"/>
          <w:szCs w:val="20"/>
        </w:rPr>
        <w:t>Accounts payable</w:t>
      </w:r>
      <w:r w:rsidR="007B2CD1" w:rsidRPr="00FC2211">
        <w:rPr>
          <w:rFonts w:cstheme="minorHAnsi"/>
          <w:szCs w:val="20"/>
        </w:rPr>
        <w:t xml:space="preserve"> are generally non-interest bearing and are settled on 30 to 60-day payment terms.</w:t>
      </w:r>
      <w:r w:rsidR="00F319D1" w:rsidRPr="00FC2211">
        <w:rPr>
          <w:rFonts w:cstheme="minorHAnsi"/>
          <w:szCs w:val="20"/>
        </w:rPr>
        <w:t xml:space="preserve"> </w:t>
      </w:r>
    </w:p>
    <w:p w14:paraId="5DA96632" w14:textId="703B5CD7" w:rsidR="007B2CD1" w:rsidRPr="00FC2211" w:rsidRDefault="007B2CD1" w:rsidP="00F319D1">
      <w:pPr>
        <w:ind w:left="360" w:hanging="14"/>
        <w:jc w:val="both"/>
        <w:rPr>
          <w:rFonts w:cstheme="minorHAnsi"/>
          <w:szCs w:val="20"/>
        </w:rPr>
      </w:pPr>
      <w:r w:rsidRPr="00FC2211">
        <w:rPr>
          <w:rFonts w:cstheme="minorHAnsi"/>
          <w:szCs w:val="20"/>
        </w:rPr>
        <w:t>Accru</w:t>
      </w:r>
      <w:r w:rsidR="0087551A" w:rsidRPr="00FC2211">
        <w:rPr>
          <w:rFonts w:cstheme="minorHAnsi"/>
          <w:szCs w:val="20"/>
        </w:rPr>
        <w:t>ed liabilit</w:t>
      </w:r>
      <w:r w:rsidR="00A54BD4" w:rsidRPr="00FC2211">
        <w:rPr>
          <w:rFonts w:cstheme="minorHAnsi"/>
          <w:szCs w:val="20"/>
        </w:rPr>
        <w:t>i</w:t>
      </w:r>
      <w:r w:rsidR="0087551A" w:rsidRPr="00FC2211">
        <w:rPr>
          <w:rFonts w:cstheme="minorHAnsi"/>
          <w:szCs w:val="20"/>
        </w:rPr>
        <w:t>es</w:t>
      </w:r>
      <w:r w:rsidRPr="00FC2211">
        <w:rPr>
          <w:rFonts w:cstheme="minorHAnsi"/>
          <w:szCs w:val="20"/>
        </w:rPr>
        <w:t xml:space="preserve"> include </w:t>
      </w:r>
      <w:r w:rsidR="00A54BD4" w:rsidRPr="00FC2211">
        <w:rPr>
          <w:rFonts w:cstheme="minorHAnsi"/>
          <w:szCs w:val="20"/>
        </w:rPr>
        <w:t xml:space="preserve">accruals </w:t>
      </w:r>
      <w:r w:rsidRPr="00FC2211">
        <w:rPr>
          <w:rFonts w:cstheme="minorHAnsi"/>
          <w:szCs w:val="20"/>
        </w:rPr>
        <w:t>for remuneration and benefits</w:t>
      </w:r>
      <w:r w:rsidR="00AF189A" w:rsidRPr="00FC2211">
        <w:rPr>
          <w:rFonts w:cstheme="minorHAnsi"/>
          <w:szCs w:val="20"/>
        </w:rPr>
        <w:t>,</w:t>
      </w:r>
      <w:r w:rsidR="00A54BD4" w:rsidRPr="00FC2211">
        <w:rPr>
          <w:rFonts w:cstheme="minorHAnsi"/>
          <w:szCs w:val="20"/>
        </w:rPr>
        <w:t xml:space="preserve"> </w:t>
      </w:r>
      <w:r w:rsidRPr="00FC2211">
        <w:rPr>
          <w:rFonts w:cstheme="minorHAnsi"/>
          <w:szCs w:val="20"/>
        </w:rPr>
        <w:t>other expenses billed</w:t>
      </w:r>
      <w:r w:rsidR="00561570" w:rsidRPr="00FC2211">
        <w:rPr>
          <w:rFonts w:cstheme="minorHAnsi"/>
          <w:szCs w:val="20"/>
        </w:rPr>
        <w:t>,</w:t>
      </w:r>
      <w:r w:rsidR="00213561" w:rsidRPr="00FC2211">
        <w:rPr>
          <w:rFonts w:cstheme="minorHAnsi"/>
          <w:szCs w:val="20"/>
        </w:rPr>
        <w:t xml:space="preserve"> and </w:t>
      </w:r>
      <w:r w:rsidR="00AF189A" w:rsidRPr="00FC2211">
        <w:rPr>
          <w:rFonts w:cstheme="minorHAnsi"/>
          <w:szCs w:val="20"/>
        </w:rPr>
        <w:t>collections</w:t>
      </w:r>
      <w:r w:rsidR="00213561" w:rsidRPr="00FC2211">
        <w:rPr>
          <w:rFonts w:cstheme="minorHAnsi"/>
          <w:szCs w:val="20"/>
        </w:rPr>
        <w:t xml:space="preserve"> </w:t>
      </w:r>
      <w:r w:rsidR="00AF189A" w:rsidRPr="00FC2211">
        <w:rPr>
          <w:rFonts w:cstheme="minorHAnsi"/>
          <w:szCs w:val="20"/>
        </w:rPr>
        <w:t xml:space="preserve">received from customers for sales delivered after </w:t>
      </w:r>
      <w:r w:rsidR="00F319D1" w:rsidRPr="00FC2211">
        <w:rPr>
          <w:rFonts w:cstheme="minorHAnsi"/>
          <w:szCs w:val="20"/>
        </w:rPr>
        <w:t xml:space="preserve">the </w:t>
      </w:r>
      <w:r w:rsidR="00AF189A" w:rsidRPr="00FC2211">
        <w:rPr>
          <w:rFonts w:cstheme="minorHAnsi"/>
          <w:szCs w:val="20"/>
        </w:rPr>
        <w:t>reporting date</w:t>
      </w:r>
      <w:r w:rsidRPr="00FC2211">
        <w:rPr>
          <w:rFonts w:cstheme="minorHAnsi"/>
          <w:szCs w:val="20"/>
        </w:rPr>
        <w:t xml:space="preserve">. Accrued liabilities are generally settled within 12 months from </w:t>
      </w:r>
      <w:r w:rsidR="00F319D1" w:rsidRPr="00FC2211">
        <w:rPr>
          <w:rFonts w:cstheme="minorHAnsi"/>
          <w:szCs w:val="20"/>
        </w:rPr>
        <w:t>year-end</w:t>
      </w:r>
      <w:r w:rsidRPr="00FC2211">
        <w:rPr>
          <w:rFonts w:cstheme="minorHAnsi"/>
          <w:szCs w:val="20"/>
        </w:rPr>
        <w:t>.</w:t>
      </w:r>
    </w:p>
    <w:p w14:paraId="46C27B48" w14:textId="577E53C3" w:rsidR="00F307BC" w:rsidRPr="00FC2211" w:rsidRDefault="008E654B" w:rsidP="00F307BC">
      <w:pPr>
        <w:pStyle w:val="Heading1"/>
        <w:rPr>
          <w:rFonts w:cstheme="minorHAnsi"/>
          <w:szCs w:val="20"/>
        </w:rPr>
      </w:pPr>
      <w:r w:rsidRPr="00FC2211">
        <w:rPr>
          <w:rFonts w:cstheme="minorHAnsi"/>
          <w:szCs w:val="20"/>
        </w:rPr>
        <w:t>1</w:t>
      </w:r>
      <w:r w:rsidR="0032033A" w:rsidRPr="00FC2211">
        <w:rPr>
          <w:rFonts w:cstheme="minorHAnsi"/>
          <w:szCs w:val="20"/>
        </w:rPr>
        <w:t>1</w:t>
      </w:r>
      <w:r w:rsidR="00F307BC" w:rsidRPr="00FC2211">
        <w:rPr>
          <w:rFonts w:cstheme="minorHAnsi"/>
          <w:szCs w:val="20"/>
        </w:rPr>
        <w:t xml:space="preserve">.  </w:t>
      </w:r>
      <w:r w:rsidR="00BA7DAE" w:rsidRPr="00FC2211">
        <w:rPr>
          <w:rFonts w:cstheme="minorHAnsi"/>
          <w:szCs w:val="20"/>
        </w:rPr>
        <w:t xml:space="preserve"> </w:t>
      </w:r>
      <w:r w:rsidR="0007363A" w:rsidRPr="00FC2211">
        <w:rPr>
          <w:rFonts w:cstheme="minorHAnsi"/>
          <w:szCs w:val="20"/>
        </w:rPr>
        <w:t>LOAN</w:t>
      </w:r>
      <w:r w:rsidR="00CE118C" w:rsidRPr="00FC2211">
        <w:rPr>
          <w:rFonts w:cstheme="minorHAnsi"/>
          <w:szCs w:val="20"/>
        </w:rPr>
        <w:t>S</w:t>
      </w:r>
      <w:r w:rsidR="0007363A" w:rsidRPr="00FC2211">
        <w:rPr>
          <w:rFonts w:cstheme="minorHAnsi"/>
          <w:szCs w:val="20"/>
        </w:rPr>
        <w:t xml:space="preserve"> PAYABLE</w:t>
      </w:r>
    </w:p>
    <w:p w14:paraId="2E00614F" w14:textId="77777777" w:rsidR="00A7617D" w:rsidRPr="00FC2211" w:rsidRDefault="00A7617D" w:rsidP="00E16B5A">
      <w:pPr>
        <w:pStyle w:val="NormalCalibri"/>
        <w:spacing w:before="0" w:line="240" w:lineRule="auto"/>
        <w:ind w:left="360"/>
        <w:rPr>
          <w:rFonts w:asciiTheme="minorHAnsi" w:hAnsiTheme="minorHAnsi" w:cstheme="minorHAnsi"/>
          <w:iCs/>
          <w:sz w:val="20"/>
          <w:szCs w:val="20"/>
        </w:rPr>
      </w:pPr>
    </w:p>
    <w:p w14:paraId="0B3C922F" w14:textId="4A1BE888" w:rsidR="003F1E46" w:rsidRPr="00FC2211" w:rsidRDefault="00EF5547" w:rsidP="00FB2CF6">
      <w:pPr>
        <w:tabs>
          <w:tab w:val="left" w:pos="357"/>
        </w:tabs>
        <w:ind w:left="357"/>
        <w:jc w:val="both"/>
        <w:rPr>
          <w:rFonts w:cstheme="minorHAnsi"/>
          <w:szCs w:val="20"/>
        </w:rPr>
      </w:pPr>
      <w:r w:rsidRPr="00FC2211">
        <w:rPr>
          <w:rFonts w:cstheme="minorHAnsi"/>
          <w:szCs w:val="20"/>
        </w:rPr>
        <w:t xml:space="preserve">On December 16, 2016, INEO received </w:t>
      </w:r>
      <w:r w:rsidRPr="00FC2211">
        <w:rPr>
          <w:rFonts w:cstheme="minorHAnsi"/>
          <w:bCs/>
          <w:szCs w:val="20"/>
        </w:rPr>
        <w:t>$100,000</w:t>
      </w:r>
      <w:r w:rsidRPr="00FC2211">
        <w:rPr>
          <w:rFonts w:cstheme="minorHAnsi"/>
          <w:szCs w:val="20"/>
        </w:rPr>
        <w:t xml:space="preserve"> as a loan, bearing an annual interest rate of 12.5%</w:t>
      </w:r>
      <w:r w:rsidR="0050281D" w:rsidRPr="00FC2211">
        <w:rPr>
          <w:rFonts w:cstheme="minorHAnsi"/>
          <w:szCs w:val="20"/>
        </w:rPr>
        <w:t xml:space="preserve"> from a  related party</w:t>
      </w:r>
      <w:r w:rsidRPr="00FC2211">
        <w:rPr>
          <w:rFonts w:cstheme="minorHAnsi"/>
          <w:szCs w:val="20"/>
        </w:rPr>
        <w:t xml:space="preserve">. This loan is due on demand and unsecured.  </w:t>
      </w:r>
      <w:r w:rsidR="003065AF" w:rsidRPr="00FC2211">
        <w:rPr>
          <w:rFonts w:cstheme="minorHAnsi"/>
          <w:szCs w:val="20"/>
        </w:rPr>
        <w:t xml:space="preserve">The </w:t>
      </w:r>
      <w:r w:rsidR="007F5BF5" w:rsidRPr="00FC2211">
        <w:rPr>
          <w:rFonts w:cstheme="minorHAnsi"/>
          <w:szCs w:val="20"/>
        </w:rPr>
        <w:t>loan balance as at</w:t>
      </w:r>
      <w:r w:rsidR="003065AF" w:rsidRPr="00FC2211">
        <w:rPr>
          <w:rFonts w:cstheme="minorHAnsi"/>
          <w:szCs w:val="20"/>
        </w:rPr>
        <w:t xml:space="preserve"> </w:t>
      </w:r>
      <w:r w:rsidR="00C530B7" w:rsidRPr="00FC2211">
        <w:rPr>
          <w:rFonts w:cstheme="minorHAnsi"/>
          <w:szCs w:val="20"/>
        </w:rPr>
        <w:t>December 31</w:t>
      </w:r>
      <w:r w:rsidR="003065AF" w:rsidRPr="00FC2211">
        <w:rPr>
          <w:rFonts w:cstheme="minorHAnsi"/>
          <w:szCs w:val="20"/>
        </w:rPr>
        <w:t>, 2023, amounted to $</w:t>
      </w:r>
      <w:r w:rsidR="003B35B0" w:rsidRPr="00FC2211">
        <w:rPr>
          <w:rFonts w:cstheme="minorHAnsi"/>
          <w:szCs w:val="20"/>
        </w:rPr>
        <w:t>187,500</w:t>
      </w:r>
      <w:r w:rsidR="003942BF" w:rsidRPr="00FC2211">
        <w:rPr>
          <w:rFonts w:cstheme="minorHAnsi"/>
          <w:szCs w:val="20"/>
        </w:rPr>
        <w:t xml:space="preserve"> (June 30, 202</w:t>
      </w:r>
      <w:r w:rsidR="000F7477" w:rsidRPr="00FC2211">
        <w:rPr>
          <w:rFonts w:cstheme="minorHAnsi"/>
          <w:szCs w:val="20"/>
        </w:rPr>
        <w:t>3</w:t>
      </w:r>
      <w:r w:rsidR="003942BF" w:rsidRPr="00FC2211">
        <w:rPr>
          <w:rFonts w:cstheme="minorHAnsi"/>
          <w:szCs w:val="20"/>
        </w:rPr>
        <w:t xml:space="preserve"> - $</w:t>
      </w:r>
      <w:r w:rsidR="000F7477" w:rsidRPr="00FC2211">
        <w:rPr>
          <w:rFonts w:cstheme="minorHAnsi"/>
          <w:szCs w:val="20"/>
        </w:rPr>
        <w:t>181,250</w:t>
      </w:r>
      <w:r w:rsidR="003942BF" w:rsidRPr="00FC2211">
        <w:rPr>
          <w:rFonts w:cstheme="minorHAnsi"/>
          <w:szCs w:val="20"/>
        </w:rPr>
        <w:t xml:space="preserve">). </w:t>
      </w:r>
      <w:r w:rsidRPr="00FC2211">
        <w:rPr>
          <w:rFonts w:cstheme="minorHAnsi"/>
          <w:szCs w:val="20"/>
        </w:rPr>
        <w:t xml:space="preserve">During the </w:t>
      </w:r>
      <w:r w:rsidR="00C530B7" w:rsidRPr="00FC2211">
        <w:rPr>
          <w:rFonts w:cstheme="minorHAnsi"/>
          <w:szCs w:val="20"/>
        </w:rPr>
        <w:t>six</w:t>
      </w:r>
      <w:r w:rsidR="00DF5E73" w:rsidRPr="00FC2211">
        <w:rPr>
          <w:rFonts w:cstheme="minorHAnsi"/>
          <w:szCs w:val="20"/>
        </w:rPr>
        <w:t xml:space="preserve"> months</w:t>
      </w:r>
      <w:r w:rsidR="009C2321" w:rsidRPr="00FC2211">
        <w:rPr>
          <w:rFonts w:cstheme="minorHAnsi"/>
          <w:szCs w:val="20"/>
        </w:rPr>
        <w:t xml:space="preserve"> </w:t>
      </w:r>
      <w:r w:rsidR="007003C1" w:rsidRPr="00FC2211">
        <w:rPr>
          <w:rFonts w:cstheme="minorHAnsi"/>
          <w:szCs w:val="20"/>
        </w:rPr>
        <w:t>ended</w:t>
      </w:r>
      <w:r w:rsidRPr="00FC2211">
        <w:rPr>
          <w:rFonts w:cstheme="minorHAnsi"/>
          <w:szCs w:val="20"/>
        </w:rPr>
        <w:t xml:space="preserve"> </w:t>
      </w:r>
      <w:r w:rsidR="00C530B7" w:rsidRPr="00FC2211">
        <w:rPr>
          <w:rFonts w:cstheme="minorHAnsi"/>
          <w:szCs w:val="20"/>
        </w:rPr>
        <w:t>December</w:t>
      </w:r>
      <w:r w:rsidR="00417438" w:rsidRPr="00FC2211">
        <w:rPr>
          <w:rFonts w:cstheme="minorHAnsi"/>
          <w:szCs w:val="20"/>
        </w:rPr>
        <w:t xml:space="preserve"> 3</w:t>
      </w:r>
      <w:r w:rsidR="00C530B7" w:rsidRPr="00FC2211">
        <w:rPr>
          <w:rFonts w:cstheme="minorHAnsi"/>
          <w:szCs w:val="20"/>
        </w:rPr>
        <w:t>1</w:t>
      </w:r>
      <w:r w:rsidR="00417438" w:rsidRPr="00FC2211">
        <w:rPr>
          <w:rFonts w:cstheme="minorHAnsi"/>
          <w:szCs w:val="20"/>
        </w:rPr>
        <w:t>, 202</w:t>
      </w:r>
      <w:r w:rsidR="00D92760" w:rsidRPr="00FC2211">
        <w:rPr>
          <w:rFonts w:cstheme="minorHAnsi"/>
          <w:szCs w:val="20"/>
        </w:rPr>
        <w:t>3</w:t>
      </w:r>
      <w:r w:rsidR="003942BF" w:rsidRPr="00FC2211">
        <w:rPr>
          <w:rFonts w:cstheme="minorHAnsi"/>
          <w:szCs w:val="20"/>
        </w:rPr>
        <w:t>,</w:t>
      </w:r>
      <w:r w:rsidR="00FB780D" w:rsidRPr="00FC2211">
        <w:rPr>
          <w:rFonts w:cstheme="minorHAnsi"/>
          <w:szCs w:val="20"/>
        </w:rPr>
        <w:t xml:space="preserve"> </w:t>
      </w:r>
      <w:r w:rsidRPr="00FC2211">
        <w:rPr>
          <w:rFonts w:cstheme="minorHAnsi"/>
          <w:szCs w:val="20"/>
        </w:rPr>
        <w:t>the Company incurred $</w:t>
      </w:r>
      <w:r w:rsidR="003B35B0" w:rsidRPr="00FC2211">
        <w:rPr>
          <w:rFonts w:cstheme="minorHAnsi"/>
          <w:szCs w:val="20"/>
        </w:rPr>
        <w:t>6,250</w:t>
      </w:r>
      <w:r w:rsidR="03D3D8CA" w:rsidRPr="00FC2211">
        <w:rPr>
          <w:rFonts w:cstheme="minorHAnsi"/>
          <w:szCs w:val="20"/>
        </w:rPr>
        <w:t xml:space="preserve"> </w:t>
      </w:r>
      <w:r w:rsidR="002A06FD" w:rsidRPr="00FC2211">
        <w:rPr>
          <w:rFonts w:cstheme="minorHAnsi"/>
          <w:szCs w:val="20"/>
        </w:rPr>
        <w:t xml:space="preserve">in </w:t>
      </w:r>
      <w:r w:rsidR="3C70CF51" w:rsidRPr="00FC2211">
        <w:rPr>
          <w:rFonts w:cstheme="minorHAnsi"/>
          <w:szCs w:val="20"/>
        </w:rPr>
        <w:t>i</w:t>
      </w:r>
      <w:r w:rsidRPr="00FC2211">
        <w:rPr>
          <w:rFonts w:cstheme="minorHAnsi"/>
          <w:szCs w:val="20"/>
        </w:rPr>
        <w:t>nterest expense</w:t>
      </w:r>
      <w:r w:rsidR="004F4977" w:rsidRPr="00FC2211">
        <w:rPr>
          <w:rFonts w:cstheme="minorHAnsi"/>
          <w:szCs w:val="20"/>
        </w:rPr>
        <w:t xml:space="preserve"> (</w:t>
      </w:r>
      <w:r w:rsidR="00C530B7" w:rsidRPr="00FC2211">
        <w:rPr>
          <w:rFonts w:cstheme="minorHAnsi"/>
          <w:szCs w:val="20"/>
        </w:rPr>
        <w:t>December 31</w:t>
      </w:r>
      <w:r w:rsidR="00E11176" w:rsidRPr="00FC2211">
        <w:rPr>
          <w:rFonts w:cstheme="minorHAnsi"/>
          <w:szCs w:val="20"/>
        </w:rPr>
        <w:t>, 202</w:t>
      </w:r>
      <w:r w:rsidR="00D92760" w:rsidRPr="00FC2211">
        <w:rPr>
          <w:rFonts w:cstheme="minorHAnsi"/>
          <w:szCs w:val="20"/>
        </w:rPr>
        <w:t>2</w:t>
      </w:r>
      <w:r w:rsidR="004F4977" w:rsidRPr="00FC2211">
        <w:rPr>
          <w:rFonts w:cstheme="minorHAnsi"/>
          <w:szCs w:val="20"/>
        </w:rPr>
        <w:t xml:space="preserve"> – $</w:t>
      </w:r>
      <w:r w:rsidR="003B35B0" w:rsidRPr="00FC2211">
        <w:rPr>
          <w:rFonts w:cstheme="minorHAnsi"/>
          <w:szCs w:val="20"/>
        </w:rPr>
        <w:t>6,250</w:t>
      </w:r>
      <w:r w:rsidR="004F4977" w:rsidRPr="00FC2211">
        <w:rPr>
          <w:rFonts w:cstheme="minorHAnsi"/>
          <w:szCs w:val="20"/>
        </w:rPr>
        <w:t>)</w:t>
      </w:r>
      <w:r w:rsidRPr="00FC2211">
        <w:rPr>
          <w:rFonts w:cstheme="minorHAnsi"/>
          <w:szCs w:val="20"/>
        </w:rPr>
        <w:t>.</w:t>
      </w:r>
      <w:r w:rsidR="00FB2CF6" w:rsidRPr="00FC2211">
        <w:rPr>
          <w:rFonts w:cstheme="minorHAnsi"/>
          <w:szCs w:val="20"/>
        </w:rPr>
        <w:t xml:space="preserve"> </w:t>
      </w:r>
      <w:r w:rsidR="00823E7D" w:rsidRPr="00FC2211">
        <w:rPr>
          <w:rFonts w:eastAsia="Calibri" w:cstheme="minorHAnsi"/>
          <w:szCs w:val="20"/>
        </w:rPr>
        <w:t>The reconciliation of opening and closing balances of loan payable follows:</w:t>
      </w:r>
    </w:p>
    <w:tbl>
      <w:tblPr>
        <w:tblW w:w="5529" w:type="dxa"/>
        <w:jc w:val="center"/>
        <w:tblLook w:val="04A0" w:firstRow="1" w:lastRow="0" w:firstColumn="1" w:lastColumn="0" w:noHBand="0" w:noVBand="1"/>
      </w:tblPr>
      <w:tblGrid>
        <w:gridCol w:w="3828"/>
        <w:gridCol w:w="1701"/>
      </w:tblGrid>
      <w:tr w:rsidR="005B1787" w:rsidRPr="00FC2211" w14:paraId="6D81C338" w14:textId="77777777" w:rsidTr="005B1787">
        <w:trPr>
          <w:trHeight w:val="240"/>
          <w:jc w:val="center"/>
        </w:trPr>
        <w:tc>
          <w:tcPr>
            <w:tcW w:w="3828" w:type="dxa"/>
            <w:tcBorders>
              <w:top w:val="nil"/>
              <w:left w:val="nil"/>
              <w:bottom w:val="single" w:sz="4" w:space="0" w:color="auto"/>
              <w:right w:val="nil"/>
            </w:tcBorders>
            <w:shd w:val="clear" w:color="auto" w:fill="auto"/>
            <w:noWrap/>
            <w:vAlign w:val="bottom"/>
            <w:hideMark/>
          </w:tcPr>
          <w:p w14:paraId="48833E16" w14:textId="77777777" w:rsidR="005B1787" w:rsidRPr="00FC2211" w:rsidRDefault="005B1787" w:rsidP="005B1787">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701" w:type="dxa"/>
            <w:tcBorders>
              <w:top w:val="nil"/>
              <w:left w:val="nil"/>
              <w:bottom w:val="single" w:sz="4" w:space="0" w:color="auto"/>
              <w:right w:val="nil"/>
            </w:tcBorders>
            <w:shd w:val="clear" w:color="auto" w:fill="auto"/>
            <w:noWrap/>
            <w:vAlign w:val="bottom"/>
            <w:hideMark/>
          </w:tcPr>
          <w:p w14:paraId="6DF1BA37" w14:textId="77777777" w:rsidR="005B1787" w:rsidRPr="00FC2211" w:rsidRDefault="005B1787" w:rsidP="005B178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Amount</w:t>
            </w:r>
          </w:p>
        </w:tc>
      </w:tr>
      <w:tr w:rsidR="005B1787" w:rsidRPr="00FC2211" w14:paraId="51158517" w14:textId="77777777" w:rsidTr="005B1787">
        <w:trPr>
          <w:trHeight w:val="240"/>
          <w:jc w:val="center"/>
        </w:trPr>
        <w:tc>
          <w:tcPr>
            <w:tcW w:w="3828" w:type="dxa"/>
            <w:tcBorders>
              <w:top w:val="nil"/>
              <w:left w:val="nil"/>
              <w:bottom w:val="nil"/>
              <w:right w:val="nil"/>
            </w:tcBorders>
            <w:shd w:val="clear" w:color="000000" w:fill="FFFFFF"/>
            <w:noWrap/>
            <w:vAlign w:val="center"/>
            <w:hideMark/>
          </w:tcPr>
          <w:p w14:paraId="262B2345" w14:textId="77777777" w:rsidR="005B1787" w:rsidRPr="00FC2211" w:rsidRDefault="005B1787" w:rsidP="005B1787">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Balance, June 30, 2022</w:t>
            </w:r>
          </w:p>
        </w:tc>
        <w:tc>
          <w:tcPr>
            <w:tcW w:w="1701" w:type="dxa"/>
            <w:tcBorders>
              <w:top w:val="nil"/>
              <w:left w:val="nil"/>
              <w:bottom w:val="nil"/>
              <w:right w:val="nil"/>
            </w:tcBorders>
            <w:shd w:val="clear" w:color="000000" w:fill="FFFFFF"/>
            <w:noWrap/>
            <w:vAlign w:val="center"/>
            <w:hideMark/>
          </w:tcPr>
          <w:p w14:paraId="5FF4E582" w14:textId="623BF66F" w:rsidR="005B1787" w:rsidRPr="00FC2211" w:rsidRDefault="005B1787" w:rsidP="005B1787">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168,750 </w:t>
            </w:r>
          </w:p>
        </w:tc>
      </w:tr>
      <w:tr w:rsidR="005B1787" w:rsidRPr="00FC2211" w14:paraId="5D790F4B" w14:textId="77777777" w:rsidTr="005B1787">
        <w:trPr>
          <w:trHeight w:val="240"/>
          <w:jc w:val="center"/>
        </w:trPr>
        <w:tc>
          <w:tcPr>
            <w:tcW w:w="3828" w:type="dxa"/>
            <w:tcBorders>
              <w:top w:val="nil"/>
              <w:left w:val="nil"/>
              <w:bottom w:val="nil"/>
              <w:right w:val="nil"/>
            </w:tcBorders>
            <w:shd w:val="clear" w:color="000000" w:fill="FFFFFF"/>
            <w:noWrap/>
            <w:vAlign w:val="center"/>
            <w:hideMark/>
          </w:tcPr>
          <w:p w14:paraId="419FAD87" w14:textId="77777777" w:rsidR="005B1787" w:rsidRPr="00FC2211" w:rsidRDefault="005B1787" w:rsidP="005B1787">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Interest accrued</w:t>
            </w:r>
          </w:p>
        </w:tc>
        <w:tc>
          <w:tcPr>
            <w:tcW w:w="1701" w:type="dxa"/>
            <w:tcBorders>
              <w:top w:val="nil"/>
              <w:left w:val="nil"/>
              <w:bottom w:val="nil"/>
              <w:right w:val="nil"/>
            </w:tcBorders>
            <w:shd w:val="clear" w:color="000000" w:fill="FFFFFF"/>
            <w:noWrap/>
            <w:vAlign w:val="center"/>
            <w:hideMark/>
          </w:tcPr>
          <w:p w14:paraId="25D0FCA5" w14:textId="3169DDC3" w:rsidR="005B1787" w:rsidRPr="00FC2211" w:rsidRDefault="005B1787" w:rsidP="005B1787">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12,500 </w:t>
            </w:r>
          </w:p>
        </w:tc>
      </w:tr>
      <w:tr w:rsidR="005B1787" w:rsidRPr="00FC2211" w14:paraId="06A22DE7" w14:textId="77777777" w:rsidTr="005B1787">
        <w:trPr>
          <w:trHeight w:val="240"/>
          <w:jc w:val="center"/>
        </w:trPr>
        <w:tc>
          <w:tcPr>
            <w:tcW w:w="3828" w:type="dxa"/>
            <w:tcBorders>
              <w:top w:val="single" w:sz="4" w:space="0" w:color="auto"/>
              <w:left w:val="nil"/>
              <w:bottom w:val="single" w:sz="4" w:space="0" w:color="auto"/>
              <w:right w:val="nil"/>
            </w:tcBorders>
            <w:shd w:val="clear" w:color="000000" w:fill="FFFFFF"/>
            <w:noWrap/>
            <w:vAlign w:val="center"/>
            <w:hideMark/>
          </w:tcPr>
          <w:p w14:paraId="084CA9C9" w14:textId="77777777" w:rsidR="005B1787" w:rsidRPr="00FC2211" w:rsidRDefault="005B1787" w:rsidP="005B1787">
            <w:pPr>
              <w:ind w:firstLineChars="100" w:firstLine="200"/>
              <w:rPr>
                <w:rFonts w:ascii="Calibri" w:hAnsi="Calibri" w:cs="Calibri"/>
                <w:color w:val="000000"/>
                <w:szCs w:val="20"/>
                <w:lang w:val="en-CA" w:eastAsia="en-CA"/>
              </w:rPr>
            </w:pPr>
            <w:r w:rsidRPr="00FC2211">
              <w:rPr>
                <w:rFonts w:ascii="Calibri" w:hAnsi="Calibri" w:cs="Calibri"/>
                <w:color w:val="000000"/>
                <w:szCs w:val="20"/>
                <w:lang w:val="en-CA" w:eastAsia="en-CA"/>
              </w:rPr>
              <w:t>Balance, June 30, 2023</w:t>
            </w:r>
          </w:p>
        </w:tc>
        <w:tc>
          <w:tcPr>
            <w:tcW w:w="1701" w:type="dxa"/>
            <w:tcBorders>
              <w:top w:val="single" w:sz="4" w:space="0" w:color="auto"/>
              <w:left w:val="nil"/>
              <w:bottom w:val="single" w:sz="4" w:space="0" w:color="auto"/>
              <w:right w:val="nil"/>
            </w:tcBorders>
            <w:shd w:val="clear" w:color="000000" w:fill="FFFFFF"/>
            <w:noWrap/>
            <w:vAlign w:val="center"/>
            <w:hideMark/>
          </w:tcPr>
          <w:p w14:paraId="001A28F7" w14:textId="456D48B9" w:rsidR="005B1787" w:rsidRPr="00FC2211" w:rsidRDefault="005B1787" w:rsidP="005B1787">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181,250 </w:t>
            </w:r>
          </w:p>
        </w:tc>
      </w:tr>
      <w:tr w:rsidR="005B1787" w:rsidRPr="00FC2211" w14:paraId="55B3DDFC" w14:textId="77777777" w:rsidTr="005B1787">
        <w:trPr>
          <w:trHeight w:val="240"/>
          <w:jc w:val="center"/>
        </w:trPr>
        <w:tc>
          <w:tcPr>
            <w:tcW w:w="3828" w:type="dxa"/>
            <w:tcBorders>
              <w:top w:val="nil"/>
              <w:left w:val="nil"/>
              <w:bottom w:val="nil"/>
              <w:right w:val="nil"/>
            </w:tcBorders>
            <w:shd w:val="clear" w:color="000000" w:fill="FFFFFF"/>
            <w:noWrap/>
            <w:vAlign w:val="center"/>
            <w:hideMark/>
          </w:tcPr>
          <w:p w14:paraId="16C7A3CE" w14:textId="77777777" w:rsidR="005B1787" w:rsidRPr="00FC2211" w:rsidRDefault="005B1787" w:rsidP="005B1787">
            <w:pPr>
              <w:ind w:firstLineChars="100" w:firstLine="201"/>
              <w:rPr>
                <w:rFonts w:ascii="Calibri" w:hAnsi="Calibri" w:cs="Calibri"/>
                <w:b/>
                <w:bCs/>
                <w:color w:val="000000"/>
                <w:szCs w:val="20"/>
                <w:lang w:val="en-CA" w:eastAsia="en-CA"/>
              </w:rPr>
            </w:pPr>
            <w:r w:rsidRPr="00FC2211">
              <w:rPr>
                <w:rFonts w:ascii="Calibri" w:hAnsi="Calibri" w:cs="Calibri"/>
                <w:b/>
                <w:bCs/>
                <w:color w:val="000000"/>
                <w:szCs w:val="20"/>
                <w:lang w:val="en-CA" w:eastAsia="en-CA"/>
              </w:rPr>
              <w:t>Interest accrued</w:t>
            </w:r>
          </w:p>
        </w:tc>
        <w:tc>
          <w:tcPr>
            <w:tcW w:w="1701" w:type="dxa"/>
            <w:tcBorders>
              <w:top w:val="nil"/>
              <w:left w:val="nil"/>
              <w:bottom w:val="nil"/>
              <w:right w:val="nil"/>
            </w:tcBorders>
            <w:shd w:val="clear" w:color="000000" w:fill="FFFFFF"/>
            <w:noWrap/>
            <w:vAlign w:val="center"/>
            <w:hideMark/>
          </w:tcPr>
          <w:p w14:paraId="03E3D01F" w14:textId="43F9BF75" w:rsidR="005B1787" w:rsidRPr="00FC2211" w:rsidRDefault="005B1787" w:rsidP="005B178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3B35B0" w:rsidRPr="00FC2211">
              <w:rPr>
                <w:rFonts w:ascii="Calibri" w:hAnsi="Calibri" w:cs="Calibri"/>
                <w:b/>
                <w:bCs/>
                <w:color w:val="000000"/>
                <w:szCs w:val="20"/>
                <w:lang w:val="en-CA" w:eastAsia="en-CA"/>
              </w:rPr>
              <w:t>6,250</w:t>
            </w:r>
            <w:r w:rsidRPr="00FC2211">
              <w:rPr>
                <w:rFonts w:ascii="Calibri" w:hAnsi="Calibri" w:cs="Calibri"/>
                <w:b/>
                <w:bCs/>
                <w:color w:val="000000"/>
                <w:szCs w:val="20"/>
                <w:lang w:val="en-CA" w:eastAsia="en-CA"/>
              </w:rPr>
              <w:t xml:space="preserve"> </w:t>
            </w:r>
          </w:p>
        </w:tc>
      </w:tr>
      <w:tr w:rsidR="005B1787" w:rsidRPr="00FC2211" w14:paraId="2705EA48" w14:textId="77777777" w:rsidTr="005B1787">
        <w:trPr>
          <w:trHeight w:val="252"/>
          <w:jc w:val="center"/>
        </w:trPr>
        <w:tc>
          <w:tcPr>
            <w:tcW w:w="3828" w:type="dxa"/>
            <w:tcBorders>
              <w:top w:val="single" w:sz="4" w:space="0" w:color="auto"/>
              <w:left w:val="nil"/>
              <w:bottom w:val="single" w:sz="8" w:space="0" w:color="auto"/>
              <w:right w:val="nil"/>
            </w:tcBorders>
            <w:shd w:val="clear" w:color="000000" w:fill="FFFFFF"/>
            <w:noWrap/>
            <w:vAlign w:val="center"/>
            <w:hideMark/>
          </w:tcPr>
          <w:p w14:paraId="7057EEE3" w14:textId="1ED2F6C3" w:rsidR="005B1787" w:rsidRPr="00FC2211" w:rsidRDefault="005B1787" w:rsidP="005B1787">
            <w:pPr>
              <w:ind w:firstLineChars="100" w:firstLine="201"/>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Balance, </w:t>
            </w:r>
            <w:r w:rsidR="003B35B0" w:rsidRPr="00FC2211">
              <w:rPr>
                <w:rFonts w:ascii="Calibri" w:hAnsi="Calibri" w:cs="Calibri"/>
                <w:b/>
                <w:bCs/>
                <w:color w:val="000000"/>
                <w:szCs w:val="20"/>
                <w:lang w:val="en-CA" w:eastAsia="en-CA"/>
              </w:rPr>
              <w:t>December 31</w:t>
            </w:r>
            <w:r w:rsidRPr="00FC2211">
              <w:rPr>
                <w:rFonts w:ascii="Calibri" w:hAnsi="Calibri" w:cs="Calibri"/>
                <w:b/>
                <w:bCs/>
                <w:color w:val="000000"/>
                <w:szCs w:val="20"/>
                <w:lang w:val="en-CA" w:eastAsia="en-CA"/>
              </w:rPr>
              <w:t>, 2023</w:t>
            </w:r>
          </w:p>
        </w:tc>
        <w:tc>
          <w:tcPr>
            <w:tcW w:w="1701" w:type="dxa"/>
            <w:tcBorders>
              <w:top w:val="single" w:sz="4" w:space="0" w:color="auto"/>
              <w:left w:val="nil"/>
              <w:bottom w:val="single" w:sz="8" w:space="0" w:color="auto"/>
              <w:right w:val="nil"/>
            </w:tcBorders>
            <w:shd w:val="clear" w:color="000000" w:fill="FFFFFF"/>
            <w:noWrap/>
            <w:vAlign w:val="center"/>
            <w:hideMark/>
          </w:tcPr>
          <w:p w14:paraId="787476FE" w14:textId="1F97FB53" w:rsidR="005B1787" w:rsidRPr="00FC2211" w:rsidRDefault="005B1787" w:rsidP="005B178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18</w:t>
            </w:r>
            <w:r w:rsidR="003B35B0" w:rsidRPr="00FC2211">
              <w:rPr>
                <w:rFonts w:ascii="Calibri" w:hAnsi="Calibri" w:cs="Calibri"/>
                <w:b/>
                <w:bCs/>
                <w:color w:val="000000"/>
                <w:szCs w:val="20"/>
                <w:lang w:val="en-CA" w:eastAsia="en-CA"/>
              </w:rPr>
              <w:t>7,500</w:t>
            </w:r>
            <w:r w:rsidRPr="00FC2211">
              <w:rPr>
                <w:rFonts w:ascii="Calibri" w:hAnsi="Calibri" w:cs="Calibri"/>
                <w:b/>
                <w:bCs/>
                <w:color w:val="000000"/>
                <w:szCs w:val="20"/>
                <w:lang w:val="en-CA" w:eastAsia="en-CA"/>
              </w:rPr>
              <w:t xml:space="preserve"> </w:t>
            </w:r>
          </w:p>
        </w:tc>
      </w:tr>
    </w:tbl>
    <w:p w14:paraId="3D9A7545" w14:textId="77777777" w:rsidR="00B92AB3" w:rsidRPr="00FC2211" w:rsidRDefault="00B92AB3" w:rsidP="0069262F">
      <w:pPr>
        <w:pStyle w:val="NormalWeb"/>
        <w:jc w:val="both"/>
        <w:rPr>
          <w:rFonts w:eastAsia="Calibri" w:cstheme="minorHAnsi"/>
          <w:szCs w:val="20"/>
        </w:rPr>
      </w:pPr>
    </w:p>
    <w:p w14:paraId="1E7EDBB7" w14:textId="2CDF4412" w:rsidR="00A8366B" w:rsidRPr="00FC2211" w:rsidRDefault="00DD74B5" w:rsidP="00A8366B">
      <w:pPr>
        <w:pStyle w:val="Heading1"/>
        <w:rPr>
          <w:rFonts w:cstheme="minorHAnsi"/>
          <w:szCs w:val="20"/>
        </w:rPr>
      </w:pPr>
      <w:r w:rsidRPr="00FC2211">
        <w:rPr>
          <w:rFonts w:cstheme="minorHAnsi"/>
          <w:szCs w:val="20"/>
        </w:rPr>
        <w:t>1</w:t>
      </w:r>
      <w:r w:rsidR="00713E58" w:rsidRPr="00FC2211">
        <w:rPr>
          <w:rFonts w:cstheme="minorHAnsi"/>
          <w:szCs w:val="20"/>
        </w:rPr>
        <w:t>2</w:t>
      </w:r>
      <w:r w:rsidRPr="00FC2211">
        <w:rPr>
          <w:rFonts w:cstheme="minorHAnsi"/>
          <w:szCs w:val="20"/>
        </w:rPr>
        <w:t xml:space="preserve">.  </w:t>
      </w:r>
      <w:r w:rsidR="00713E58" w:rsidRPr="00FC2211">
        <w:rPr>
          <w:rFonts w:cstheme="minorHAnsi"/>
          <w:szCs w:val="20"/>
        </w:rPr>
        <w:t xml:space="preserve"> </w:t>
      </w:r>
      <w:r w:rsidRPr="00FC2211">
        <w:rPr>
          <w:rFonts w:cstheme="minorHAnsi"/>
          <w:szCs w:val="20"/>
        </w:rPr>
        <w:t>NOTE PAYABLE</w:t>
      </w:r>
    </w:p>
    <w:p w14:paraId="23FC737F" w14:textId="77777777" w:rsidR="00DD74B5" w:rsidRPr="00FC2211" w:rsidRDefault="00DD74B5" w:rsidP="00DD74B5">
      <w:pPr>
        <w:pStyle w:val="NormalCalibri"/>
        <w:spacing w:before="0" w:line="240" w:lineRule="auto"/>
        <w:ind w:left="360"/>
        <w:rPr>
          <w:rFonts w:asciiTheme="minorHAnsi" w:hAnsiTheme="minorHAnsi" w:cstheme="minorHAnsi"/>
          <w:iCs/>
          <w:sz w:val="20"/>
          <w:szCs w:val="20"/>
        </w:rPr>
      </w:pPr>
    </w:p>
    <w:p w14:paraId="25525886" w14:textId="18BB04AA" w:rsidR="00DD74B5" w:rsidRPr="00FC2211" w:rsidRDefault="00DD74B5" w:rsidP="00FB2CF6">
      <w:pPr>
        <w:pStyle w:val="NormalWeb"/>
        <w:ind w:left="357"/>
        <w:jc w:val="both"/>
        <w:rPr>
          <w:rFonts w:eastAsia="Calibri" w:cstheme="minorHAnsi"/>
          <w:szCs w:val="20"/>
        </w:rPr>
      </w:pPr>
      <w:r w:rsidRPr="00FC2211">
        <w:rPr>
          <w:rFonts w:eastAsia="Calibri" w:cstheme="minorHAnsi"/>
          <w:szCs w:val="20"/>
        </w:rPr>
        <w:t xml:space="preserve">On November 17, 2022, INEO received a $1,000,000 unsecured promissory note bearing an annual interest rate of 12.0% from </w:t>
      </w:r>
      <w:r w:rsidRPr="00FC2211">
        <w:rPr>
          <w:rFonts w:ascii="Calibri" w:eastAsia="Calibri" w:hAnsi="Calibri" w:cs="Calibri"/>
          <w:color w:val="000000" w:themeColor="text1"/>
        </w:rPr>
        <w:t>Pathfinder Asset Management Limited</w:t>
      </w:r>
      <w:r w:rsidRPr="00FC2211">
        <w:rPr>
          <w:rFonts w:eastAsia="Calibri" w:cstheme="minorHAnsi"/>
          <w:szCs w:val="20"/>
        </w:rPr>
        <w:t xml:space="preserve">. Repayment of this note is due November 17, 2025. In connection with the note, the Company issued 1,428,571 </w:t>
      </w:r>
      <w:r w:rsidR="00350B9F" w:rsidRPr="00FC2211">
        <w:rPr>
          <w:rFonts w:eastAsia="Calibri" w:cstheme="minorHAnsi"/>
          <w:szCs w:val="20"/>
        </w:rPr>
        <w:t xml:space="preserve">common </w:t>
      </w:r>
      <w:r w:rsidRPr="00FC2211">
        <w:rPr>
          <w:rFonts w:eastAsia="Calibri" w:cstheme="minorHAnsi"/>
          <w:szCs w:val="20"/>
        </w:rPr>
        <w:t xml:space="preserve">shares with a fair value of </w:t>
      </w:r>
      <w:r w:rsidR="000B471E" w:rsidRPr="00FC2211">
        <w:rPr>
          <w:rFonts w:eastAsia="Calibri" w:cstheme="minorHAnsi"/>
          <w:szCs w:val="20"/>
        </w:rPr>
        <w:t>$171,42</w:t>
      </w:r>
      <w:r w:rsidR="00365643" w:rsidRPr="00FC2211">
        <w:rPr>
          <w:rFonts w:eastAsia="Calibri" w:cstheme="minorHAnsi"/>
          <w:szCs w:val="20"/>
        </w:rPr>
        <w:t>8</w:t>
      </w:r>
      <w:r w:rsidRPr="00FC2211">
        <w:rPr>
          <w:rFonts w:eastAsia="Calibri" w:cstheme="minorHAnsi"/>
          <w:szCs w:val="20"/>
        </w:rPr>
        <w:t xml:space="preserve"> (Note </w:t>
      </w:r>
      <w:r w:rsidR="000B471E" w:rsidRPr="00FC2211">
        <w:rPr>
          <w:rFonts w:eastAsia="Calibri" w:cstheme="minorHAnsi"/>
          <w:szCs w:val="20"/>
        </w:rPr>
        <w:t>1</w:t>
      </w:r>
      <w:r w:rsidR="00365643" w:rsidRPr="00FC2211">
        <w:rPr>
          <w:rFonts w:eastAsia="Calibri" w:cstheme="minorHAnsi"/>
          <w:szCs w:val="20"/>
        </w:rPr>
        <w:t>5</w:t>
      </w:r>
      <w:r w:rsidRPr="00FC2211">
        <w:rPr>
          <w:rFonts w:eastAsia="Calibri" w:cstheme="minorHAnsi"/>
          <w:szCs w:val="20"/>
        </w:rPr>
        <w:t xml:space="preserve">). The shares issued were considered debt issuance </w:t>
      </w:r>
      <w:r w:rsidR="00B92AB3" w:rsidRPr="00FC2211">
        <w:rPr>
          <w:rFonts w:eastAsia="Calibri" w:cstheme="minorHAnsi"/>
          <w:szCs w:val="20"/>
        </w:rPr>
        <w:t>costs</w:t>
      </w:r>
      <w:r w:rsidRPr="00FC2211">
        <w:rPr>
          <w:rFonts w:eastAsia="Calibri" w:cstheme="minorHAnsi"/>
          <w:szCs w:val="20"/>
        </w:rPr>
        <w:t xml:space="preserve"> resulting </w:t>
      </w:r>
      <w:r w:rsidR="00B92AB3" w:rsidRPr="00FC2211">
        <w:rPr>
          <w:rFonts w:eastAsia="Calibri" w:cstheme="minorHAnsi"/>
          <w:szCs w:val="20"/>
        </w:rPr>
        <w:t>in</w:t>
      </w:r>
      <w:r w:rsidRPr="00FC2211">
        <w:rPr>
          <w:rFonts w:eastAsia="Calibri" w:cstheme="minorHAnsi"/>
          <w:szCs w:val="20"/>
        </w:rPr>
        <w:t xml:space="preserve"> a discount and amortized using the effective interest method over the credit term of three (3) years with an effective annual interest rate of </w:t>
      </w:r>
      <w:r w:rsidR="00AD55FA" w:rsidRPr="00FC2211">
        <w:rPr>
          <w:rFonts w:eastAsia="Calibri" w:cstheme="minorHAnsi"/>
          <w:szCs w:val="20"/>
        </w:rPr>
        <w:t>19.6</w:t>
      </w:r>
      <w:r w:rsidRPr="00FC2211">
        <w:rPr>
          <w:rFonts w:eastAsia="Calibri" w:cstheme="minorHAnsi"/>
          <w:szCs w:val="20"/>
        </w:rPr>
        <w:t xml:space="preserve">%. During the </w:t>
      </w:r>
      <w:r w:rsidR="003B35B0" w:rsidRPr="00FC2211">
        <w:rPr>
          <w:rFonts w:eastAsia="Calibri" w:cstheme="minorHAnsi"/>
          <w:szCs w:val="20"/>
        </w:rPr>
        <w:t>six months ended December 31, 2023</w:t>
      </w:r>
      <w:r w:rsidRPr="00FC2211">
        <w:rPr>
          <w:rFonts w:eastAsia="Calibri" w:cstheme="minorHAnsi"/>
          <w:szCs w:val="20"/>
        </w:rPr>
        <w:t>, the Company incurred $</w:t>
      </w:r>
      <w:r w:rsidR="00C523C5" w:rsidRPr="00FC2211">
        <w:rPr>
          <w:rFonts w:eastAsia="Calibri" w:cstheme="minorHAnsi"/>
          <w:szCs w:val="20"/>
        </w:rPr>
        <w:t>85,616</w:t>
      </w:r>
      <w:r w:rsidRPr="00FC2211">
        <w:rPr>
          <w:rFonts w:eastAsia="Calibri" w:cstheme="minorHAnsi"/>
          <w:szCs w:val="20"/>
        </w:rPr>
        <w:t xml:space="preserve"> in interest expense (</w:t>
      </w:r>
      <w:r w:rsidR="00C523C5" w:rsidRPr="00FC2211">
        <w:rPr>
          <w:rFonts w:eastAsia="Calibri" w:cstheme="minorHAnsi"/>
          <w:szCs w:val="20"/>
        </w:rPr>
        <w:t>December 31</w:t>
      </w:r>
      <w:r w:rsidRPr="00FC2211">
        <w:rPr>
          <w:rFonts w:eastAsia="Calibri" w:cstheme="minorHAnsi"/>
          <w:szCs w:val="20"/>
        </w:rPr>
        <w:t>, 2022 – $</w:t>
      </w:r>
      <w:r w:rsidR="00995C93" w:rsidRPr="00FC2211">
        <w:rPr>
          <w:rFonts w:eastAsia="Calibri" w:cstheme="minorHAnsi"/>
          <w:szCs w:val="20"/>
        </w:rPr>
        <w:t>20,159</w:t>
      </w:r>
      <w:r w:rsidRPr="00FC2211">
        <w:rPr>
          <w:rFonts w:eastAsia="Calibri" w:cstheme="minorHAnsi"/>
          <w:szCs w:val="20"/>
        </w:rPr>
        <w:t>).</w:t>
      </w:r>
      <w:r w:rsidR="00FB2CF6" w:rsidRPr="00FC2211">
        <w:rPr>
          <w:rFonts w:eastAsia="Calibri" w:cstheme="minorHAnsi"/>
          <w:szCs w:val="20"/>
        </w:rPr>
        <w:t xml:space="preserve"> </w:t>
      </w:r>
      <w:r w:rsidRPr="00FC2211">
        <w:rPr>
          <w:rFonts w:eastAsia="Calibri" w:cstheme="minorHAnsi"/>
          <w:szCs w:val="20"/>
        </w:rPr>
        <w:t>The reconciliation of opening and closing balances of note payable follows:</w:t>
      </w:r>
    </w:p>
    <w:p w14:paraId="631AC8D8" w14:textId="77777777" w:rsidR="00DD74B5" w:rsidRPr="00FC2211" w:rsidRDefault="00DD74B5" w:rsidP="00DD74B5">
      <w:pPr>
        <w:pStyle w:val="NormalWeb"/>
        <w:ind w:left="357"/>
        <w:rPr>
          <w:rFonts w:eastAsia="Calibri" w:cstheme="minorHAnsi"/>
          <w:szCs w:val="20"/>
        </w:rPr>
      </w:pPr>
    </w:p>
    <w:tbl>
      <w:tblPr>
        <w:tblW w:w="7565" w:type="dxa"/>
        <w:jc w:val="center"/>
        <w:tblLook w:val="04A0" w:firstRow="1" w:lastRow="0" w:firstColumn="1" w:lastColumn="0" w:noHBand="0" w:noVBand="1"/>
      </w:tblPr>
      <w:tblGrid>
        <w:gridCol w:w="3261"/>
        <w:gridCol w:w="1559"/>
        <w:gridCol w:w="1276"/>
        <w:gridCol w:w="1469"/>
      </w:tblGrid>
      <w:tr w:rsidR="0069262F" w:rsidRPr="00FC2211" w14:paraId="12FBFD47" w14:textId="77777777" w:rsidTr="00D17430">
        <w:trPr>
          <w:trHeight w:val="252"/>
          <w:jc w:val="center"/>
        </w:trPr>
        <w:tc>
          <w:tcPr>
            <w:tcW w:w="3261" w:type="dxa"/>
            <w:tcBorders>
              <w:top w:val="nil"/>
              <w:left w:val="nil"/>
              <w:bottom w:val="single" w:sz="4" w:space="0" w:color="auto"/>
              <w:right w:val="nil"/>
            </w:tcBorders>
            <w:shd w:val="clear" w:color="auto" w:fill="auto"/>
            <w:noWrap/>
            <w:vAlign w:val="bottom"/>
            <w:hideMark/>
          </w:tcPr>
          <w:p w14:paraId="465B0CDC" w14:textId="77777777" w:rsidR="0069262F" w:rsidRPr="00FC2211" w:rsidRDefault="0069262F" w:rsidP="0069262F">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559" w:type="dxa"/>
            <w:tcBorders>
              <w:top w:val="nil"/>
              <w:left w:val="nil"/>
              <w:bottom w:val="single" w:sz="4" w:space="0" w:color="auto"/>
              <w:right w:val="nil"/>
            </w:tcBorders>
            <w:shd w:val="clear" w:color="auto" w:fill="auto"/>
            <w:noWrap/>
            <w:vAlign w:val="bottom"/>
            <w:hideMark/>
          </w:tcPr>
          <w:p w14:paraId="2E092F90" w14:textId="77777777" w:rsidR="0069262F" w:rsidRPr="00FC2211" w:rsidRDefault="0069262F" w:rsidP="0069262F">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Note Payable</w:t>
            </w:r>
          </w:p>
        </w:tc>
        <w:tc>
          <w:tcPr>
            <w:tcW w:w="1276" w:type="dxa"/>
            <w:tcBorders>
              <w:top w:val="nil"/>
              <w:left w:val="nil"/>
              <w:bottom w:val="single" w:sz="4" w:space="0" w:color="auto"/>
              <w:right w:val="nil"/>
            </w:tcBorders>
            <w:shd w:val="clear" w:color="auto" w:fill="auto"/>
            <w:noWrap/>
            <w:vAlign w:val="bottom"/>
            <w:hideMark/>
          </w:tcPr>
          <w:p w14:paraId="31726069" w14:textId="77777777" w:rsidR="0069262F" w:rsidRPr="00FC2211" w:rsidRDefault="0069262F" w:rsidP="0069262F">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Accrued Interest</w:t>
            </w:r>
          </w:p>
        </w:tc>
        <w:tc>
          <w:tcPr>
            <w:tcW w:w="1469" w:type="dxa"/>
            <w:tcBorders>
              <w:top w:val="nil"/>
              <w:left w:val="nil"/>
              <w:bottom w:val="single" w:sz="4" w:space="0" w:color="auto"/>
              <w:right w:val="nil"/>
            </w:tcBorders>
            <w:shd w:val="clear" w:color="auto" w:fill="auto"/>
            <w:noWrap/>
            <w:vAlign w:val="bottom"/>
            <w:hideMark/>
          </w:tcPr>
          <w:p w14:paraId="0BE95F5C" w14:textId="77777777" w:rsidR="0069262F" w:rsidRPr="00FC2211" w:rsidRDefault="0069262F" w:rsidP="0069262F">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Total</w:t>
            </w:r>
          </w:p>
        </w:tc>
      </w:tr>
      <w:tr w:rsidR="0069262F" w:rsidRPr="00FC2211" w14:paraId="6EED9F35" w14:textId="77777777" w:rsidTr="00D17430">
        <w:trPr>
          <w:trHeight w:val="240"/>
          <w:jc w:val="center"/>
        </w:trPr>
        <w:tc>
          <w:tcPr>
            <w:tcW w:w="3261" w:type="dxa"/>
            <w:tcBorders>
              <w:top w:val="nil"/>
              <w:left w:val="nil"/>
              <w:bottom w:val="nil"/>
              <w:right w:val="nil"/>
            </w:tcBorders>
            <w:shd w:val="clear" w:color="auto" w:fill="auto"/>
            <w:noWrap/>
            <w:vAlign w:val="bottom"/>
            <w:hideMark/>
          </w:tcPr>
          <w:p w14:paraId="683050C0" w14:textId="77777777" w:rsidR="0069262F" w:rsidRPr="00FC2211" w:rsidRDefault="0069262F" w:rsidP="0069262F">
            <w:pPr>
              <w:rPr>
                <w:rFonts w:ascii="Calibri" w:hAnsi="Calibri" w:cs="Calibri"/>
                <w:color w:val="000000"/>
                <w:szCs w:val="20"/>
                <w:lang w:val="en-CA" w:eastAsia="en-CA"/>
              </w:rPr>
            </w:pPr>
            <w:r w:rsidRPr="00FC2211">
              <w:rPr>
                <w:rFonts w:ascii="Calibri" w:hAnsi="Calibri" w:cs="Calibri"/>
                <w:color w:val="000000"/>
                <w:szCs w:val="20"/>
                <w:lang w:val="en-CA" w:eastAsia="en-CA"/>
              </w:rPr>
              <w:t>Balance, June 30, 2022</w:t>
            </w:r>
          </w:p>
        </w:tc>
        <w:tc>
          <w:tcPr>
            <w:tcW w:w="1559" w:type="dxa"/>
            <w:tcBorders>
              <w:top w:val="nil"/>
              <w:left w:val="nil"/>
              <w:bottom w:val="nil"/>
              <w:right w:val="nil"/>
            </w:tcBorders>
            <w:shd w:val="clear" w:color="auto" w:fill="auto"/>
            <w:noWrap/>
            <w:vAlign w:val="bottom"/>
            <w:hideMark/>
          </w:tcPr>
          <w:p w14:paraId="2096CC4A" w14:textId="41335480" w:rsidR="0069262F" w:rsidRPr="00FC2211" w:rsidRDefault="0069262F" w:rsidP="00FB2CF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r w:rsidR="00FB2CF6" w:rsidRPr="00FC2211">
              <w:rPr>
                <w:rFonts w:ascii="Calibri" w:hAnsi="Calibri" w:cs="Calibri"/>
                <w:color w:val="000000"/>
                <w:szCs w:val="20"/>
                <w:lang w:val="en-CA" w:eastAsia="en-CA"/>
              </w:rPr>
              <w:t xml:space="preserve">  </w:t>
            </w:r>
            <w:r w:rsidRPr="00FC2211">
              <w:rPr>
                <w:rFonts w:ascii="Calibri" w:hAnsi="Calibri" w:cs="Calibri"/>
                <w:color w:val="000000"/>
                <w:szCs w:val="20"/>
                <w:lang w:val="en-CA" w:eastAsia="en-CA"/>
              </w:rPr>
              <w:t xml:space="preserve">            -   </w:t>
            </w:r>
          </w:p>
        </w:tc>
        <w:tc>
          <w:tcPr>
            <w:tcW w:w="1276" w:type="dxa"/>
            <w:tcBorders>
              <w:top w:val="nil"/>
              <w:left w:val="nil"/>
              <w:bottom w:val="nil"/>
              <w:right w:val="nil"/>
            </w:tcBorders>
            <w:shd w:val="clear" w:color="auto" w:fill="auto"/>
            <w:noWrap/>
            <w:vAlign w:val="bottom"/>
            <w:hideMark/>
          </w:tcPr>
          <w:p w14:paraId="5427F3FF" w14:textId="00377781" w:rsidR="0069262F" w:rsidRPr="00FC2211" w:rsidRDefault="0069262F" w:rsidP="00FB2CF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r w:rsidR="00FB2CF6" w:rsidRPr="00FC2211">
              <w:rPr>
                <w:rFonts w:ascii="Calibri" w:hAnsi="Calibri" w:cs="Calibri"/>
                <w:color w:val="000000"/>
                <w:szCs w:val="20"/>
                <w:lang w:val="en-CA" w:eastAsia="en-CA"/>
              </w:rPr>
              <w:t xml:space="preserve">  </w:t>
            </w:r>
            <w:r w:rsidRPr="00FC2211">
              <w:rPr>
                <w:rFonts w:ascii="Calibri" w:hAnsi="Calibri" w:cs="Calibri"/>
                <w:color w:val="000000"/>
                <w:szCs w:val="20"/>
                <w:lang w:val="en-CA" w:eastAsia="en-CA"/>
              </w:rPr>
              <w:t xml:space="preserve">        -   </w:t>
            </w:r>
          </w:p>
        </w:tc>
        <w:tc>
          <w:tcPr>
            <w:tcW w:w="1469" w:type="dxa"/>
            <w:tcBorders>
              <w:top w:val="nil"/>
              <w:left w:val="nil"/>
              <w:bottom w:val="nil"/>
              <w:right w:val="nil"/>
            </w:tcBorders>
            <w:shd w:val="clear" w:color="auto" w:fill="auto"/>
            <w:noWrap/>
            <w:vAlign w:val="bottom"/>
            <w:hideMark/>
          </w:tcPr>
          <w:p w14:paraId="1BC8518F" w14:textId="67547926" w:rsidR="0069262F" w:rsidRPr="00FC2211" w:rsidRDefault="0069262F" w:rsidP="00FB2CF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r w:rsidR="00FB2CF6" w:rsidRPr="00FC2211">
              <w:rPr>
                <w:rFonts w:ascii="Calibri" w:hAnsi="Calibri" w:cs="Calibri"/>
                <w:color w:val="000000"/>
                <w:szCs w:val="20"/>
                <w:lang w:val="en-CA" w:eastAsia="en-CA"/>
              </w:rPr>
              <w:t xml:space="preserve"> </w:t>
            </w:r>
            <w:r w:rsidRPr="00FC2211">
              <w:rPr>
                <w:rFonts w:ascii="Calibri" w:hAnsi="Calibri" w:cs="Calibri"/>
                <w:color w:val="000000"/>
                <w:szCs w:val="20"/>
                <w:lang w:val="en-CA" w:eastAsia="en-CA"/>
              </w:rPr>
              <w:t xml:space="preserve">  </w:t>
            </w:r>
            <w:r w:rsidR="00FB2CF6" w:rsidRPr="00FC2211">
              <w:rPr>
                <w:rFonts w:ascii="Calibri" w:hAnsi="Calibri" w:cs="Calibri"/>
                <w:color w:val="000000"/>
                <w:szCs w:val="20"/>
                <w:lang w:val="en-CA" w:eastAsia="en-CA"/>
              </w:rPr>
              <w:t xml:space="preserve">      </w:t>
            </w:r>
            <w:r w:rsidRPr="00FC2211">
              <w:rPr>
                <w:rFonts w:ascii="Calibri" w:hAnsi="Calibri" w:cs="Calibri"/>
                <w:color w:val="000000"/>
                <w:szCs w:val="20"/>
                <w:lang w:val="en-CA" w:eastAsia="en-CA"/>
              </w:rPr>
              <w:t xml:space="preserve">        -   </w:t>
            </w:r>
          </w:p>
        </w:tc>
      </w:tr>
      <w:tr w:rsidR="0069262F" w:rsidRPr="00FC2211" w14:paraId="5F0A0770" w14:textId="77777777" w:rsidTr="00D17430">
        <w:trPr>
          <w:trHeight w:val="240"/>
          <w:jc w:val="center"/>
        </w:trPr>
        <w:tc>
          <w:tcPr>
            <w:tcW w:w="3261" w:type="dxa"/>
            <w:tcBorders>
              <w:top w:val="nil"/>
              <w:left w:val="nil"/>
              <w:bottom w:val="nil"/>
              <w:right w:val="nil"/>
            </w:tcBorders>
            <w:shd w:val="clear" w:color="auto" w:fill="auto"/>
            <w:noWrap/>
            <w:vAlign w:val="bottom"/>
            <w:hideMark/>
          </w:tcPr>
          <w:p w14:paraId="2D01A04D" w14:textId="77777777" w:rsidR="0069262F" w:rsidRPr="00FC2211" w:rsidRDefault="0069262F" w:rsidP="0069262F">
            <w:pPr>
              <w:rPr>
                <w:rFonts w:ascii="Calibri" w:hAnsi="Calibri" w:cs="Calibri"/>
                <w:color w:val="000000"/>
                <w:szCs w:val="20"/>
                <w:lang w:val="en-CA" w:eastAsia="en-CA"/>
              </w:rPr>
            </w:pPr>
            <w:r w:rsidRPr="00FC2211">
              <w:rPr>
                <w:rFonts w:ascii="Calibri" w:hAnsi="Calibri" w:cs="Calibri"/>
                <w:color w:val="000000"/>
                <w:szCs w:val="20"/>
                <w:lang w:val="en-CA" w:eastAsia="en-CA"/>
              </w:rPr>
              <w:t>Proceeds</w:t>
            </w:r>
          </w:p>
        </w:tc>
        <w:tc>
          <w:tcPr>
            <w:tcW w:w="1559" w:type="dxa"/>
            <w:tcBorders>
              <w:top w:val="nil"/>
              <w:left w:val="nil"/>
              <w:bottom w:val="nil"/>
              <w:right w:val="nil"/>
            </w:tcBorders>
            <w:shd w:val="clear" w:color="auto" w:fill="auto"/>
            <w:noWrap/>
            <w:vAlign w:val="bottom"/>
            <w:hideMark/>
          </w:tcPr>
          <w:p w14:paraId="326F811E" w14:textId="693D7A5B" w:rsidR="0069262F" w:rsidRPr="00FC2211" w:rsidRDefault="0069262F" w:rsidP="00FB2CF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1,000,000 </w:t>
            </w:r>
          </w:p>
        </w:tc>
        <w:tc>
          <w:tcPr>
            <w:tcW w:w="1276" w:type="dxa"/>
            <w:tcBorders>
              <w:top w:val="nil"/>
              <w:left w:val="nil"/>
              <w:bottom w:val="nil"/>
              <w:right w:val="nil"/>
            </w:tcBorders>
            <w:shd w:val="clear" w:color="auto" w:fill="auto"/>
            <w:noWrap/>
            <w:vAlign w:val="bottom"/>
            <w:hideMark/>
          </w:tcPr>
          <w:p w14:paraId="7AB918E3" w14:textId="6AF0516C" w:rsidR="0069262F" w:rsidRPr="00FC2211" w:rsidRDefault="0069262F" w:rsidP="00FB2CF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469" w:type="dxa"/>
            <w:tcBorders>
              <w:top w:val="nil"/>
              <w:left w:val="nil"/>
              <w:bottom w:val="nil"/>
              <w:right w:val="nil"/>
            </w:tcBorders>
            <w:shd w:val="clear" w:color="auto" w:fill="auto"/>
            <w:noWrap/>
            <w:vAlign w:val="bottom"/>
            <w:hideMark/>
          </w:tcPr>
          <w:p w14:paraId="29FCB720" w14:textId="60D594F0" w:rsidR="0069262F" w:rsidRPr="00FC2211" w:rsidRDefault="0069262F" w:rsidP="00FB2CF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1,000,000 </w:t>
            </w:r>
          </w:p>
        </w:tc>
      </w:tr>
      <w:tr w:rsidR="0069262F" w:rsidRPr="00FC2211" w14:paraId="1C0A1C6D" w14:textId="77777777" w:rsidTr="00D17430">
        <w:trPr>
          <w:trHeight w:val="240"/>
          <w:jc w:val="center"/>
        </w:trPr>
        <w:tc>
          <w:tcPr>
            <w:tcW w:w="3261" w:type="dxa"/>
            <w:tcBorders>
              <w:top w:val="nil"/>
              <w:left w:val="nil"/>
              <w:bottom w:val="nil"/>
              <w:right w:val="nil"/>
            </w:tcBorders>
            <w:shd w:val="clear" w:color="auto" w:fill="auto"/>
            <w:noWrap/>
            <w:vAlign w:val="bottom"/>
            <w:hideMark/>
          </w:tcPr>
          <w:p w14:paraId="1ECC3219" w14:textId="77777777" w:rsidR="0069262F" w:rsidRPr="00FC2211" w:rsidRDefault="0069262F" w:rsidP="0069262F">
            <w:pPr>
              <w:rPr>
                <w:rFonts w:ascii="Calibri" w:hAnsi="Calibri" w:cs="Calibri"/>
                <w:color w:val="000000"/>
                <w:szCs w:val="20"/>
                <w:lang w:val="en-CA" w:eastAsia="en-CA"/>
              </w:rPr>
            </w:pPr>
            <w:r w:rsidRPr="00FC2211">
              <w:rPr>
                <w:rFonts w:ascii="Calibri" w:hAnsi="Calibri" w:cs="Calibri"/>
                <w:color w:val="000000"/>
                <w:szCs w:val="20"/>
                <w:lang w:val="en-CA" w:eastAsia="en-CA"/>
              </w:rPr>
              <w:t>Debt issuance cost</w:t>
            </w:r>
          </w:p>
        </w:tc>
        <w:tc>
          <w:tcPr>
            <w:tcW w:w="1559" w:type="dxa"/>
            <w:tcBorders>
              <w:top w:val="nil"/>
              <w:left w:val="nil"/>
              <w:bottom w:val="nil"/>
              <w:right w:val="nil"/>
            </w:tcBorders>
            <w:shd w:val="clear" w:color="auto" w:fill="auto"/>
            <w:noWrap/>
            <w:vAlign w:val="bottom"/>
            <w:hideMark/>
          </w:tcPr>
          <w:p w14:paraId="1AAABDD4" w14:textId="768BD650" w:rsidR="0069262F" w:rsidRPr="00FC2211" w:rsidRDefault="0069262F" w:rsidP="009549E1">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(171,428)</w:t>
            </w:r>
          </w:p>
        </w:tc>
        <w:tc>
          <w:tcPr>
            <w:tcW w:w="1276" w:type="dxa"/>
            <w:tcBorders>
              <w:top w:val="nil"/>
              <w:left w:val="nil"/>
              <w:bottom w:val="nil"/>
              <w:right w:val="nil"/>
            </w:tcBorders>
            <w:shd w:val="clear" w:color="auto" w:fill="auto"/>
            <w:noWrap/>
            <w:vAlign w:val="bottom"/>
            <w:hideMark/>
          </w:tcPr>
          <w:p w14:paraId="23413234" w14:textId="207099F8" w:rsidR="0069262F" w:rsidRPr="00FC2211" w:rsidRDefault="0069262F" w:rsidP="00FB2CF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469" w:type="dxa"/>
            <w:tcBorders>
              <w:top w:val="nil"/>
              <w:left w:val="nil"/>
              <w:bottom w:val="nil"/>
              <w:right w:val="nil"/>
            </w:tcBorders>
            <w:shd w:val="clear" w:color="auto" w:fill="auto"/>
            <w:noWrap/>
            <w:vAlign w:val="bottom"/>
            <w:hideMark/>
          </w:tcPr>
          <w:p w14:paraId="172FB39C" w14:textId="7CBF952C" w:rsidR="0069262F" w:rsidRPr="00FC2211" w:rsidRDefault="0069262F" w:rsidP="00091C33">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(171,428)</w:t>
            </w:r>
          </w:p>
        </w:tc>
      </w:tr>
      <w:tr w:rsidR="0069262F" w:rsidRPr="00FC2211" w14:paraId="27457098" w14:textId="77777777" w:rsidTr="00D17430">
        <w:trPr>
          <w:trHeight w:val="240"/>
          <w:jc w:val="center"/>
        </w:trPr>
        <w:tc>
          <w:tcPr>
            <w:tcW w:w="3261" w:type="dxa"/>
            <w:tcBorders>
              <w:top w:val="nil"/>
              <w:left w:val="nil"/>
              <w:bottom w:val="nil"/>
              <w:right w:val="nil"/>
            </w:tcBorders>
            <w:shd w:val="clear" w:color="auto" w:fill="auto"/>
            <w:noWrap/>
            <w:vAlign w:val="bottom"/>
            <w:hideMark/>
          </w:tcPr>
          <w:p w14:paraId="4AF13047" w14:textId="77777777" w:rsidR="0069262F" w:rsidRPr="00FC2211" w:rsidRDefault="0069262F" w:rsidP="0069262F">
            <w:pPr>
              <w:rPr>
                <w:rFonts w:ascii="Calibri" w:hAnsi="Calibri" w:cs="Calibri"/>
                <w:color w:val="000000"/>
                <w:szCs w:val="20"/>
                <w:lang w:val="en-CA" w:eastAsia="en-CA"/>
              </w:rPr>
            </w:pPr>
            <w:r w:rsidRPr="00FC2211">
              <w:rPr>
                <w:rFonts w:ascii="Calibri" w:hAnsi="Calibri" w:cs="Calibri"/>
                <w:color w:val="000000"/>
                <w:szCs w:val="20"/>
                <w:lang w:val="en-CA" w:eastAsia="en-CA"/>
              </w:rPr>
              <w:t>Interest Expense</w:t>
            </w:r>
          </w:p>
        </w:tc>
        <w:tc>
          <w:tcPr>
            <w:tcW w:w="1559" w:type="dxa"/>
            <w:tcBorders>
              <w:top w:val="nil"/>
              <w:left w:val="nil"/>
              <w:bottom w:val="nil"/>
              <w:right w:val="nil"/>
            </w:tcBorders>
            <w:shd w:val="clear" w:color="auto" w:fill="auto"/>
            <w:noWrap/>
            <w:vAlign w:val="bottom"/>
            <w:hideMark/>
          </w:tcPr>
          <w:p w14:paraId="21D5F3DA" w14:textId="6DA9B26C" w:rsidR="0069262F" w:rsidRPr="00FC2211" w:rsidRDefault="0069262F" w:rsidP="00FB2CF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27,540 </w:t>
            </w:r>
          </w:p>
        </w:tc>
        <w:tc>
          <w:tcPr>
            <w:tcW w:w="1276" w:type="dxa"/>
            <w:tcBorders>
              <w:top w:val="nil"/>
              <w:left w:val="nil"/>
              <w:bottom w:val="nil"/>
              <w:right w:val="nil"/>
            </w:tcBorders>
            <w:shd w:val="clear" w:color="auto" w:fill="auto"/>
            <w:noWrap/>
            <w:vAlign w:val="bottom"/>
            <w:hideMark/>
          </w:tcPr>
          <w:p w14:paraId="27F8C6CB" w14:textId="1ACF7904" w:rsidR="0069262F" w:rsidRPr="00FC2211" w:rsidRDefault="0069262F" w:rsidP="00FB2CF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73,973 </w:t>
            </w:r>
          </w:p>
        </w:tc>
        <w:tc>
          <w:tcPr>
            <w:tcW w:w="1469" w:type="dxa"/>
            <w:tcBorders>
              <w:top w:val="nil"/>
              <w:left w:val="nil"/>
              <w:bottom w:val="nil"/>
              <w:right w:val="nil"/>
            </w:tcBorders>
            <w:shd w:val="clear" w:color="auto" w:fill="auto"/>
            <w:noWrap/>
            <w:vAlign w:val="bottom"/>
            <w:hideMark/>
          </w:tcPr>
          <w:p w14:paraId="0DEF0FFF" w14:textId="5CCABEF4" w:rsidR="0069262F" w:rsidRPr="00FC2211" w:rsidRDefault="0069262F" w:rsidP="00FB2CF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101,513 </w:t>
            </w:r>
          </w:p>
        </w:tc>
      </w:tr>
      <w:tr w:rsidR="0069262F" w:rsidRPr="00FC2211" w14:paraId="57866887" w14:textId="77777777" w:rsidTr="00D17430">
        <w:trPr>
          <w:trHeight w:val="252"/>
          <w:jc w:val="center"/>
        </w:trPr>
        <w:tc>
          <w:tcPr>
            <w:tcW w:w="3261" w:type="dxa"/>
            <w:tcBorders>
              <w:top w:val="nil"/>
              <w:left w:val="nil"/>
              <w:bottom w:val="nil"/>
              <w:right w:val="nil"/>
            </w:tcBorders>
            <w:shd w:val="clear" w:color="auto" w:fill="auto"/>
            <w:noWrap/>
            <w:vAlign w:val="bottom"/>
            <w:hideMark/>
          </w:tcPr>
          <w:p w14:paraId="2DFD5195" w14:textId="77777777" w:rsidR="0069262F" w:rsidRPr="00FC2211" w:rsidRDefault="0069262F" w:rsidP="0069262F">
            <w:pPr>
              <w:rPr>
                <w:rFonts w:ascii="Calibri" w:hAnsi="Calibri" w:cs="Calibri"/>
                <w:color w:val="000000"/>
                <w:szCs w:val="20"/>
                <w:lang w:val="en-CA" w:eastAsia="en-CA"/>
              </w:rPr>
            </w:pPr>
            <w:r w:rsidRPr="00FC2211">
              <w:rPr>
                <w:rFonts w:ascii="Calibri" w:hAnsi="Calibri" w:cs="Calibri"/>
                <w:color w:val="000000"/>
                <w:szCs w:val="20"/>
                <w:lang w:val="en-CA" w:eastAsia="en-CA"/>
              </w:rPr>
              <w:t>Interest paid</w:t>
            </w:r>
          </w:p>
        </w:tc>
        <w:tc>
          <w:tcPr>
            <w:tcW w:w="1559" w:type="dxa"/>
            <w:tcBorders>
              <w:top w:val="nil"/>
              <w:left w:val="nil"/>
              <w:bottom w:val="nil"/>
              <w:right w:val="nil"/>
            </w:tcBorders>
            <w:shd w:val="clear" w:color="auto" w:fill="auto"/>
            <w:noWrap/>
            <w:vAlign w:val="bottom"/>
            <w:hideMark/>
          </w:tcPr>
          <w:p w14:paraId="6A2F9D37" w14:textId="222EC0B6" w:rsidR="0069262F" w:rsidRPr="00FC2211" w:rsidRDefault="0069262F" w:rsidP="00FB2CF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276" w:type="dxa"/>
            <w:tcBorders>
              <w:top w:val="nil"/>
              <w:left w:val="nil"/>
              <w:bottom w:val="nil"/>
              <w:right w:val="nil"/>
            </w:tcBorders>
            <w:shd w:val="clear" w:color="auto" w:fill="auto"/>
            <w:noWrap/>
            <w:vAlign w:val="bottom"/>
            <w:hideMark/>
          </w:tcPr>
          <w:p w14:paraId="3FAF29E3" w14:textId="24625197" w:rsidR="0069262F" w:rsidRPr="00FC2211" w:rsidRDefault="0069262F" w:rsidP="00091C33">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(60,000)</w:t>
            </w:r>
          </w:p>
        </w:tc>
        <w:tc>
          <w:tcPr>
            <w:tcW w:w="1469" w:type="dxa"/>
            <w:tcBorders>
              <w:top w:val="nil"/>
              <w:left w:val="nil"/>
              <w:bottom w:val="nil"/>
              <w:right w:val="nil"/>
            </w:tcBorders>
            <w:shd w:val="clear" w:color="auto" w:fill="auto"/>
            <w:noWrap/>
            <w:vAlign w:val="bottom"/>
            <w:hideMark/>
          </w:tcPr>
          <w:p w14:paraId="3DE6BA50" w14:textId="690C8E26" w:rsidR="0069262F" w:rsidRPr="00FC2211" w:rsidRDefault="0069262F" w:rsidP="00091C33">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(60,000)</w:t>
            </w:r>
          </w:p>
        </w:tc>
      </w:tr>
      <w:tr w:rsidR="0069262F" w:rsidRPr="00FC2211" w14:paraId="23D76854" w14:textId="77777777" w:rsidTr="00D17430">
        <w:trPr>
          <w:trHeight w:val="240"/>
          <w:jc w:val="center"/>
        </w:trPr>
        <w:tc>
          <w:tcPr>
            <w:tcW w:w="3261" w:type="dxa"/>
            <w:tcBorders>
              <w:top w:val="single" w:sz="4" w:space="0" w:color="auto"/>
              <w:left w:val="nil"/>
              <w:bottom w:val="single" w:sz="4" w:space="0" w:color="auto"/>
              <w:right w:val="nil"/>
            </w:tcBorders>
            <w:shd w:val="clear" w:color="auto" w:fill="auto"/>
            <w:noWrap/>
            <w:vAlign w:val="bottom"/>
            <w:hideMark/>
          </w:tcPr>
          <w:p w14:paraId="5A64D83C" w14:textId="77777777" w:rsidR="0069262F" w:rsidRPr="00FC2211" w:rsidRDefault="0069262F" w:rsidP="0069262F">
            <w:pPr>
              <w:rPr>
                <w:rFonts w:ascii="Calibri" w:hAnsi="Calibri" w:cs="Calibri"/>
                <w:color w:val="000000"/>
                <w:szCs w:val="20"/>
                <w:lang w:val="en-CA" w:eastAsia="en-CA"/>
              </w:rPr>
            </w:pPr>
            <w:r w:rsidRPr="00FC2211">
              <w:rPr>
                <w:rFonts w:ascii="Calibri" w:hAnsi="Calibri" w:cs="Calibri"/>
                <w:color w:val="000000"/>
                <w:szCs w:val="20"/>
                <w:lang w:val="en-CA" w:eastAsia="en-CA"/>
              </w:rPr>
              <w:t>Balance, June 30, 2023</w:t>
            </w:r>
          </w:p>
        </w:tc>
        <w:tc>
          <w:tcPr>
            <w:tcW w:w="1559" w:type="dxa"/>
            <w:tcBorders>
              <w:top w:val="single" w:sz="4" w:space="0" w:color="auto"/>
              <w:left w:val="nil"/>
              <w:bottom w:val="single" w:sz="4" w:space="0" w:color="auto"/>
              <w:right w:val="nil"/>
            </w:tcBorders>
            <w:shd w:val="clear" w:color="auto" w:fill="auto"/>
            <w:noWrap/>
            <w:vAlign w:val="bottom"/>
            <w:hideMark/>
          </w:tcPr>
          <w:p w14:paraId="69C863CA" w14:textId="06F355C4" w:rsidR="0069262F" w:rsidRPr="00FC2211" w:rsidRDefault="0069262F" w:rsidP="00FB2CF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856,112 </w:t>
            </w:r>
          </w:p>
        </w:tc>
        <w:tc>
          <w:tcPr>
            <w:tcW w:w="1276" w:type="dxa"/>
            <w:tcBorders>
              <w:top w:val="single" w:sz="4" w:space="0" w:color="auto"/>
              <w:left w:val="nil"/>
              <w:bottom w:val="single" w:sz="4" w:space="0" w:color="auto"/>
              <w:right w:val="nil"/>
            </w:tcBorders>
            <w:shd w:val="clear" w:color="auto" w:fill="auto"/>
            <w:noWrap/>
            <w:vAlign w:val="bottom"/>
            <w:hideMark/>
          </w:tcPr>
          <w:p w14:paraId="47A92F19" w14:textId="4B2877DD" w:rsidR="0069262F" w:rsidRPr="00FC2211" w:rsidRDefault="0069262F" w:rsidP="00FB2CF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13,973 </w:t>
            </w:r>
          </w:p>
        </w:tc>
        <w:tc>
          <w:tcPr>
            <w:tcW w:w="1469" w:type="dxa"/>
            <w:tcBorders>
              <w:top w:val="single" w:sz="4" w:space="0" w:color="auto"/>
              <w:left w:val="nil"/>
              <w:bottom w:val="single" w:sz="4" w:space="0" w:color="auto"/>
              <w:right w:val="nil"/>
            </w:tcBorders>
            <w:shd w:val="clear" w:color="auto" w:fill="auto"/>
            <w:noWrap/>
            <w:vAlign w:val="bottom"/>
            <w:hideMark/>
          </w:tcPr>
          <w:p w14:paraId="4080AF71" w14:textId="21B63D25" w:rsidR="0069262F" w:rsidRPr="00FC2211" w:rsidRDefault="0069262F" w:rsidP="00FB2CF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870,085 </w:t>
            </w:r>
          </w:p>
        </w:tc>
      </w:tr>
      <w:tr w:rsidR="0069262F" w:rsidRPr="00FC2211" w14:paraId="7E84994A" w14:textId="77777777" w:rsidTr="00D17430">
        <w:trPr>
          <w:trHeight w:val="252"/>
          <w:jc w:val="center"/>
        </w:trPr>
        <w:tc>
          <w:tcPr>
            <w:tcW w:w="3261" w:type="dxa"/>
            <w:tcBorders>
              <w:top w:val="nil"/>
              <w:left w:val="nil"/>
              <w:bottom w:val="nil"/>
              <w:right w:val="nil"/>
            </w:tcBorders>
            <w:shd w:val="clear" w:color="auto" w:fill="auto"/>
            <w:noWrap/>
            <w:vAlign w:val="bottom"/>
            <w:hideMark/>
          </w:tcPr>
          <w:p w14:paraId="19CA3609" w14:textId="77777777" w:rsidR="0069262F" w:rsidRPr="00FC2211" w:rsidRDefault="0069262F" w:rsidP="0069262F">
            <w:pPr>
              <w:rPr>
                <w:rFonts w:ascii="Calibri" w:hAnsi="Calibri" w:cs="Calibri"/>
                <w:color w:val="000000"/>
                <w:szCs w:val="20"/>
                <w:lang w:val="en-CA" w:eastAsia="en-CA"/>
              </w:rPr>
            </w:pPr>
            <w:r w:rsidRPr="00FC2211">
              <w:rPr>
                <w:rFonts w:ascii="Calibri" w:hAnsi="Calibri" w:cs="Calibri"/>
                <w:color w:val="000000"/>
                <w:szCs w:val="20"/>
                <w:lang w:val="en-CA" w:eastAsia="en-CA"/>
              </w:rPr>
              <w:t>Interest Expense</w:t>
            </w:r>
          </w:p>
        </w:tc>
        <w:tc>
          <w:tcPr>
            <w:tcW w:w="1559" w:type="dxa"/>
            <w:tcBorders>
              <w:top w:val="nil"/>
              <w:left w:val="nil"/>
              <w:bottom w:val="nil"/>
              <w:right w:val="nil"/>
            </w:tcBorders>
            <w:shd w:val="clear" w:color="auto" w:fill="auto"/>
            <w:noWrap/>
            <w:vAlign w:val="bottom"/>
            <w:hideMark/>
          </w:tcPr>
          <w:p w14:paraId="7D87B0BC" w14:textId="3C3C9ED1" w:rsidR="0069262F" w:rsidRPr="00FC2211" w:rsidRDefault="0069262F" w:rsidP="00FB2CF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BA7C32" w:rsidRPr="00FC2211">
              <w:rPr>
                <w:rFonts w:ascii="Calibri" w:hAnsi="Calibri" w:cs="Calibri"/>
                <w:color w:val="000000"/>
                <w:szCs w:val="20"/>
                <w:lang w:val="en-CA" w:eastAsia="en-CA"/>
              </w:rPr>
              <w:t>25</w:t>
            </w:r>
            <w:r w:rsidRPr="00FC2211">
              <w:rPr>
                <w:rFonts w:ascii="Calibri" w:hAnsi="Calibri" w:cs="Calibri"/>
                <w:color w:val="000000"/>
                <w:szCs w:val="20"/>
                <w:lang w:val="en-CA" w:eastAsia="en-CA"/>
              </w:rPr>
              <w:t>,</w:t>
            </w:r>
            <w:r w:rsidR="00BA7C32" w:rsidRPr="00FC2211">
              <w:rPr>
                <w:rFonts w:ascii="Calibri" w:hAnsi="Calibri" w:cs="Calibri"/>
                <w:color w:val="000000"/>
                <w:szCs w:val="20"/>
                <w:lang w:val="en-CA" w:eastAsia="en-CA"/>
              </w:rPr>
              <w:t>123</w:t>
            </w:r>
            <w:r w:rsidRPr="00FC2211">
              <w:rPr>
                <w:rFonts w:ascii="Calibri" w:hAnsi="Calibri" w:cs="Calibri"/>
                <w:color w:val="000000"/>
                <w:szCs w:val="20"/>
                <w:lang w:val="en-CA" w:eastAsia="en-CA"/>
              </w:rPr>
              <w:t xml:space="preserve"> </w:t>
            </w:r>
          </w:p>
        </w:tc>
        <w:tc>
          <w:tcPr>
            <w:tcW w:w="1276" w:type="dxa"/>
            <w:tcBorders>
              <w:top w:val="nil"/>
              <w:left w:val="nil"/>
              <w:bottom w:val="nil"/>
              <w:right w:val="nil"/>
            </w:tcBorders>
            <w:shd w:val="clear" w:color="auto" w:fill="auto"/>
            <w:noWrap/>
            <w:vAlign w:val="bottom"/>
            <w:hideMark/>
          </w:tcPr>
          <w:p w14:paraId="599428B6" w14:textId="4A61DEB3" w:rsidR="0069262F" w:rsidRPr="00FC2211" w:rsidRDefault="0069262F" w:rsidP="00FB2CF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BA7C32" w:rsidRPr="00FC2211">
              <w:rPr>
                <w:rFonts w:ascii="Calibri" w:hAnsi="Calibri" w:cs="Calibri"/>
                <w:color w:val="000000"/>
                <w:szCs w:val="20"/>
                <w:lang w:val="en-CA" w:eastAsia="en-CA"/>
              </w:rPr>
              <w:t>60,493</w:t>
            </w:r>
            <w:r w:rsidRPr="00FC2211">
              <w:rPr>
                <w:rFonts w:ascii="Calibri" w:hAnsi="Calibri" w:cs="Calibri"/>
                <w:color w:val="000000"/>
                <w:szCs w:val="20"/>
                <w:lang w:val="en-CA" w:eastAsia="en-CA"/>
              </w:rPr>
              <w:t xml:space="preserve"> </w:t>
            </w:r>
          </w:p>
        </w:tc>
        <w:tc>
          <w:tcPr>
            <w:tcW w:w="1469" w:type="dxa"/>
            <w:tcBorders>
              <w:top w:val="nil"/>
              <w:left w:val="nil"/>
              <w:bottom w:val="nil"/>
              <w:right w:val="nil"/>
            </w:tcBorders>
            <w:shd w:val="clear" w:color="auto" w:fill="auto"/>
            <w:noWrap/>
            <w:vAlign w:val="bottom"/>
            <w:hideMark/>
          </w:tcPr>
          <w:p w14:paraId="23EAB73E" w14:textId="30DB710E" w:rsidR="0069262F" w:rsidRPr="00FC2211" w:rsidRDefault="0069262F" w:rsidP="00FB2CF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BA7C32" w:rsidRPr="00FC2211">
              <w:rPr>
                <w:rFonts w:ascii="Calibri" w:hAnsi="Calibri" w:cs="Calibri"/>
                <w:color w:val="000000"/>
                <w:szCs w:val="20"/>
                <w:lang w:val="en-CA" w:eastAsia="en-CA"/>
              </w:rPr>
              <w:t>85,616</w:t>
            </w:r>
            <w:r w:rsidRPr="00FC2211">
              <w:rPr>
                <w:rFonts w:ascii="Calibri" w:hAnsi="Calibri" w:cs="Calibri"/>
                <w:color w:val="000000"/>
                <w:szCs w:val="20"/>
                <w:lang w:val="en-CA" w:eastAsia="en-CA"/>
              </w:rPr>
              <w:t xml:space="preserve"> </w:t>
            </w:r>
          </w:p>
        </w:tc>
      </w:tr>
      <w:tr w:rsidR="0069262F" w:rsidRPr="00FC2211" w14:paraId="6C52EEE2" w14:textId="77777777" w:rsidTr="00D17430">
        <w:trPr>
          <w:trHeight w:val="252"/>
          <w:jc w:val="center"/>
        </w:trPr>
        <w:tc>
          <w:tcPr>
            <w:tcW w:w="3261" w:type="dxa"/>
            <w:tcBorders>
              <w:top w:val="single" w:sz="8" w:space="0" w:color="auto"/>
              <w:left w:val="nil"/>
              <w:bottom w:val="single" w:sz="8" w:space="0" w:color="auto"/>
              <w:right w:val="nil"/>
            </w:tcBorders>
            <w:shd w:val="clear" w:color="auto" w:fill="auto"/>
            <w:noWrap/>
            <w:vAlign w:val="bottom"/>
            <w:hideMark/>
          </w:tcPr>
          <w:p w14:paraId="3FF9AEEF" w14:textId="3C826065" w:rsidR="0069262F" w:rsidRPr="00FC2211" w:rsidRDefault="0069262F" w:rsidP="0069262F">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Balance, </w:t>
            </w:r>
            <w:r w:rsidR="008C1031" w:rsidRPr="00FC2211">
              <w:rPr>
                <w:rFonts w:ascii="Calibri" w:hAnsi="Calibri" w:cs="Calibri"/>
                <w:b/>
                <w:bCs/>
                <w:color w:val="000000"/>
                <w:szCs w:val="20"/>
                <w:lang w:val="en-CA" w:eastAsia="en-CA"/>
              </w:rPr>
              <w:t>December 31</w:t>
            </w:r>
            <w:r w:rsidRPr="00FC2211">
              <w:rPr>
                <w:rFonts w:ascii="Calibri" w:hAnsi="Calibri" w:cs="Calibri"/>
                <w:b/>
                <w:bCs/>
                <w:color w:val="000000"/>
                <w:szCs w:val="20"/>
                <w:lang w:val="en-CA" w:eastAsia="en-CA"/>
              </w:rPr>
              <w:t>, 2023</w:t>
            </w:r>
          </w:p>
        </w:tc>
        <w:tc>
          <w:tcPr>
            <w:tcW w:w="1559" w:type="dxa"/>
            <w:tcBorders>
              <w:top w:val="single" w:sz="8" w:space="0" w:color="auto"/>
              <w:left w:val="nil"/>
              <w:bottom w:val="single" w:sz="8" w:space="0" w:color="auto"/>
              <w:right w:val="nil"/>
            </w:tcBorders>
            <w:shd w:val="clear" w:color="auto" w:fill="auto"/>
            <w:noWrap/>
            <w:vAlign w:val="bottom"/>
            <w:hideMark/>
          </w:tcPr>
          <w:p w14:paraId="68B8D4D3" w14:textId="0A87B052" w:rsidR="0069262F" w:rsidRPr="00FC2211" w:rsidRDefault="0069262F" w:rsidP="00FB2CF6">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8</w:t>
            </w:r>
            <w:r w:rsidR="00BA7C32" w:rsidRPr="00FC2211">
              <w:rPr>
                <w:rFonts w:ascii="Calibri" w:hAnsi="Calibri" w:cs="Calibri"/>
                <w:b/>
                <w:bCs/>
                <w:color w:val="000000"/>
                <w:szCs w:val="20"/>
                <w:lang w:val="en-CA" w:eastAsia="en-CA"/>
              </w:rPr>
              <w:t>81,235</w:t>
            </w:r>
            <w:r w:rsidRPr="00FC2211">
              <w:rPr>
                <w:rFonts w:ascii="Calibri" w:hAnsi="Calibri" w:cs="Calibri"/>
                <w:b/>
                <w:bCs/>
                <w:color w:val="000000"/>
                <w:szCs w:val="20"/>
                <w:lang w:val="en-CA" w:eastAsia="en-CA"/>
              </w:rPr>
              <w:t xml:space="preserve"> </w:t>
            </w:r>
          </w:p>
        </w:tc>
        <w:tc>
          <w:tcPr>
            <w:tcW w:w="1276" w:type="dxa"/>
            <w:tcBorders>
              <w:top w:val="single" w:sz="8" w:space="0" w:color="auto"/>
              <w:left w:val="nil"/>
              <w:bottom w:val="single" w:sz="8" w:space="0" w:color="auto"/>
              <w:right w:val="nil"/>
            </w:tcBorders>
            <w:shd w:val="clear" w:color="auto" w:fill="auto"/>
            <w:noWrap/>
            <w:vAlign w:val="bottom"/>
            <w:hideMark/>
          </w:tcPr>
          <w:p w14:paraId="15C97FDE" w14:textId="08E40E3A" w:rsidR="0069262F" w:rsidRPr="00FC2211" w:rsidRDefault="0069262F" w:rsidP="00FB2CF6">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BA7C32" w:rsidRPr="00FC2211">
              <w:rPr>
                <w:rFonts w:ascii="Calibri" w:hAnsi="Calibri" w:cs="Calibri"/>
                <w:b/>
                <w:bCs/>
                <w:color w:val="000000"/>
                <w:szCs w:val="20"/>
                <w:lang w:val="en-CA" w:eastAsia="en-CA"/>
              </w:rPr>
              <w:t>74,466</w:t>
            </w:r>
            <w:r w:rsidRPr="00FC2211">
              <w:rPr>
                <w:rFonts w:ascii="Calibri" w:hAnsi="Calibri" w:cs="Calibri"/>
                <w:b/>
                <w:bCs/>
                <w:color w:val="000000"/>
                <w:szCs w:val="20"/>
                <w:lang w:val="en-CA" w:eastAsia="en-CA"/>
              </w:rPr>
              <w:t xml:space="preserve"> </w:t>
            </w:r>
          </w:p>
        </w:tc>
        <w:tc>
          <w:tcPr>
            <w:tcW w:w="1469" w:type="dxa"/>
            <w:tcBorders>
              <w:top w:val="single" w:sz="8" w:space="0" w:color="auto"/>
              <w:left w:val="nil"/>
              <w:bottom w:val="single" w:sz="8" w:space="0" w:color="auto"/>
              <w:right w:val="nil"/>
            </w:tcBorders>
            <w:shd w:val="clear" w:color="auto" w:fill="auto"/>
            <w:noWrap/>
            <w:vAlign w:val="bottom"/>
            <w:hideMark/>
          </w:tcPr>
          <w:p w14:paraId="6E3B19A0" w14:textId="52091FDB" w:rsidR="0069262F" w:rsidRPr="00FC2211" w:rsidRDefault="0069262F" w:rsidP="00FB2CF6">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9</w:t>
            </w:r>
            <w:r w:rsidR="00BA7C32" w:rsidRPr="00FC2211">
              <w:rPr>
                <w:rFonts w:ascii="Calibri" w:hAnsi="Calibri" w:cs="Calibri"/>
                <w:b/>
                <w:bCs/>
                <w:color w:val="000000"/>
                <w:szCs w:val="20"/>
                <w:lang w:val="en-CA" w:eastAsia="en-CA"/>
              </w:rPr>
              <w:t>55,701</w:t>
            </w:r>
            <w:r w:rsidRPr="00FC2211">
              <w:rPr>
                <w:rFonts w:ascii="Calibri" w:hAnsi="Calibri" w:cs="Calibri"/>
                <w:b/>
                <w:bCs/>
                <w:color w:val="000000"/>
                <w:szCs w:val="20"/>
                <w:lang w:val="en-CA" w:eastAsia="en-CA"/>
              </w:rPr>
              <w:t xml:space="preserve"> </w:t>
            </w:r>
          </w:p>
        </w:tc>
      </w:tr>
    </w:tbl>
    <w:p w14:paraId="2BC77449" w14:textId="63C94F37" w:rsidR="00FB2CF6" w:rsidRPr="00FC2211" w:rsidRDefault="00FB2CF6" w:rsidP="002B36BD">
      <w:pPr>
        <w:tabs>
          <w:tab w:val="left" w:pos="357"/>
        </w:tabs>
        <w:rPr>
          <w:rFonts w:cstheme="minorHAnsi"/>
          <w:szCs w:val="20"/>
        </w:rPr>
      </w:pPr>
      <w:r w:rsidRPr="00FC2211">
        <w:rPr>
          <w:rFonts w:cstheme="minorHAnsi"/>
          <w:szCs w:val="20"/>
        </w:rPr>
        <w:br w:type="page"/>
      </w:r>
    </w:p>
    <w:p w14:paraId="08CAB4C7" w14:textId="33E2B322" w:rsidR="00A8366B" w:rsidRPr="00FC2211" w:rsidRDefault="00A8366B" w:rsidP="00F307BC">
      <w:pPr>
        <w:pStyle w:val="Heading1"/>
        <w:rPr>
          <w:rFonts w:cstheme="minorHAnsi"/>
          <w:szCs w:val="20"/>
        </w:rPr>
      </w:pPr>
      <w:r w:rsidRPr="00FC2211">
        <w:rPr>
          <w:rFonts w:cstheme="minorHAnsi"/>
          <w:szCs w:val="20"/>
        </w:rPr>
        <w:lastRenderedPageBreak/>
        <w:t>13.   BANK LOAN</w:t>
      </w:r>
      <w:r w:rsidR="00B93FBC" w:rsidRPr="00FC2211">
        <w:rPr>
          <w:rFonts w:cstheme="minorHAnsi"/>
          <w:szCs w:val="20"/>
        </w:rPr>
        <w:t xml:space="preserve"> PAYABLE</w:t>
      </w:r>
    </w:p>
    <w:p w14:paraId="0452DAA4" w14:textId="77777777" w:rsidR="0074654D" w:rsidRPr="00FC2211" w:rsidRDefault="0074654D" w:rsidP="0074654D"/>
    <w:p w14:paraId="367A8BD0" w14:textId="48949F48" w:rsidR="0074654D" w:rsidRPr="00FC2211" w:rsidRDefault="0074654D" w:rsidP="0074654D">
      <w:pPr>
        <w:ind w:left="426"/>
        <w:rPr>
          <w:rFonts w:eastAsia="Calibri" w:cstheme="minorHAnsi"/>
          <w:szCs w:val="20"/>
        </w:rPr>
      </w:pPr>
      <w:r w:rsidRPr="00FC2211">
        <w:rPr>
          <w:rFonts w:eastAsia="Calibri" w:cstheme="minorHAnsi"/>
          <w:szCs w:val="20"/>
        </w:rPr>
        <w:t xml:space="preserve">On </w:t>
      </w:r>
      <w:r w:rsidR="005C2695" w:rsidRPr="00FC2211">
        <w:rPr>
          <w:rFonts w:eastAsia="Calibri" w:cstheme="minorHAnsi"/>
          <w:szCs w:val="20"/>
        </w:rPr>
        <w:t>September</w:t>
      </w:r>
      <w:r w:rsidRPr="00FC2211">
        <w:rPr>
          <w:rFonts w:eastAsia="Calibri" w:cstheme="minorHAnsi"/>
          <w:szCs w:val="20"/>
        </w:rPr>
        <w:t xml:space="preserve"> </w:t>
      </w:r>
      <w:r w:rsidR="005C2695" w:rsidRPr="00FC2211">
        <w:rPr>
          <w:rFonts w:eastAsia="Calibri" w:cstheme="minorHAnsi"/>
          <w:szCs w:val="20"/>
        </w:rPr>
        <w:t>14</w:t>
      </w:r>
      <w:r w:rsidRPr="00FC2211">
        <w:rPr>
          <w:rFonts w:eastAsia="Calibri" w:cstheme="minorHAnsi"/>
          <w:szCs w:val="20"/>
        </w:rPr>
        <w:t>, 202</w:t>
      </w:r>
      <w:r w:rsidR="005C2695" w:rsidRPr="00FC2211">
        <w:rPr>
          <w:rFonts w:eastAsia="Calibri" w:cstheme="minorHAnsi"/>
          <w:szCs w:val="20"/>
        </w:rPr>
        <w:t>3</w:t>
      </w:r>
      <w:r w:rsidRPr="00FC2211">
        <w:rPr>
          <w:rFonts w:eastAsia="Calibri" w:cstheme="minorHAnsi"/>
          <w:szCs w:val="20"/>
        </w:rPr>
        <w:t xml:space="preserve">, </w:t>
      </w:r>
      <w:r w:rsidR="00880866" w:rsidRPr="00FC2211">
        <w:rPr>
          <w:rFonts w:eastAsia="Calibri" w:cstheme="minorHAnsi"/>
          <w:szCs w:val="20"/>
        </w:rPr>
        <w:t xml:space="preserve">the Company </w:t>
      </w:r>
      <w:r w:rsidR="00F84200" w:rsidRPr="00FC2211">
        <w:rPr>
          <w:rFonts w:eastAsia="Calibri" w:cstheme="minorHAnsi"/>
          <w:szCs w:val="20"/>
        </w:rPr>
        <w:t>received</w:t>
      </w:r>
      <w:r w:rsidR="00880866" w:rsidRPr="00FC2211">
        <w:rPr>
          <w:rFonts w:eastAsia="Calibri" w:cstheme="minorHAnsi"/>
          <w:szCs w:val="20"/>
        </w:rPr>
        <w:t xml:space="preserve"> </w:t>
      </w:r>
      <w:r w:rsidR="0039161E" w:rsidRPr="00FC2211">
        <w:rPr>
          <w:rFonts w:eastAsia="Calibri" w:cstheme="minorHAnsi"/>
          <w:szCs w:val="20"/>
        </w:rPr>
        <w:t xml:space="preserve">a </w:t>
      </w:r>
      <w:r w:rsidRPr="00FC2211">
        <w:rPr>
          <w:rFonts w:eastAsia="Calibri" w:cstheme="minorHAnsi"/>
          <w:szCs w:val="20"/>
        </w:rPr>
        <w:t xml:space="preserve">secured </w:t>
      </w:r>
      <w:r w:rsidR="00482471" w:rsidRPr="00FC2211">
        <w:rPr>
          <w:rFonts w:eastAsia="Calibri" w:cstheme="minorHAnsi"/>
          <w:szCs w:val="20"/>
        </w:rPr>
        <w:t xml:space="preserve">bank </w:t>
      </w:r>
      <w:r w:rsidR="00D70384" w:rsidRPr="00FC2211">
        <w:rPr>
          <w:rFonts w:eastAsia="Calibri" w:cstheme="minorHAnsi"/>
          <w:szCs w:val="20"/>
        </w:rPr>
        <w:t>loan</w:t>
      </w:r>
      <w:r w:rsidRPr="00FC2211">
        <w:rPr>
          <w:rFonts w:eastAsia="Calibri" w:cstheme="minorHAnsi"/>
          <w:szCs w:val="20"/>
        </w:rPr>
        <w:t xml:space="preserve"> </w:t>
      </w:r>
      <w:r w:rsidR="0039161E" w:rsidRPr="00FC2211">
        <w:rPr>
          <w:rFonts w:eastAsia="Calibri" w:cstheme="minorHAnsi"/>
          <w:szCs w:val="20"/>
        </w:rPr>
        <w:t>amounting to $350,000</w:t>
      </w:r>
      <w:r w:rsidR="00F84200" w:rsidRPr="00FC2211">
        <w:rPr>
          <w:rFonts w:eastAsia="Calibri" w:cstheme="minorHAnsi"/>
          <w:szCs w:val="20"/>
        </w:rPr>
        <w:t xml:space="preserve"> from </w:t>
      </w:r>
      <w:r w:rsidR="00F7064C" w:rsidRPr="00FC2211">
        <w:rPr>
          <w:rFonts w:eastAsia="Calibri" w:cstheme="minorHAnsi"/>
          <w:szCs w:val="20"/>
        </w:rPr>
        <w:t xml:space="preserve">the </w:t>
      </w:r>
      <w:r w:rsidR="00F84200" w:rsidRPr="00FC2211">
        <w:rPr>
          <w:rFonts w:eastAsia="Calibri" w:cstheme="minorHAnsi"/>
          <w:szCs w:val="20"/>
        </w:rPr>
        <w:t>Business Development Bank of Canada (BDC)</w:t>
      </w:r>
      <w:r w:rsidR="00A06FD1" w:rsidRPr="00FC2211">
        <w:rPr>
          <w:rFonts w:eastAsia="Calibri" w:cstheme="minorHAnsi"/>
          <w:szCs w:val="20"/>
        </w:rPr>
        <w:t>. The</w:t>
      </w:r>
      <w:r w:rsidR="00534DB0" w:rsidRPr="00FC2211">
        <w:rPr>
          <w:rFonts w:eastAsia="Calibri" w:cstheme="minorHAnsi"/>
          <w:szCs w:val="20"/>
        </w:rPr>
        <w:t xml:space="preserve"> loan is payable in </w:t>
      </w:r>
      <w:r w:rsidR="00DF3899" w:rsidRPr="00FC2211">
        <w:rPr>
          <w:rFonts w:eastAsia="Calibri" w:cstheme="minorHAnsi"/>
          <w:szCs w:val="20"/>
        </w:rPr>
        <w:t>72</w:t>
      </w:r>
      <w:r w:rsidR="00365643" w:rsidRPr="00FC2211">
        <w:rPr>
          <w:rFonts w:eastAsia="Calibri" w:cstheme="minorHAnsi"/>
          <w:szCs w:val="20"/>
        </w:rPr>
        <w:t xml:space="preserve"> equal</w:t>
      </w:r>
      <w:r w:rsidR="00DF3899" w:rsidRPr="00FC2211">
        <w:rPr>
          <w:rFonts w:eastAsia="Calibri" w:cstheme="minorHAnsi"/>
          <w:szCs w:val="20"/>
        </w:rPr>
        <w:t xml:space="preserve"> monthly installments</w:t>
      </w:r>
      <w:r w:rsidR="005C355E" w:rsidRPr="00FC2211">
        <w:rPr>
          <w:rFonts w:eastAsia="Calibri" w:cstheme="minorHAnsi"/>
          <w:szCs w:val="20"/>
        </w:rPr>
        <w:t xml:space="preserve"> starting July 31, 2024</w:t>
      </w:r>
      <w:r w:rsidR="00F7064C" w:rsidRPr="00FC2211">
        <w:rPr>
          <w:rFonts w:eastAsia="Calibri" w:cstheme="minorHAnsi"/>
          <w:szCs w:val="20"/>
        </w:rPr>
        <w:t>,</w:t>
      </w:r>
      <w:r w:rsidR="005C355E" w:rsidRPr="00FC2211">
        <w:rPr>
          <w:rFonts w:eastAsia="Calibri" w:cstheme="minorHAnsi"/>
          <w:szCs w:val="20"/>
        </w:rPr>
        <w:t xml:space="preserve"> to June 30, 2030</w:t>
      </w:r>
      <w:r w:rsidR="005A23E4" w:rsidRPr="00FC2211">
        <w:rPr>
          <w:rFonts w:eastAsia="Calibri" w:cstheme="minorHAnsi"/>
          <w:szCs w:val="20"/>
        </w:rPr>
        <w:t xml:space="preserve">. The interest </w:t>
      </w:r>
      <w:r w:rsidR="004A1B12" w:rsidRPr="00FC2211">
        <w:rPr>
          <w:rFonts w:eastAsia="Calibri" w:cstheme="minorHAnsi"/>
          <w:szCs w:val="20"/>
        </w:rPr>
        <w:t>on the loan is equivalent to</w:t>
      </w:r>
      <w:r w:rsidR="005A23E4" w:rsidRPr="00FC2211">
        <w:rPr>
          <w:rFonts w:eastAsia="Calibri" w:cstheme="minorHAnsi"/>
          <w:szCs w:val="20"/>
        </w:rPr>
        <w:t xml:space="preserve"> BDC’s </w:t>
      </w:r>
      <w:r w:rsidR="00F045C9" w:rsidRPr="00FC2211">
        <w:rPr>
          <w:rFonts w:eastAsia="Calibri" w:cstheme="minorHAnsi"/>
          <w:szCs w:val="20"/>
        </w:rPr>
        <w:t xml:space="preserve">Floating Base Rate plus a variance of 7.50% per year. During the </w:t>
      </w:r>
      <w:r w:rsidR="00CC3AAA" w:rsidRPr="00FC2211">
        <w:rPr>
          <w:rFonts w:eastAsia="Calibri" w:cstheme="minorHAnsi"/>
          <w:szCs w:val="20"/>
        </w:rPr>
        <w:t>six</w:t>
      </w:r>
      <w:r w:rsidR="00F045C9" w:rsidRPr="00FC2211">
        <w:rPr>
          <w:rFonts w:eastAsia="Calibri" w:cstheme="minorHAnsi"/>
          <w:szCs w:val="20"/>
        </w:rPr>
        <w:t xml:space="preserve"> months ended </w:t>
      </w:r>
      <w:r w:rsidR="00CC3AAA" w:rsidRPr="00FC2211">
        <w:rPr>
          <w:rFonts w:eastAsia="Calibri" w:cstheme="minorHAnsi"/>
          <w:szCs w:val="20"/>
        </w:rPr>
        <w:t>December 31</w:t>
      </w:r>
      <w:r w:rsidR="00F045C9" w:rsidRPr="00FC2211">
        <w:rPr>
          <w:rFonts w:eastAsia="Calibri" w:cstheme="minorHAnsi"/>
          <w:szCs w:val="20"/>
        </w:rPr>
        <w:t xml:space="preserve">, 2023, the BDC’s </w:t>
      </w:r>
      <w:r w:rsidR="00B31843" w:rsidRPr="00FC2211">
        <w:rPr>
          <w:rFonts w:eastAsia="Calibri" w:cstheme="minorHAnsi"/>
          <w:szCs w:val="20"/>
        </w:rPr>
        <w:t>Flo</w:t>
      </w:r>
      <w:r w:rsidR="001315E9" w:rsidRPr="00FC2211">
        <w:rPr>
          <w:rFonts w:eastAsia="Calibri" w:cstheme="minorHAnsi"/>
          <w:szCs w:val="20"/>
        </w:rPr>
        <w:t xml:space="preserve">ating Base rate is </w:t>
      </w:r>
      <w:r w:rsidR="002E7DC7" w:rsidRPr="00FC2211">
        <w:rPr>
          <w:rFonts w:eastAsia="Calibri" w:cstheme="minorHAnsi"/>
          <w:szCs w:val="20"/>
        </w:rPr>
        <w:t>at 9.3%</w:t>
      </w:r>
      <w:r w:rsidR="00B07F68" w:rsidRPr="00FC2211">
        <w:rPr>
          <w:rFonts w:eastAsia="Calibri" w:cstheme="minorHAnsi"/>
          <w:szCs w:val="20"/>
        </w:rPr>
        <w:t xml:space="preserve"> and the Company incurred</w:t>
      </w:r>
      <w:r w:rsidR="00BC688B" w:rsidRPr="00FC2211">
        <w:rPr>
          <w:rFonts w:eastAsia="Calibri" w:cstheme="minorHAnsi"/>
          <w:szCs w:val="20"/>
        </w:rPr>
        <w:t xml:space="preserve"> $</w:t>
      </w:r>
      <w:r w:rsidR="00F7064C" w:rsidRPr="00FC2211">
        <w:rPr>
          <w:rFonts w:eastAsia="Calibri" w:cstheme="minorHAnsi"/>
          <w:szCs w:val="20"/>
        </w:rPr>
        <w:t>17,237</w:t>
      </w:r>
      <w:r w:rsidR="00B07F68" w:rsidRPr="00FC2211">
        <w:rPr>
          <w:rFonts w:eastAsia="Calibri" w:cstheme="minorHAnsi"/>
          <w:szCs w:val="20"/>
        </w:rPr>
        <w:t xml:space="preserve"> </w:t>
      </w:r>
      <w:r w:rsidR="00BC688B" w:rsidRPr="00FC2211">
        <w:rPr>
          <w:rFonts w:eastAsia="Calibri" w:cstheme="minorHAnsi"/>
          <w:szCs w:val="20"/>
        </w:rPr>
        <w:t xml:space="preserve">in </w:t>
      </w:r>
      <w:r w:rsidR="00B07F68" w:rsidRPr="00FC2211">
        <w:rPr>
          <w:rFonts w:eastAsia="Calibri" w:cstheme="minorHAnsi"/>
          <w:szCs w:val="20"/>
        </w:rPr>
        <w:t>interest</w:t>
      </w:r>
      <w:r w:rsidR="00BC688B" w:rsidRPr="00FC2211">
        <w:rPr>
          <w:rFonts w:eastAsia="Calibri" w:cstheme="minorHAnsi"/>
          <w:szCs w:val="20"/>
        </w:rPr>
        <w:t xml:space="preserve"> expense</w:t>
      </w:r>
      <w:r w:rsidR="00AB54C2" w:rsidRPr="00FC2211">
        <w:rPr>
          <w:rFonts w:eastAsia="Calibri" w:cstheme="minorHAnsi"/>
          <w:szCs w:val="20"/>
        </w:rPr>
        <w:t xml:space="preserve"> (</w:t>
      </w:r>
      <w:r w:rsidR="00F7064C" w:rsidRPr="00FC2211">
        <w:rPr>
          <w:rFonts w:eastAsia="Calibri" w:cstheme="minorHAnsi"/>
          <w:szCs w:val="20"/>
        </w:rPr>
        <w:t>December 31, 2022</w:t>
      </w:r>
      <w:r w:rsidR="00AB54C2" w:rsidRPr="00FC2211">
        <w:rPr>
          <w:rFonts w:eastAsia="Calibri" w:cstheme="minorHAnsi"/>
          <w:szCs w:val="20"/>
        </w:rPr>
        <w:t xml:space="preserve"> - $Nil)</w:t>
      </w:r>
      <w:r w:rsidR="00BC688B" w:rsidRPr="00FC2211">
        <w:rPr>
          <w:rFonts w:eastAsia="Calibri" w:cstheme="minorHAnsi"/>
          <w:szCs w:val="20"/>
        </w:rPr>
        <w:t xml:space="preserve">. The reconciliation of </w:t>
      </w:r>
      <w:r w:rsidR="00F7064C" w:rsidRPr="00FC2211">
        <w:rPr>
          <w:rFonts w:eastAsia="Calibri" w:cstheme="minorHAnsi"/>
          <w:szCs w:val="20"/>
        </w:rPr>
        <w:t xml:space="preserve">the </w:t>
      </w:r>
      <w:r w:rsidR="00BC688B" w:rsidRPr="00FC2211">
        <w:rPr>
          <w:rFonts w:eastAsia="Calibri" w:cstheme="minorHAnsi"/>
          <w:szCs w:val="20"/>
        </w:rPr>
        <w:t xml:space="preserve">opening and closing balances of </w:t>
      </w:r>
      <w:r w:rsidR="00F7064C" w:rsidRPr="00FC2211">
        <w:rPr>
          <w:rFonts w:eastAsia="Calibri" w:cstheme="minorHAnsi"/>
          <w:szCs w:val="20"/>
        </w:rPr>
        <w:t xml:space="preserve">the </w:t>
      </w:r>
      <w:r w:rsidR="00BC688B" w:rsidRPr="00FC2211">
        <w:rPr>
          <w:rFonts w:eastAsia="Calibri" w:cstheme="minorHAnsi"/>
          <w:szCs w:val="20"/>
        </w:rPr>
        <w:t>bank loan follows:</w:t>
      </w:r>
    </w:p>
    <w:tbl>
      <w:tblPr>
        <w:tblW w:w="7326" w:type="dxa"/>
        <w:jc w:val="center"/>
        <w:tblLook w:val="04A0" w:firstRow="1" w:lastRow="0" w:firstColumn="1" w:lastColumn="0" w:noHBand="0" w:noVBand="1"/>
      </w:tblPr>
      <w:tblGrid>
        <w:gridCol w:w="3119"/>
        <w:gridCol w:w="1372"/>
        <w:gridCol w:w="1417"/>
        <w:gridCol w:w="1418"/>
      </w:tblGrid>
      <w:tr w:rsidR="00F60EA6" w:rsidRPr="00FC2211" w14:paraId="4004BFEF" w14:textId="77777777" w:rsidTr="00F60EA6">
        <w:trPr>
          <w:trHeight w:val="252"/>
          <w:jc w:val="center"/>
        </w:trPr>
        <w:tc>
          <w:tcPr>
            <w:tcW w:w="3119" w:type="dxa"/>
            <w:tcBorders>
              <w:top w:val="nil"/>
              <w:left w:val="nil"/>
              <w:bottom w:val="single" w:sz="8" w:space="0" w:color="auto"/>
              <w:right w:val="nil"/>
            </w:tcBorders>
            <w:shd w:val="clear" w:color="auto" w:fill="auto"/>
            <w:noWrap/>
            <w:vAlign w:val="bottom"/>
            <w:hideMark/>
          </w:tcPr>
          <w:p w14:paraId="0C2523CD" w14:textId="77777777" w:rsidR="00F60EA6" w:rsidRPr="00FC2211" w:rsidRDefault="00F60EA6" w:rsidP="00F60EA6">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372" w:type="dxa"/>
            <w:tcBorders>
              <w:top w:val="nil"/>
              <w:left w:val="nil"/>
              <w:bottom w:val="single" w:sz="8" w:space="0" w:color="auto"/>
              <w:right w:val="nil"/>
            </w:tcBorders>
            <w:shd w:val="clear" w:color="auto" w:fill="auto"/>
            <w:noWrap/>
            <w:vAlign w:val="bottom"/>
            <w:hideMark/>
          </w:tcPr>
          <w:p w14:paraId="07DB27F9" w14:textId="77777777" w:rsidR="00F60EA6" w:rsidRPr="00FC2211" w:rsidRDefault="00F60EA6" w:rsidP="00F60EA6">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Principal</w:t>
            </w:r>
          </w:p>
        </w:tc>
        <w:tc>
          <w:tcPr>
            <w:tcW w:w="1417" w:type="dxa"/>
            <w:tcBorders>
              <w:top w:val="nil"/>
              <w:left w:val="nil"/>
              <w:bottom w:val="single" w:sz="8" w:space="0" w:color="auto"/>
              <w:right w:val="nil"/>
            </w:tcBorders>
            <w:shd w:val="clear" w:color="auto" w:fill="auto"/>
            <w:noWrap/>
            <w:vAlign w:val="bottom"/>
            <w:hideMark/>
          </w:tcPr>
          <w:p w14:paraId="7D992D48" w14:textId="77777777" w:rsidR="00F60EA6" w:rsidRPr="00FC2211" w:rsidRDefault="00F60EA6" w:rsidP="00F60EA6">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Interest</w:t>
            </w:r>
          </w:p>
        </w:tc>
        <w:tc>
          <w:tcPr>
            <w:tcW w:w="1418" w:type="dxa"/>
            <w:tcBorders>
              <w:top w:val="nil"/>
              <w:left w:val="nil"/>
              <w:bottom w:val="single" w:sz="8" w:space="0" w:color="auto"/>
              <w:right w:val="nil"/>
            </w:tcBorders>
            <w:shd w:val="clear" w:color="auto" w:fill="auto"/>
            <w:noWrap/>
            <w:vAlign w:val="bottom"/>
            <w:hideMark/>
          </w:tcPr>
          <w:p w14:paraId="786B1B57" w14:textId="77777777" w:rsidR="00F60EA6" w:rsidRPr="00FC2211" w:rsidRDefault="00F60EA6" w:rsidP="00F60EA6">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Total</w:t>
            </w:r>
          </w:p>
        </w:tc>
      </w:tr>
      <w:tr w:rsidR="00F60EA6" w:rsidRPr="00FC2211" w14:paraId="3EC7A305" w14:textId="77777777" w:rsidTr="00F60EA6">
        <w:trPr>
          <w:trHeight w:val="240"/>
          <w:jc w:val="center"/>
        </w:trPr>
        <w:tc>
          <w:tcPr>
            <w:tcW w:w="3119" w:type="dxa"/>
            <w:tcBorders>
              <w:top w:val="nil"/>
              <w:left w:val="nil"/>
              <w:bottom w:val="nil"/>
              <w:right w:val="nil"/>
            </w:tcBorders>
            <w:shd w:val="clear" w:color="auto" w:fill="auto"/>
            <w:noWrap/>
            <w:vAlign w:val="bottom"/>
            <w:hideMark/>
          </w:tcPr>
          <w:p w14:paraId="1143F9E3" w14:textId="77777777" w:rsidR="00F60EA6" w:rsidRPr="00FC2211" w:rsidRDefault="00F60EA6" w:rsidP="00F60EA6">
            <w:pPr>
              <w:rPr>
                <w:rFonts w:ascii="Calibri" w:hAnsi="Calibri" w:cs="Calibri"/>
                <w:color w:val="000000"/>
                <w:szCs w:val="20"/>
                <w:lang w:val="en-CA" w:eastAsia="en-CA"/>
              </w:rPr>
            </w:pPr>
            <w:r w:rsidRPr="00FC2211">
              <w:rPr>
                <w:rFonts w:ascii="Calibri" w:hAnsi="Calibri" w:cs="Calibri"/>
                <w:color w:val="000000"/>
                <w:szCs w:val="20"/>
                <w:lang w:val="en-CA" w:eastAsia="en-CA"/>
              </w:rPr>
              <w:t>Balance, June 30, 2023 and 2022</w:t>
            </w:r>
          </w:p>
        </w:tc>
        <w:tc>
          <w:tcPr>
            <w:tcW w:w="1372" w:type="dxa"/>
            <w:tcBorders>
              <w:top w:val="nil"/>
              <w:left w:val="nil"/>
              <w:bottom w:val="nil"/>
              <w:right w:val="nil"/>
            </w:tcBorders>
            <w:shd w:val="clear" w:color="auto" w:fill="auto"/>
            <w:noWrap/>
            <w:vAlign w:val="bottom"/>
            <w:hideMark/>
          </w:tcPr>
          <w:p w14:paraId="77D62692" w14:textId="13D53487" w:rsidR="00F60EA6" w:rsidRPr="00FC2211" w:rsidRDefault="00F60EA6" w:rsidP="00F60EA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   </w:t>
            </w:r>
          </w:p>
        </w:tc>
        <w:tc>
          <w:tcPr>
            <w:tcW w:w="1417" w:type="dxa"/>
            <w:tcBorders>
              <w:top w:val="nil"/>
              <w:left w:val="nil"/>
              <w:bottom w:val="nil"/>
              <w:right w:val="nil"/>
            </w:tcBorders>
            <w:shd w:val="clear" w:color="auto" w:fill="auto"/>
            <w:noWrap/>
            <w:vAlign w:val="bottom"/>
            <w:hideMark/>
          </w:tcPr>
          <w:p w14:paraId="6D929636" w14:textId="5371A7BB" w:rsidR="00F60EA6" w:rsidRPr="00FC2211" w:rsidRDefault="00F60EA6" w:rsidP="00F60EA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   </w:t>
            </w:r>
          </w:p>
        </w:tc>
        <w:tc>
          <w:tcPr>
            <w:tcW w:w="1418" w:type="dxa"/>
            <w:tcBorders>
              <w:top w:val="nil"/>
              <w:left w:val="nil"/>
              <w:bottom w:val="nil"/>
              <w:right w:val="nil"/>
            </w:tcBorders>
            <w:shd w:val="clear" w:color="auto" w:fill="auto"/>
            <w:noWrap/>
            <w:vAlign w:val="bottom"/>
            <w:hideMark/>
          </w:tcPr>
          <w:p w14:paraId="2B999A77" w14:textId="64C3537A" w:rsidR="00F60EA6" w:rsidRPr="00FC2211" w:rsidRDefault="00F60EA6" w:rsidP="00F60EA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   </w:t>
            </w:r>
          </w:p>
        </w:tc>
      </w:tr>
      <w:tr w:rsidR="00F60EA6" w:rsidRPr="00FC2211" w14:paraId="7D14164F" w14:textId="77777777" w:rsidTr="00F60EA6">
        <w:trPr>
          <w:trHeight w:val="240"/>
          <w:jc w:val="center"/>
        </w:trPr>
        <w:tc>
          <w:tcPr>
            <w:tcW w:w="3119" w:type="dxa"/>
            <w:tcBorders>
              <w:top w:val="nil"/>
              <w:left w:val="nil"/>
              <w:bottom w:val="nil"/>
              <w:right w:val="nil"/>
            </w:tcBorders>
            <w:shd w:val="clear" w:color="auto" w:fill="auto"/>
            <w:noWrap/>
            <w:vAlign w:val="bottom"/>
            <w:hideMark/>
          </w:tcPr>
          <w:p w14:paraId="0BC5BDDA" w14:textId="77777777" w:rsidR="00F60EA6" w:rsidRPr="00FC2211" w:rsidRDefault="00F60EA6" w:rsidP="00F60EA6">
            <w:pPr>
              <w:rPr>
                <w:rFonts w:ascii="Calibri" w:hAnsi="Calibri" w:cs="Calibri"/>
                <w:color w:val="000000"/>
                <w:szCs w:val="20"/>
                <w:lang w:val="en-CA" w:eastAsia="en-CA"/>
              </w:rPr>
            </w:pPr>
            <w:r w:rsidRPr="00FC2211">
              <w:rPr>
                <w:rFonts w:ascii="Calibri" w:hAnsi="Calibri" w:cs="Calibri"/>
                <w:color w:val="000000"/>
                <w:szCs w:val="20"/>
                <w:lang w:val="en-CA" w:eastAsia="en-CA"/>
              </w:rPr>
              <w:t>Proceeds</w:t>
            </w:r>
          </w:p>
        </w:tc>
        <w:tc>
          <w:tcPr>
            <w:tcW w:w="1372" w:type="dxa"/>
            <w:tcBorders>
              <w:top w:val="nil"/>
              <w:left w:val="nil"/>
              <w:bottom w:val="nil"/>
              <w:right w:val="nil"/>
            </w:tcBorders>
            <w:shd w:val="clear" w:color="auto" w:fill="auto"/>
            <w:noWrap/>
            <w:vAlign w:val="bottom"/>
            <w:hideMark/>
          </w:tcPr>
          <w:p w14:paraId="3C110F2A" w14:textId="419AABE6" w:rsidR="00F60EA6" w:rsidRPr="00FC2211" w:rsidRDefault="00F60EA6" w:rsidP="00F60EA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350,000 </w:t>
            </w:r>
          </w:p>
        </w:tc>
        <w:tc>
          <w:tcPr>
            <w:tcW w:w="1417" w:type="dxa"/>
            <w:tcBorders>
              <w:top w:val="nil"/>
              <w:left w:val="nil"/>
              <w:bottom w:val="nil"/>
              <w:right w:val="nil"/>
            </w:tcBorders>
            <w:shd w:val="clear" w:color="auto" w:fill="auto"/>
            <w:noWrap/>
            <w:vAlign w:val="bottom"/>
            <w:hideMark/>
          </w:tcPr>
          <w:p w14:paraId="757F9638" w14:textId="4BDB62E4" w:rsidR="00F60EA6" w:rsidRPr="00FC2211" w:rsidRDefault="00F60EA6" w:rsidP="00F60EA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418" w:type="dxa"/>
            <w:tcBorders>
              <w:top w:val="nil"/>
              <w:left w:val="nil"/>
              <w:bottom w:val="nil"/>
              <w:right w:val="nil"/>
            </w:tcBorders>
            <w:shd w:val="clear" w:color="auto" w:fill="auto"/>
            <w:noWrap/>
            <w:vAlign w:val="bottom"/>
            <w:hideMark/>
          </w:tcPr>
          <w:p w14:paraId="3AB2EBFD" w14:textId="38B1716B" w:rsidR="00F60EA6" w:rsidRPr="00FC2211" w:rsidRDefault="00F60EA6" w:rsidP="00F60EA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350,000 </w:t>
            </w:r>
          </w:p>
        </w:tc>
      </w:tr>
      <w:tr w:rsidR="00F60EA6" w:rsidRPr="00FC2211" w14:paraId="5EB5BE49" w14:textId="77777777" w:rsidTr="00F60EA6">
        <w:trPr>
          <w:trHeight w:val="240"/>
          <w:jc w:val="center"/>
        </w:trPr>
        <w:tc>
          <w:tcPr>
            <w:tcW w:w="3119" w:type="dxa"/>
            <w:tcBorders>
              <w:top w:val="nil"/>
              <w:left w:val="nil"/>
              <w:bottom w:val="nil"/>
              <w:right w:val="nil"/>
            </w:tcBorders>
            <w:shd w:val="clear" w:color="auto" w:fill="auto"/>
            <w:noWrap/>
            <w:vAlign w:val="bottom"/>
            <w:hideMark/>
          </w:tcPr>
          <w:p w14:paraId="06A8C6E5" w14:textId="77777777" w:rsidR="00F60EA6" w:rsidRPr="00FC2211" w:rsidRDefault="00F60EA6" w:rsidP="00F60EA6">
            <w:pPr>
              <w:rPr>
                <w:rFonts w:ascii="Calibri" w:hAnsi="Calibri" w:cs="Calibri"/>
                <w:color w:val="000000"/>
                <w:szCs w:val="20"/>
                <w:lang w:val="en-CA" w:eastAsia="en-CA"/>
              </w:rPr>
            </w:pPr>
            <w:r w:rsidRPr="00FC2211">
              <w:rPr>
                <w:rFonts w:ascii="Calibri" w:hAnsi="Calibri" w:cs="Calibri"/>
                <w:color w:val="000000"/>
                <w:szCs w:val="20"/>
                <w:lang w:val="en-CA" w:eastAsia="en-CA"/>
              </w:rPr>
              <w:t>Interest Expense</w:t>
            </w:r>
          </w:p>
        </w:tc>
        <w:tc>
          <w:tcPr>
            <w:tcW w:w="1372" w:type="dxa"/>
            <w:tcBorders>
              <w:top w:val="nil"/>
              <w:left w:val="nil"/>
              <w:bottom w:val="nil"/>
              <w:right w:val="nil"/>
            </w:tcBorders>
            <w:shd w:val="clear" w:color="auto" w:fill="auto"/>
            <w:noWrap/>
            <w:vAlign w:val="bottom"/>
            <w:hideMark/>
          </w:tcPr>
          <w:p w14:paraId="13E2EBC7" w14:textId="65C1708B" w:rsidR="00F60EA6" w:rsidRPr="00FC2211" w:rsidRDefault="00F60EA6" w:rsidP="00F60EA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417" w:type="dxa"/>
            <w:tcBorders>
              <w:top w:val="nil"/>
              <w:left w:val="nil"/>
              <w:bottom w:val="nil"/>
              <w:right w:val="nil"/>
            </w:tcBorders>
            <w:shd w:val="clear" w:color="auto" w:fill="auto"/>
            <w:noWrap/>
            <w:vAlign w:val="bottom"/>
            <w:hideMark/>
          </w:tcPr>
          <w:p w14:paraId="037BE7B2" w14:textId="37091F3F" w:rsidR="00F60EA6" w:rsidRPr="00FC2211" w:rsidRDefault="00F60EA6" w:rsidP="00F60EA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F7064C" w:rsidRPr="00FC2211">
              <w:rPr>
                <w:rFonts w:ascii="Calibri" w:hAnsi="Calibri" w:cs="Calibri"/>
                <w:color w:val="000000"/>
                <w:szCs w:val="20"/>
                <w:lang w:val="en-CA" w:eastAsia="en-CA"/>
              </w:rPr>
              <w:t>17,237</w:t>
            </w:r>
            <w:r w:rsidRPr="00FC2211">
              <w:rPr>
                <w:rFonts w:ascii="Calibri" w:hAnsi="Calibri" w:cs="Calibri"/>
                <w:color w:val="000000"/>
                <w:szCs w:val="20"/>
                <w:lang w:val="en-CA" w:eastAsia="en-CA"/>
              </w:rPr>
              <w:t xml:space="preserve"> </w:t>
            </w:r>
          </w:p>
        </w:tc>
        <w:tc>
          <w:tcPr>
            <w:tcW w:w="1418" w:type="dxa"/>
            <w:tcBorders>
              <w:top w:val="nil"/>
              <w:left w:val="nil"/>
              <w:bottom w:val="nil"/>
              <w:right w:val="nil"/>
            </w:tcBorders>
            <w:shd w:val="clear" w:color="auto" w:fill="auto"/>
            <w:noWrap/>
            <w:vAlign w:val="bottom"/>
            <w:hideMark/>
          </w:tcPr>
          <w:p w14:paraId="43744632" w14:textId="3C8AAED4" w:rsidR="00F60EA6" w:rsidRPr="00FC2211" w:rsidRDefault="00F7064C" w:rsidP="00F60EA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17,237</w:t>
            </w:r>
            <w:r w:rsidR="00F60EA6" w:rsidRPr="00FC2211">
              <w:rPr>
                <w:rFonts w:ascii="Calibri" w:hAnsi="Calibri" w:cs="Calibri"/>
                <w:color w:val="000000"/>
                <w:szCs w:val="20"/>
                <w:lang w:val="en-CA" w:eastAsia="en-CA"/>
              </w:rPr>
              <w:t xml:space="preserve"> </w:t>
            </w:r>
          </w:p>
        </w:tc>
      </w:tr>
      <w:tr w:rsidR="00F60EA6" w:rsidRPr="00FC2211" w14:paraId="1A22E85A" w14:textId="77777777" w:rsidTr="00F60EA6">
        <w:trPr>
          <w:trHeight w:val="252"/>
          <w:jc w:val="center"/>
        </w:trPr>
        <w:tc>
          <w:tcPr>
            <w:tcW w:w="3119" w:type="dxa"/>
            <w:tcBorders>
              <w:top w:val="nil"/>
              <w:left w:val="nil"/>
              <w:bottom w:val="nil"/>
              <w:right w:val="nil"/>
            </w:tcBorders>
            <w:shd w:val="clear" w:color="auto" w:fill="auto"/>
            <w:noWrap/>
            <w:vAlign w:val="bottom"/>
            <w:hideMark/>
          </w:tcPr>
          <w:p w14:paraId="7D51D35A" w14:textId="77777777" w:rsidR="00F60EA6" w:rsidRPr="00FC2211" w:rsidRDefault="00F60EA6" w:rsidP="00F60EA6">
            <w:pPr>
              <w:rPr>
                <w:rFonts w:ascii="Calibri" w:hAnsi="Calibri" w:cs="Calibri"/>
                <w:color w:val="000000"/>
                <w:szCs w:val="20"/>
                <w:lang w:val="en-CA" w:eastAsia="en-CA"/>
              </w:rPr>
            </w:pPr>
            <w:r w:rsidRPr="00FC2211">
              <w:rPr>
                <w:rFonts w:ascii="Calibri" w:hAnsi="Calibri" w:cs="Calibri"/>
                <w:color w:val="000000"/>
                <w:szCs w:val="20"/>
                <w:lang w:val="en-CA" w:eastAsia="en-CA"/>
              </w:rPr>
              <w:t>Payment</w:t>
            </w:r>
          </w:p>
        </w:tc>
        <w:tc>
          <w:tcPr>
            <w:tcW w:w="1372" w:type="dxa"/>
            <w:tcBorders>
              <w:top w:val="nil"/>
              <w:left w:val="nil"/>
              <w:bottom w:val="nil"/>
              <w:right w:val="nil"/>
            </w:tcBorders>
            <w:shd w:val="clear" w:color="auto" w:fill="auto"/>
            <w:noWrap/>
            <w:vAlign w:val="bottom"/>
            <w:hideMark/>
          </w:tcPr>
          <w:p w14:paraId="472625EC" w14:textId="4907641B" w:rsidR="00F60EA6" w:rsidRPr="00FC2211" w:rsidRDefault="00F60EA6" w:rsidP="00F60EA6">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c>
          <w:tcPr>
            <w:tcW w:w="1417" w:type="dxa"/>
            <w:tcBorders>
              <w:top w:val="nil"/>
              <w:left w:val="nil"/>
              <w:bottom w:val="nil"/>
              <w:right w:val="nil"/>
            </w:tcBorders>
            <w:shd w:val="clear" w:color="auto" w:fill="auto"/>
            <w:noWrap/>
            <w:vAlign w:val="bottom"/>
            <w:hideMark/>
          </w:tcPr>
          <w:p w14:paraId="1D899CE3" w14:textId="5F5F6909" w:rsidR="00F60EA6" w:rsidRPr="00FC2211" w:rsidRDefault="00F60EA6" w:rsidP="008023F7">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F7064C" w:rsidRPr="00FC2211">
              <w:rPr>
                <w:rFonts w:ascii="Calibri" w:hAnsi="Calibri" w:cs="Calibri"/>
                <w:color w:val="000000"/>
                <w:szCs w:val="20"/>
                <w:lang w:val="en-CA" w:eastAsia="en-CA"/>
              </w:rPr>
              <w:t>12,243</w:t>
            </w:r>
            <w:r w:rsidRPr="00FC2211">
              <w:rPr>
                <w:rFonts w:ascii="Calibri" w:hAnsi="Calibri" w:cs="Calibri"/>
                <w:color w:val="000000"/>
                <w:szCs w:val="20"/>
                <w:lang w:val="en-CA" w:eastAsia="en-CA"/>
              </w:rPr>
              <w:t>)</w:t>
            </w:r>
          </w:p>
        </w:tc>
        <w:tc>
          <w:tcPr>
            <w:tcW w:w="1418" w:type="dxa"/>
            <w:tcBorders>
              <w:top w:val="nil"/>
              <w:left w:val="nil"/>
              <w:bottom w:val="nil"/>
              <w:right w:val="nil"/>
            </w:tcBorders>
            <w:shd w:val="clear" w:color="auto" w:fill="auto"/>
            <w:noWrap/>
            <w:vAlign w:val="bottom"/>
            <w:hideMark/>
          </w:tcPr>
          <w:p w14:paraId="43547540" w14:textId="67CDF972" w:rsidR="00F60EA6" w:rsidRPr="00FC2211" w:rsidRDefault="00F60EA6" w:rsidP="008023F7">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F7064C" w:rsidRPr="00FC2211">
              <w:rPr>
                <w:rFonts w:ascii="Calibri" w:hAnsi="Calibri" w:cs="Calibri"/>
                <w:color w:val="000000"/>
                <w:szCs w:val="20"/>
                <w:lang w:val="en-CA" w:eastAsia="en-CA"/>
              </w:rPr>
              <w:t>12,243</w:t>
            </w:r>
            <w:r w:rsidRPr="00FC2211">
              <w:rPr>
                <w:rFonts w:ascii="Calibri" w:hAnsi="Calibri" w:cs="Calibri"/>
                <w:color w:val="000000"/>
                <w:szCs w:val="20"/>
                <w:lang w:val="en-CA" w:eastAsia="en-CA"/>
              </w:rPr>
              <w:t>)</w:t>
            </w:r>
          </w:p>
        </w:tc>
      </w:tr>
      <w:tr w:rsidR="00F60EA6" w:rsidRPr="00FC2211" w14:paraId="5832FE76" w14:textId="77777777" w:rsidTr="00F60EA6">
        <w:trPr>
          <w:trHeight w:val="252"/>
          <w:jc w:val="center"/>
        </w:trPr>
        <w:tc>
          <w:tcPr>
            <w:tcW w:w="3119" w:type="dxa"/>
            <w:tcBorders>
              <w:top w:val="single" w:sz="8" w:space="0" w:color="auto"/>
              <w:left w:val="nil"/>
              <w:bottom w:val="single" w:sz="8" w:space="0" w:color="auto"/>
              <w:right w:val="nil"/>
            </w:tcBorders>
            <w:shd w:val="clear" w:color="auto" w:fill="auto"/>
            <w:noWrap/>
            <w:vAlign w:val="bottom"/>
            <w:hideMark/>
          </w:tcPr>
          <w:p w14:paraId="48387ED7" w14:textId="44FEA872" w:rsidR="00F60EA6" w:rsidRPr="00FC2211" w:rsidRDefault="00F60EA6" w:rsidP="00F60EA6">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Balance, </w:t>
            </w:r>
            <w:r w:rsidR="00F7064C" w:rsidRPr="00FC2211">
              <w:rPr>
                <w:rFonts w:ascii="Calibri" w:hAnsi="Calibri" w:cs="Calibri"/>
                <w:b/>
                <w:bCs/>
                <w:color w:val="000000"/>
                <w:szCs w:val="20"/>
                <w:lang w:val="en-CA" w:eastAsia="en-CA"/>
              </w:rPr>
              <w:t>December 31, 2023</w:t>
            </w:r>
          </w:p>
        </w:tc>
        <w:tc>
          <w:tcPr>
            <w:tcW w:w="1372" w:type="dxa"/>
            <w:tcBorders>
              <w:top w:val="single" w:sz="8" w:space="0" w:color="auto"/>
              <w:left w:val="nil"/>
              <w:bottom w:val="single" w:sz="8" w:space="0" w:color="auto"/>
              <w:right w:val="nil"/>
            </w:tcBorders>
            <w:shd w:val="clear" w:color="auto" w:fill="auto"/>
            <w:noWrap/>
            <w:vAlign w:val="bottom"/>
            <w:hideMark/>
          </w:tcPr>
          <w:p w14:paraId="3A66D626" w14:textId="21E6EAF4" w:rsidR="00F60EA6" w:rsidRPr="00FC2211" w:rsidRDefault="00F60EA6" w:rsidP="00F60EA6">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350,000 </w:t>
            </w:r>
          </w:p>
        </w:tc>
        <w:tc>
          <w:tcPr>
            <w:tcW w:w="1417" w:type="dxa"/>
            <w:tcBorders>
              <w:top w:val="single" w:sz="8" w:space="0" w:color="auto"/>
              <w:left w:val="nil"/>
              <w:bottom w:val="single" w:sz="8" w:space="0" w:color="auto"/>
              <w:right w:val="nil"/>
            </w:tcBorders>
            <w:shd w:val="clear" w:color="auto" w:fill="auto"/>
            <w:noWrap/>
            <w:vAlign w:val="bottom"/>
            <w:hideMark/>
          </w:tcPr>
          <w:p w14:paraId="163233B1" w14:textId="00C073F3" w:rsidR="00F60EA6" w:rsidRPr="00FC2211" w:rsidRDefault="00F60EA6" w:rsidP="00F60EA6">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F7064C" w:rsidRPr="00FC2211">
              <w:rPr>
                <w:rFonts w:ascii="Calibri" w:hAnsi="Calibri" w:cs="Calibri"/>
                <w:b/>
                <w:bCs/>
                <w:color w:val="000000"/>
                <w:szCs w:val="20"/>
                <w:lang w:val="en-CA" w:eastAsia="en-CA"/>
              </w:rPr>
              <w:t>4,994</w:t>
            </w:r>
            <w:r w:rsidRPr="00FC2211">
              <w:rPr>
                <w:rFonts w:ascii="Calibri" w:hAnsi="Calibri" w:cs="Calibri"/>
                <w:b/>
                <w:bCs/>
                <w:color w:val="000000"/>
                <w:szCs w:val="20"/>
                <w:lang w:val="en-CA" w:eastAsia="en-CA"/>
              </w:rPr>
              <w:t xml:space="preserve">   </w:t>
            </w:r>
          </w:p>
        </w:tc>
        <w:tc>
          <w:tcPr>
            <w:tcW w:w="1418" w:type="dxa"/>
            <w:tcBorders>
              <w:top w:val="single" w:sz="8" w:space="0" w:color="auto"/>
              <w:left w:val="nil"/>
              <w:bottom w:val="single" w:sz="8" w:space="0" w:color="auto"/>
              <w:right w:val="nil"/>
            </w:tcBorders>
            <w:shd w:val="clear" w:color="auto" w:fill="auto"/>
            <w:noWrap/>
            <w:vAlign w:val="bottom"/>
            <w:hideMark/>
          </w:tcPr>
          <w:p w14:paraId="1EF5D682" w14:textId="13BA9847" w:rsidR="00F60EA6" w:rsidRPr="00FC2211" w:rsidRDefault="00F60EA6" w:rsidP="00F60EA6">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35</w:t>
            </w:r>
            <w:r w:rsidR="00F7064C" w:rsidRPr="00FC2211">
              <w:rPr>
                <w:rFonts w:ascii="Calibri" w:hAnsi="Calibri" w:cs="Calibri"/>
                <w:b/>
                <w:bCs/>
                <w:color w:val="000000"/>
                <w:szCs w:val="20"/>
                <w:lang w:val="en-CA" w:eastAsia="en-CA"/>
              </w:rPr>
              <w:t>4,994</w:t>
            </w:r>
            <w:r w:rsidRPr="00FC2211">
              <w:rPr>
                <w:rFonts w:ascii="Calibri" w:hAnsi="Calibri" w:cs="Calibri"/>
                <w:b/>
                <w:bCs/>
                <w:color w:val="000000"/>
                <w:szCs w:val="20"/>
                <w:lang w:val="en-CA" w:eastAsia="en-CA"/>
              </w:rPr>
              <w:t xml:space="preserve"> </w:t>
            </w:r>
          </w:p>
        </w:tc>
      </w:tr>
    </w:tbl>
    <w:p w14:paraId="7B3B9D6B" w14:textId="77777777" w:rsidR="00BC688B" w:rsidRPr="00FC2211" w:rsidRDefault="00BC688B" w:rsidP="00F60EA6">
      <w:pPr>
        <w:ind w:left="426"/>
        <w:jc w:val="center"/>
      </w:pPr>
    </w:p>
    <w:p w14:paraId="3CE14C1B" w14:textId="73FF1642" w:rsidR="000F16FB" w:rsidRPr="00FC2211" w:rsidRDefault="00F307BC" w:rsidP="00F307BC">
      <w:pPr>
        <w:pStyle w:val="Heading1"/>
        <w:rPr>
          <w:rFonts w:cstheme="minorHAnsi"/>
          <w:szCs w:val="20"/>
        </w:rPr>
      </w:pPr>
      <w:r w:rsidRPr="00FC2211">
        <w:rPr>
          <w:rFonts w:cstheme="minorHAnsi"/>
          <w:szCs w:val="20"/>
        </w:rPr>
        <w:t>1</w:t>
      </w:r>
      <w:r w:rsidR="00A8366B" w:rsidRPr="00FC2211">
        <w:rPr>
          <w:rFonts w:cstheme="minorHAnsi"/>
          <w:szCs w:val="20"/>
        </w:rPr>
        <w:t>4</w:t>
      </w:r>
      <w:r w:rsidRPr="00FC2211">
        <w:rPr>
          <w:rFonts w:cstheme="minorHAnsi"/>
          <w:szCs w:val="20"/>
        </w:rPr>
        <w:t xml:space="preserve">. </w:t>
      </w:r>
      <w:r w:rsidR="00D52B37" w:rsidRPr="00FC2211">
        <w:rPr>
          <w:rFonts w:cstheme="minorHAnsi"/>
          <w:szCs w:val="20"/>
        </w:rPr>
        <w:t xml:space="preserve">  </w:t>
      </w:r>
      <w:r w:rsidR="003F496E" w:rsidRPr="00FC2211">
        <w:rPr>
          <w:rFonts w:cstheme="minorHAnsi"/>
          <w:szCs w:val="20"/>
        </w:rPr>
        <w:t>GOVERNMENT</w:t>
      </w:r>
      <w:r w:rsidR="003F496E" w:rsidRPr="00FC2211">
        <w:rPr>
          <w:rFonts w:cstheme="minorHAnsi"/>
          <w:szCs w:val="20"/>
          <w:lang w:val="en-GB"/>
        </w:rPr>
        <w:t xml:space="preserve"> GRANT</w:t>
      </w:r>
    </w:p>
    <w:p w14:paraId="2A317FED" w14:textId="77777777" w:rsidR="000F16FB" w:rsidRPr="00FC2211" w:rsidRDefault="000F16FB" w:rsidP="000F16FB">
      <w:pPr>
        <w:rPr>
          <w:rFonts w:cstheme="minorHAnsi"/>
          <w:szCs w:val="20"/>
          <w:lang w:val="en-GB"/>
        </w:rPr>
      </w:pPr>
    </w:p>
    <w:p w14:paraId="04D5395A" w14:textId="3652FF54" w:rsidR="00AD666F" w:rsidRPr="00FC2211" w:rsidRDefault="00AD666F" w:rsidP="00AD666F">
      <w:pPr>
        <w:pStyle w:val="NormalWeb"/>
        <w:ind w:left="357"/>
        <w:jc w:val="both"/>
        <w:rPr>
          <w:rFonts w:eastAsia="Calibri" w:cstheme="minorHAnsi"/>
          <w:szCs w:val="20"/>
        </w:rPr>
      </w:pPr>
      <w:r w:rsidRPr="00FC2211">
        <w:rPr>
          <w:rFonts w:eastAsia="Calibri" w:cstheme="minorHAnsi"/>
          <w:szCs w:val="20"/>
        </w:rPr>
        <w:t xml:space="preserve">Due </w:t>
      </w:r>
      <w:r w:rsidR="00EB3813" w:rsidRPr="00FC2211">
        <w:rPr>
          <w:rFonts w:eastAsia="Calibri" w:cstheme="minorHAnsi"/>
          <w:szCs w:val="20"/>
        </w:rPr>
        <w:t xml:space="preserve">to </w:t>
      </w:r>
      <w:r w:rsidRPr="00FC2211">
        <w:rPr>
          <w:rFonts w:eastAsia="Calibri" w:cstheme="minorHAnsi"/>
          <w:szCs w:val="20"/>
        </w:rPr>
        <w:t xml:space="preserve">the global outbreak of </w:t>
      </w:r>
      <w:r w:rsidR="00EB3813" w:rsidRPr="00FC2211">
        <w:rPr>
          <w:rFonts w:eastAsia="Calibri" w:cstheme="minorHAnsi"/>
          <w:szCs w:val="20"/>
        </w:rPr>
        <w:t xml:space="preserve">the </w:t>
      </w:r>
      <w:r w:rsidRPr="00FC2211">
        <w:rPr>
          <w:rFonts w:eastAsia="Calibri" w:cstheme="minorHAnsi"/>
          <w:szCs w:val="20"/>
        </w:rPr>
        <w:t xml:space="preserve">Novel Coronavirus (“COVID-19”), the federal government of Canada introduced the Canada Emergency Business Account (“CEBA”).  CEBA provides </w:t>
      </w:r>
      <w:r w:rsidR="007F5BF5" w:rsidRPr="00FC2211">
        <w:rPr>
          <w:rFonts w:eastAsia="Calibri" w:cstheme="minorHAnsi"/>
          <w:szCs w:val="20"/>
        </w:rPr>
        <w:t xml:space="preserve">eligible businesses </w:t>
      </w:r>
      <w:r w:rsidR="000E7412" w:rsidRPr="00FC2211">
        <w:rPr>
          <w:rFonts w:eastAsia="Calibri" w:cstheme="minorHAnsi"/>
          <w:szCs w:val="20"/>
        </w:rPr>
        <w:t xml:space="preserve">with </w:t>
      </w:r>
      <w:r w:rsidR="007F5BF5" w:rsidRPr="00FC2211">
        <w:rPr>
          <w:rFonts w:eastAsia="Calibri" w:cstheme="minorHAnsi"/>
          <w:szCs w:val="20"/>
        </w:rPr>
        <w:t>an interest-free loan (“CEBA Loan”) of $40,000</w:t>
      </w:r>
      <w:r w:rsidRPr="00FC2211">
        <w:rPr>
          <w:rFonts w:eastAsia="Calibri" w:cstheme="minorHAnsi"/>
          <w:szCs w:val="20"/>
        </w:rPr>
        <w:t>.  The CEBA Loan has an initial term that expires on December 31, 202</w:t>
      </w:r>
      <w:r w:rsidR="00EB3813" w:rsidRPr="00FC2211">
        <w:rPr>
          <w:rFonts w:eastAsia="Calibri" w:cstheme="minorHAnsi"/>
          <w:szCs w:val="20"/>
        </w:rPr>
        <w:t>2</w:t>
      </w:r>
      <w:r w:rsidRPr="00FC2211">
        <w:rPr>
          <w:rFonts w:eastAsia="Calibri" w:cstheme="minorHAnsi"/>
          <w:szCs w:val="20"/>
        </w:rPr>
        <w:t>, throughout which the CEBA Loan remains interest</w:t>
      </w:r>
      <w:r w:rsidR="00EB3813" w:rsidRPr="00FC2211">
        <w:rPr>
          <w:rFonts w:eastAsia="Calibri" w:cstheme="minorHAnsi"/>
          <w:szCs w:val="20"/>
        </w:rPr>
        <w:t>-</w:t>
      </w:r>
      <w:r w:rsidRPr="00FC2211">
        <w:rPr>
          <w:rFonts w:eastAsia="Calibri" w:cstheme="minorHAnsi"/>
          <w:szCs w:val="20"/>
        </w:rPr>
        <w:t>free</w:t>
      </w:r>
      <w:r w:rsidR="007F5BF5" w:rsidRPr="00FC2211">
        <w:rPr>
          <w:rFonts w:eastAsia="Calibri" w:cstheme="minorHAnsi"/>
          <w:szCs w:val="20"/>
        </w:rPr>
        <w:t>—repayment</w:t>
      </w:r>
      <w:r w:rsidRPr="00FC2211">
        <w:rPr>
          <w:rFonts w:eastAsia="Calibri" w:cstheme="minorHAnsi"/>
          <w:szCs w:val="20"/>
        </w:rPr>
        <w:t xml:space="preserve"> of $30,000 by December 31, 20</w:t>
      </w:r>
      <w:r w:rsidR="00EB3813" w:rsidRPr="00FC2211">
        <w:rPr>
          <w:rFonts w:eastAsia="Calibri" w:cstheme="minorHAnsi"/>
          <w:szCs w:val="20"/>
        </w:rPr>
        <w:t>22</w:t>
      </w:r>
      <w:r w:rsidRPr="00FC2211">
        <w:rPr>
          <w:rFonts w:eastAsia="Calibri" w:cstheme="minorHAnsi"/>
          <w:szCs w:val="20"/>
        </w:rPr>
        <w:t xml:space="preserve">, results in a $10,000 loan forgiveness. If the balance is not paid </w:t>
      </w:r>
      <w:r w:rsidR="007F5BF5" w:rsidRPr="00FC2211">
        <w:rPr>
          <w:rFonts w:eastAsia="Calibri" w:cstheme="minorHAnsi"/>
          <w:szCs w:val="20"/>
        </w:rPr>
        <w:t>before</w:t>
      </w:r>
      <w:r w:rsidRPr="00FC2211">
        <w:rPr>
          <w:rFonts w:eastAsia="Calibri" w:cstheme="minorHAnsi"/>
          <w:szCs w:val="20"/>
        </w:rPr>
        <w:t xml:space="preserve"> December 31, 202</w:t>
      </w:r>
      <w:r w:rsidR="00EB3813" w:rsidRPr="00FC2211">
        <w:rPr>
          <w:rFonts w:eastAsia="Calibri" w:cstheme="minorHAnsi"/>
          <w:szCs w:val="20"/>
        </w:rPr>
        <w:t>2</w:t>
      </w:r>
      <w:r w:rsidRPr="00FC2211">
        <w:rPr>
          <w:rFonts w:eastAsia="Calibri" w:cstheme="minorHAnsi"/>
          <w:szCs w:val="20"/>
        </w:rPr>
        <w:t>, the remaining balance will be converted to a 3-year term loan at 5% annual interest, paid monthly</w:t>
      </w:r>
      <w:r w:rsidR="007F5BF5" w:rsidRPr="00FC2211">
        <w:rPr>
          <w:rFonts w:eastAsia="Calibri" w:cstheme="minorHAnsi"/>
          <w:szCs w:val="20"/>
        </w:rPr>
        <w:t>,</w:t>
      </w:r>
      <w:r w:rsidRPr="00FC2211">
        <w:rPr>
          <w:rFonts w:eastAsia="Calibri" w:cstheme="minorHAnsi"/>
          <w:szCs w:val="20"/>
        </w:rPr>
        <w:t xml:space="preserve"> effective January 1, 202</w:t>
      </w:r>
      <w:r w:rsidR="00EB3813" w:rsidRPr="00FC2211">
        <w:rPr>
          <w:rFonts w:eastAsia="Calibri" w:cstheme="minorHAnsi"/>
          <w:szCs w:val="20"/>
        </w:rPr>
        <w:t>3</w:t>
      </w:r>
      <w:r w:rsidRPr="00FC2211">
        <w:rPr>
          <w:rFonts w:eastAsia="Calibri" w:cstheme="minorHAnsi"/>
          <w:szCs w:val="20"/>
        </w:rPr>
        <w:t xml:space="preserve">.  The </w:t>
      </w:r>
      <w:r w:rsidR="007F5BF5" w:rsidRPr="00FC2211">
        <w:rPr>
          <w:rFonts w:eastAsia="Calibri" w:cstheme="minorHAnsi"/>
          <w:szCs w:val="20"/>
        </w:rPr>
        <w:t>entire</w:t>
      </w:r>
      <w:r w:rsidRPr="00FC2211">
        <w:rPr>
          <w:rFonts w:eastAsia="Calibri" w:cstheme="minorHAnsi"/>
          <w:szCs w:val="20"/>
        </w:rPr>
        <w:t xml:space="preserve"> balance must be repaid by December 31, 202</w:t>
      </w:r>
      <w:r w:rsidR="00EB3813" w:rsidRPr="00FC2211">
        <w:rPr>
          <w:rFonts w:eastAsia="Calibri" w:cstheme="minorHAnsi"/>
          <w:szCs w:val="20"/>
        </w:rPr>
        <w:t>5</w:t>
      </w:r>
      <w:r w:rsidRPr="00FC2211">
        <w:rPr>
          <w:rFonts w:eastAsia="Calibri" w:cstheme="minorHAnsi"/>
          <w:szCs w:val="20"/>
        </w:rPr>
        <w:t xml:space="preserve">. On May 6, 2020, INEO Solutions and FG Manufacturing each received $40,000 </w:t>
      </w:r>
      <w:r w:rsidR="00EB3813" w:rsidRPr="00FC2211">
        <w:rPr>
          <w:rFonts w:eastAsia="Calibri" w:cstheme="minorHAnsi"/>
          <w:szCs w:val="20"/>
        </w:rPr>
        <w:t xml:space="preserve">in </w:t>
      </w:r>
      <w:r w:rsidRPr="00FC2211">
        <w:rPr>
          <w:rFonts w:eastAsia="Calibri" w:cstheme="minorHAnsi"/>
          <w:szCs w:val="20"/>
        </w:rPr>
        <w:t xml:space="preserve">loans from the Government as part of the CEBA.  </w:t>
      </w:r>
    </w:p>
    <w:p w14:paraId="0305E83F" w14:textId="77777777" w:rsidR="00AD666F" w:rsidRPr="00FC2211" w:rsidRDefault="00AD666F" w:rsidP="00AD666F">
      <w:pPr>
        <w:pStyle w:val="NormalWeb"/>
        <w:ind w:left="357"/>
        <w:jc w:val="both"/>
        <w:rPr>
          <w:rFonts w:eastAsia="Calibri" w:cstheme="minorHAnsi"/>
          <w:szCs w:val="20"/>
        </w:rPr>
      </w:pPr>
    </w:p>
    <w:p w14:paraId="14AB755B" w14:textId="574FB939" w:rsidR="00AD666F" w:rsidRPr="00FC2211" w:rsidRDefault="00AD666F" w:rsidP="00AD666F">
      <w:pPr>
        <w:pStyle w:val="NormalWeb"/>
        <w:ind w:left="357"/>
        <w:jc w:val="both"/>
        <w:rPr>
          <w:rFonts w:eastAsia="Calibri" w:cstheme="minorHAnsi"/>
          <w:szCs w:val="20"/>
        </w:rPr>
      </w:pPr>
      <w:r w:rsidRPr="00FC2211">
        <w:rPr>
          <w:rFonts w:eastAsia="Calibri" w:cstheme="minorHAnsi"/>
          <w:szCs w:val="20"/>
        </w:rPr>
        <w:t>On December 4, 2020, the federal government of Canada expanded CEBA</w:t>
      </w:r>
      <w:r w:rsidR="00EB3813" w:rsidRPr="00FC2211">
        <w:rPr>
          <w:rFonts w:eastAsia="Calibri" w:cstheme="minorHAnsi"/>
          <w:szCs w:val="20"/>
        </w:rPr>
        <w:t>,</w:t>
      </w:r>
      <w:r w:rsidRPr="00FC2211">
        <w:rPr>
          <w:rFonts w:eastAsia="Calibri" w:cstheme="minorHAnsi"/>
          <w:szCs w:val="20"/>
        </w:rPr>
        <w:t xml:space="preserve"> and eligible businesses facing financial hardship due to the pandemic </w:t>
      </w:r>
      <w:r w:rsidR="007F5BF5" w:rsidRPr="00FC2211">
        <w:rPr>
          <w:rFonts w:eastAsia="Calibri" w:cstheme="minorHAnsi"/>
          <w:szCs w:val="20"/>
        </w:rPr>
        <w:t>could</w:t>
      </w:r>
      <w:r w:rsidRPr="00FC2211">
        <w:rPr>
          <w:rFonts w:eastAsia="Calibri" w:cstheme="minorHAnsi"/>
          <w:szCs w:val="20"/>
        </w:rPr>
        <w:t xml:space="preserve"> access a second loan of up to $20,000.  Half of this additional financing, up to $10,000</w:t>
      </w:r>
      <w:r w:rsidR="007F5BF5" w:rsidRPr="00FC2211">
        <w:rPr>
          <w:rFonts w:eastAsia="Calibri" w:cstheme="minorHAnsi"/>
          <w:szCs w:val="20"/>
        </w:rPr>
        <w:t>,</w:t>
      </w:r>
      <w:r w:rsidRPr="00FC2211">
        <w:rPr>
          <w:rFonts w:eastAsia="Calibri" w:cstheme="minorHAnsi"/>
          <w:szCs w:val="20"/>
        </w:rPr>
        <w:t xml:space="preserve"> will be forgivable if the loan is repaid by December 31, 202</w:t>
      </w:r>
      <w:r w:rsidR="00CE356F" w:rsidRPr="00FC2211">
        <w:rPr>
          <w:rFonts w:eastAsia="Calibri" w:cstheme="minorHAnsi"/>
          <w:szCs w:val="20"/>
        </w:rPr>
        <w:t>2</w:t>
      </w:r>
      <w:r w:rsidRPr="00FC2211">
        <w:rPr>
          <w:rFonts w:eastAsia="Calibri" w:cstheme="minorHAnsi"/>
          <w:szCs w:val="20"/>
        </w:rPr>
        <w:t xml:space="preserve">. If the balance is not paid </w:t>
      </w:r>
      <w:r w:rsidR="007F5BF5" w:rsidRPr="00FC2211">
        <w:rPr>
          <w:rFonts w:eastAsia="Calibri" w:cstheme="minorHAnsi"/>
          <w:szCs w:val="20"/>
        </w:rPr>
        <w:t>before</w:t>
      </w:r>
      <w:r w:rsidRPr="00FC2211">
        <w:rPr>
          <w:rFonts w:eastAsia="Calibri" w:cstheme="minorHAnsi"/>
          <w:szCs w:val="20"/>
        </w:rPr>
        <w:t xml:space="preserve"> December 31, 202</w:t>
      </w:r>
      <w:r w:rsidR="00CE356F" w:rsidRPr="00FC2211">
        <w:rPr>
          <w:rFonts w:eastAsia="Calibri" w:cstheme="minorHAnsi"/>
          <w:szCs w:val="20"/>
        </w:rPr>
        <w:t>2</w:t>
      </w:r>
      <w:r w:rsidRPr="00FC2211">
        <w:rPr>
          <w:rFonts w:eastAsia="Calibri" w:cstheme="minorHAnsi"/>
          <w:szCs w:val="20"/>
        </w:rPr>
        <w:t>, the remaining balance will be converted to a 3-year term loan at 5% annual interest, paid monthly</w:t>
      </w:r>
      <w:r w:rsidR="007F5BF5" w:rsidRPr="00FC2211">
        <w:rPr>
          <w:rFonts w:eastAsia="Calibri" w:cstheme="minorHAnsi"/>
          <w:szCs w:val="20"/>
        </w:rPr>
        <w:t>,</w:t>
      </w:r>
      <w:r w:rsidRPr="00FC2211">
        <w:rPr>
          <w:rFonts w:eastAsia="Calibri" w:cstheme="minorHAnsi"/>
          <w:szCs w:val="20"/>
        </w:rPr>
        <w:t xml:space="preserve"> effective January 1, 2024.  The </w:t>
      </w:r>
      <w:r w:rsidR="007F5BF5" w:rsidRPr="00FC2211">
        <w:rPr>
          <w:rFonts w:eastAsia="Calibri" w:cstheme="minorHAnsi"/>
          <w:szCs w:val="20"/>
        </w:rPr>
        <w:t>entire</w:t>
      </w:r>
      <w:r w:rsidRPr="00FC2211">
        <w:rPr>
          <w:rFonts w:eastAsia="Calibri" w:cstheme="minorHAnsi"/>
          <w:szCs w:val="20"/>
        </w:rPr>
        <w:t xml:space="preserve"> balance must be repaid by December 31, 2026.  On April 7, 2021, INEO Solutions and FG Manufacturing each received an additional $20,000 </w:t>
      </w:r>
      <w:r w:rsidR="00EB3813" w:rsidRPr="00FC2211">
        <w:rPr>
          <w:rFonts w:eastAsia="Calibri" w:cstheme="minorHAnsi"/>
          <w:szCs w:val="20"/>
        </w:rPr>
        <w:t xml:space="preserve">in </w:t>
      </w:r>
      <w:r w:rsidRPr="00FC2211">
        <w:rPr>
          <w:rFonts w:eastAsia="Calibri" w:cstheme="minorHAnsi"/>
          <w:szCs w:val="20"/>
        </w:rPr>
        <w:t xml:space="preserve">loans from the Government as part of CEBA. </w:t>
      </w:r>
    </w:p>
    <w:p w14:paraId="10C1EDF2" w14:textId="77777777" w:rsidR="00AD666F" w:rsidRPr="00FC2211" w:rsidRDefault="00AD666F" w:rsidP="00AD666F">
      <w:pPr>
        <w:pStyle w:val="NormalWeb"/>
        <w:ind w:left="357"/>
        <w:jc w:val="both"/>
        <w:rPr>
          <w:rFonts w:eastAsia="Calibri" w:cstheme="minorHAnsi"/>
          <w:szCs w:val="20"/>
        </w:rPr>
      </w:pPr>
    </w:p>
    <w:p w14:paraId="7AD204C6" w14:textId="11732470" w:rsidR="00AD666F" w:rsidRPr="00FC2211" w:rsidRDefault="007F5BF5" w:rsidP="00AD666F">
      <w:pPr>
        <w:pStyle w:val="NormalWeb"/>
        <w:ind w:left="357"/>
        <w:jc w:val="both"/>
        <w:rPr>
          <w:rFonts w:eastAsia="Calibri" w:cstheme="minorHAnsi"/>
          <w:szCs w:val="20"/>
        </w:rPr>
      </w:pPr>
      <w:r w:rsidRPr="00FC2211">
        <w:rPr>
          <w:rFonts w:eastAsia="Calibri" w:cstheme="minorHAnsi"/>
          <w:szCs w:val="20"/>
        </w:rPr>
        <w:t>Under</w:t>
      </w:r>
      <w:r w:rsidR="00AD666F" w:rsidRPr="00FC2211">
        <w:rPr>
          <w:rFonts w:eastAsia="Calibri" w:cstheme="minorHAnsi"/>
          <w:szCs w:val="20"/>
        </w:rPr>
        <w:t xml:space="preserve"> </w:t>
      </w:r>
      <w:r w:rsidR="00AD666F" w:rsidRPr="00FC2211">
        <w:rPr>
          <w:rFonts w:eastAsia="Calibri" w:cstheme="minorHAnsi"/>
          <w:i/>
          <w:iCs/>
          <w:szCs w:val="20"/>
        </w:rPr>
        <w:t>IAS 20, Accounting for Government Grant and Disclosure of Government Assistance</w:t>
      </w:r>
      <w:r w:rsidR="00AD666F" w:rsidRPr="00FC2211">
        <w:rPr>
          <w:rFonts w:eastAsia="Calibri" w:cstheme="minorHAnsi"/>
          <w:szCs w:val="20"/>
        </w:rPr>
        <w:t xml:space="preserve">, the benefit of a government loan at </w:t>
      </w:r>
      <w:r w:rsidR="00EB3813" w:rsidRPr="00FC2211">
        <w:rPr>
          <w:rFonts w:eastAsia="Calibri" w:cstheme="minorHAnsi"/>
          <w:szCs w:val="20"/>
        </w:rPr>
        <w:t xml:space="preserve">a </w:t>
      </w:r>
      <w:r w:rsidR="00AD666F" w:rsidRPr="00FC2211">
        <w:rPr>
          <w:rFonts w:eastAsia="Calibri" w:cstheme="minorHAnsi"/>
          <w:szCs w:val="20"/>
        </w:rPr>
        <w:t xml:space="preserve">below-market rate is treated as a government grant and measured in accordance with </w:t>
      </w:r>
      <w:r w:rsidR="00AD666F" w:rsidRPr="00FC2211">
        <w:rPr>
          <w:rFonts w:eastAsia="Calibri" w:cstheme="minorHAnsi"/>
          <w:i/>
          <w:iCs/>
          <w:szCs w:val="20"/>
        </w:rPr>
        <w:t>IFRS 9, Financial Instruments</w:t>
      </w:r>
      <w:r w:rsidR="00AD666F" w:rsidRPr="00FC2211">
        <w:rPr>
          <w:rFonts w:eastAsia="Calibri" w:cstheme="minorHAnsi"/>
          <w:szCs w:val="20"/>
        </w:rPr>
        <w:t xml:space="preserve">. The benefit of </w:t>
      </w:r>
      <w:r w:rsidR="00EB3813" w:rsidRPr="00FC2211">
        <w:rPr>
          <w:rFonts w:eastAsia="Calibri" w:cstheme="minorHAnsi"/>
          <w:szCs w:val="20"/>
        </w:rPr>
        <w:t>below-market-rate</w:t>
      </w:r>
      <w:r w:rsidR="00AD666F" w:rsidRPr="00FC2211">
        <w:rPr>
          <w:rFonts w:eastAsia="Calibri" w:cstheme="minorHAnsi"/>
          <w:szCs w:val="20"/>
        </w:rPr>
        <w:t xml:space="preserve"> shall be measured as the difference between the initial carrying value of the loan (being the present value of a similar loan at market rates) and the proceeds received. The Company has estimated the initial carrying value of each initial CEBA loan at $26,880 and additional loans at $15,408, using a discount rate of 15%, which was the estimated rate for a similar loan without the interest-free component.  The difference will be accreted to each CEBA loan liability over the term of the CEBA Loan and offset to other income on the statements of loss and comprehensive loss.</w:t>
      </w:r>
    </w:p>
    <w:p w14:paraId="660E120B" w14:textId="7B072FB6" w:rsidR="007A756B" w:rsidRPr="00FC2211" w:rsidRDefault="007A756B" w:rsidP="00AD666F">
      <w:pPr>
        <w:pStyle w:val="NormalWeb"/>
        <w:ind w:left="357"/>
        <w:jc w:val="both"/>
        <w:rPr>
          <w:rFonts w:eastAsia="Calibri" w:cstheme="minorHAnsi"/>
          <w:szCs w:val="20"/>
        </w:rPr>
      </w:pPr>
      <w:r w:rsidRPr="00FC2211">
        <w:rPr>
          <w:rFonts w:eastAsia="Calibri" w:cstheme="minorHAnsi"/>
          <w:szCs w:val="20"/>
        </w:rPr>
        <w:br w:type="page"/>
      </w:r>
    </w:p>
    <w:p w14:paraId="16B97DD2" w14:textId="4F08EBD0" w:rsidR="007A756B" w:rsidRPr="00FC2211" w:rsidRDefault="007A756B" w:rsidP="007A756B">
      <w:pPr>
        <w:pStyle w:val="Heading1"/>
        <w:rPr>
          <w:rFonts w:cstheme="minorHAnsi"/>
          <w:szCs w:val="20"/>
        </w:rPr>
      </w:pPr>
      <w:r w:rsidRPr="00FC2211">
        <w:rPr>
          <w:rFonts w:cstheme="minorHAnsi"/>
          <w:szCs w:val="20"/>
        </w:rPr>
        <w:lastRenderedPageBreak/>
        <w:t>14.   GOVERNMENT</w:t>
      </w:r>
      <w:r w:rsidRPr="00FC2211">
        <w:rPr>
          <w:rFonts w:cstheme="minorHAnsi"/>
          <w:szCs w:val="20"/>
          <w:lang w:val="en-GB"/>
        </w:rPr>
        <w:t xml:space="preserve"> GRANT (CONTINUED)</w:t>
      </w:r>
    </w:p>
    <w:p w14:paraId="247E2761" w14:textId="77777777" w:rsidR="007A756B" w:rsidRPr="00FC2211" w:rsidRDefault="007A756B" w:rsidP="00AD666F">
      <w:pPr>
        <w:pStyle w:val="NormalWeb"/>
        <w:ind w:left="357"/>
        <w:jc w:val="both"/>
        <w:rPr>
          <w:rFonts w:eastAsia="Calibri" w:cstheme="minorHAnsi"/>
          <w:szCs w:val="20"/>
        </w:rPr>
      </w:pPr>
    </w:p>
    <w:p w14:paraId="0F071532" w14:textId="23CD071C" w:rsidR="00FF360F" w:rsidRPr="00FC2211" w:rsidRDefault="00D46A4B" w:rsidP="00EB3813">
      <w:pPr>
        <w:pStyle w:val="NormalWeb"/>
        <w:ind w:left="357"/>
        <w:jc w:val="both"/>
        <w:rPr>
          <w:rFonts w:eastAsia="Calibri" w:cstheme="minorHAnsi"/>
          <w:szCs w:val="20"/>
        </w:rPr>
      </w:pPr>
      <w:r w:rsidRPr="00FC2211">
        <w:rPr>
          <w:rFonts w:eastAsia="Calibri" w:cstheme="minorHAnsi"/>
          <w:szCs w:val="20"/>
        </w:rPr>
        <w:t xml:space="preserve">On January 12, 2022, the government </w:t>
      </w:r>
      <w:r w:rsidR="00C60172" w:rsidRPr="00FC2211">
        <w:rPr>
          <w:rFonts w:eastAsia="Calibri" w:cstheme="minorHAnsi"/>
          <w:szCs w:val="20"/>
        </w:rPr>
        <w:t>extend</w:t>
      </w:r>
      <w:r w:rsidR="006E3D59" w:rsidRPr="00FC2211">
        <w:rPr>
          <w:rFonts w:eastAsia="Calibri" w:cstheme="minorHAnsi"/>
          <w:szCs w:val="20"/>
        </w:rPr>
        <w:t>ed</w:t>
      </w:r>
      <w:r w:rsidR="00C60172" w:rsidRPr="00FC2211">
        <w:rPr>
          <w:rFonts w:eastAsia="Calibri" w:cstheme="minorHAnsi"/>
          <w:szCs w:val="20"/>
        </w:rPr>
        <w:t xml:space="preserve"> </w:t>
      </w:r>
      <w:r w:rsidR="0028468A" w:rsidRPr="00FC2211">
        <w:rPr>
          <w:rFonts w:eastAsia="Calibri" w:cstheme="minorHAnsi"/>
          <w:szCs w:val="20"/>
        </w:rPr>
        <w:t xml:space="preserve">the </w:t>
      </w:r>
      <w:r w:rsidR="00C60172" w:rsidRPr="00FC2211">
        <w:rPr>
          <w:rFonts w:eastAsia="Calibri" w:cstheme="minorHAnsi"/>
          <w:szCs w:val="20"/>
        </w:rPr>
        <w:t>loan repayment</w:t>
      </w:r>
      <w:r w:rsidR="00CE356F" w:rsidRPr="00FC2211">
        <w:rPr>
          <w:rFonts w:eastAsia="Calibri" w:cstheme="minorHAnsi"/>
          <w:szCs w:val="20"/>
        </w:rPr>
        <w:t xml:space="preserve"> deadline </w:t>
      </w:r>
      <w:r w:rsidR="001B4E85" w:rsidRPr="00FC2211">
        <w:rPr>
          <w:rFonts w:eastAsia="Calibri" w:cstheme="minorHAnsi"/>
          <w:szCs w:val="20"/>
        </w:rPr>
        <w:t xml:space="preserve">to </w:t>
      </w:r>
      <w:r w:rsidR="00CE356F" w:rsidRPr="00FC2211">
        <w:rPr>
          <w:rFonts w:eastAsia="Calibri" w:cstheme="minorHAnsi"/>
          <w:szCs w:val="20"/>
        </w:rPr>
        <w:t>December 31, 2023</w:t>
      </w:r>
      <w:r w:rsidR="00CA20C0" w:rsidRPr="00FC2211">
        <w:rPr>
          <w:rFonts w:eastAsia="Calibri" w:cstheme="minorHAnsi"/>
          <w:szCs w:val="20"/>
        </w:rPr>
        <w:t>. If the loan</w:t>
      </w:r>
      <w:r w:rsidR="007F5BF5" w:rsidRPr="00FC2211">
        <w:rPr>
          <w:rFonts w:eastAsia="Calibri" w:cstheme="minorHAnsi"/>
          <w:szCs w:val="20"/>
        </w:rPr>
        <w:t xml:space="preserve"> balance remains unpaid after December 31, 2023</w:t>
      </w:r>
      <w:r w:rsidR="00CA20C0" w:rsidRPr="00FC2211">
        <w:rPr>
          <w:rFonts w:eastAsia="Calibri" w:cstheme="minorHAnsi"/>
          <w:szCs w:val="20"/>
        </w:rPr>
        <w:t xml:space="preserve">, </w:t>
      </w:r>
      <w:r w:rsidR="00D20EDA" w:rsidRPr="00FC2211">
        <w:rPr>
          <w:rFonts w:eastAsia="Calibri" w:cstheme="minorHAnsi"/>
          <w:szCs w:val="20"/>
        </w:rPr>
        <w:t xml:space="preserve">the outstanding loans </w:t>
      </w:r>
      <w:r w:rsidR="007F5BF5" w:rsidRPr="00FC2211">
        <w:rPr>
          <w:rFonts w:eastAsia="Calibri" w:cstheme="minorHAnsi"/>
          <w:szCs w:val="20"/>
        </w:rPr>
        <w:t>will</w:t>
      </w:r>
      <w:r w:rsidR="00D20EDA" w:rsidRPr="00FC2211">
        <w:rPr>
          <w:rFonts w:eastAsia="Calibri" w:cstheme="minorHAnsi"/>
          <w:szCs w:val="20"/>
        </w:rPr>
        <w:t xml:space="preserve"> convert to two-year term loans with </w:t>
      </w:r>
      <w:r w:rsidR="007F5BF5" w:rsidRPr="00FC2211">
        <w:rPr>
          <w:rFonts w:eastAsia="Calibri" w:cstheme="minorHAnsi"/>
          <w:szCs w:val="20"/>
        </w:rPr>
        <w:t xml:space="preserve">an </w:t>
      </w:r>
      <w:r w:rsidR="00D20EDA" w:rsidRPr="00FC2211">
        <w:rPr>
          <w:rFonts w:eastAsia="Calibri" w:cstheme="minorHAnsi"/>
          <w:szCs w:val="20"/>
        </w:rPr>
        <w:t xml:space="preserve">interest of </w:t>
      </w:r>
      <w:r w:rsidR="00FF360F" w:rsidRPr="00FC2211">
        <w:rPr>
          <w:rFonts w:eastAsia="Calibri" w:cstheme="minorHAnsi"/>
          <w:szCs w:val="20"/>
        </w:rPr>
        <w:t>5%</w:t>
      </w:r>
      <w:r w:rsidR="00D20EDA" w:rsidRPr="00FC2211">
        <w:rPr>
          <w:rFonts w:eastAsia="Calibri" w:cstheme="minorHAnsi"/>
          <w:szCs w:val="20"/>
        </w:rPr>
        <w:t xml:space="preserve"> per annum commencing on January 1, 2024, with the loans </w:t>
      </w:r>
      <w:r w:rsidR="007F5BF5" w:rsidRPr="00FC2211">
        <w:rPr>
          <w:rFonts w:eastAsia="Calibri" w:cstheme="minorHAnsi"/>
          <w:szCs w:val="20"/>
        </w:rPr>
        <w:t>entirely</w:t>
      </w:r>
      <w:r w:rsidR="00D20EDA" w:rsidRPr="00FC2211">
        <w:rPr>
          <w:rFonts w:eastAsia="Calibri" w:cstheme="minorHAnsi"/>
          <w:szCs w:val="20"/>
        </w:rPr>
        <w:t xml:space="preserve"> due by December 31, 2025.</w:t>
      </w:r>
      <w:r w:rsidR="009656D0" w:rsidRPr="00FC2211">
        <w:rPr>
          <w:rFonts w:eastAsia="Calibri" w:cstheme="minorHAnsi"/>
          <w:szCs w:val="20"/>
        </w:rPr>
        <w:t xml:space="preserve"> </w:t>
      </w:r>
      <w:r w:rsidR="002C42D9" w:rsidRPr="00FC2211">
        <w:rPr>
          <w:rFonts w:eastAsia="Calibri" w:cstheme="minorHAnsi"/>
          <w:szCs w:val="20"/>
        </w:rPr>
        <w:t xml:space="preserve">The Company has estimated the new carrying value of the CEBA loan at </w:t>
      </w:r>
      <w:r w:rsidR="00B81DB6" w:rsidRPr="00FC2211">
        <w:rPr>
          <w:rFonts w:eastAsia="Calibri" w:cstheme="minorHAnsi"/>
          <w:szCs w:val="20"/>
        </w:rPr>
        <w:t>$103,381</w:t>
      </w:r>
      <w:r w:rsidR="002C42D9" w:rsidRPr="00FC2211">
        <w:rPr>
          <w:rFonts w:eastAsia="Calibri" w:cstheme="minorHAnsi"/>
          <w:szCs w:val="20"/>
        </w:rPr>
        <w:t>, using a discount rate of 15%, which was the estimated rate for a similar loan without the interest</w:t>
      </w:r>
      <w:r w:rsidR="00EB3813" w:rsidRPr="00FC2211">
        <w:rPr>
          <w:rFonts w:eastAsia="Calibri" w:cstheme="minorHAnsi"/>
          <w:szCs w:val="20"/>
        </w:rPr>
        <w:t>-</w:t>
      </w:r>
      <w:r w:rsidR="002C42D9" w:rsidRPr="00FC2211">
        <w:rPr>
          <w:rFonts w:eastAsia="Calibri" w:cstheme="minorHAnsi"/>
          <w:szCs w:val="20"/>
        </w:rPr>
        <w:t xml:space="preserve">free component.  </w:t>
      </w:r>
      <w:r w:rsidR="008D3BDD" w:rsidRPr="00FC2211">
        <w:rPr>
          <w:rFonts w:eastAsia="Calibri" w:cstheme="minorHAnsi"/>
          <w:szCs w:val="20"/>
        </w:rPr>
        <w:t xml:space="preserve">Furthermore, the Company has estimated that the loan remeasurement resulted </w:t>
      </w:r>
      <w:r w:rsidR="00EB3813" w:rsidRPr="00FC2211">
        <w:rPr>
          <w:rFonts w:eastAsia="Calibri" w:cstheme="minorHAnsi"/>
          <w:szCs w:val="20"/>
        </w:rPr>
        <w:t>in</w:t>
      </w:r>
      <w:r w:rsidR="008D3BDD" w:rsidRPr="00FC2211">
        <w:rPr>
          <w:rFonts w:eastAsia="Calibri" w:cstheme="minorHAnsi"/>
          <w:szCs w:val="20"/>
        </w:rPr>
        <w:t xml:space="preserve"> </w:t>
      </w:r>
      <w:r w:rsidR="002B484B" w:rsidRPr="00FC2211">
        <w:rPr>
          <w:rFonts w:eastAsia="Calibri" w:cstheme="minorHAnsi"/>
          <w:szCs w:val="20"/>
        </w:rPr>
        <w:t>a</w:t>
      </w:r>
      <w:r w:rsidR="00EB3813" w:rsidRPr="00FC2211">
        <w:rPr>
          <w:rFonts w:eastAsia="Calibri" w:cstheme="minorHAnsi"/>
          <w:szCs w:val="20"/>
        </w:rPr>
        <w:t xml:space="preserve"> </w:t>
      </w:r>
      <w:r w:rsidR="008D3BDD" w:rsidRPr="00FC2211">
        <w:rPr>
          <w:rFonts w:eastAsia="Calibri" w:cstheme="minorHAnsi"/>
          <w:szCs w:val="20"/>
        </w:rPr>
        <w:t xml:space="preserve">gain of $8,620. </w:t>
      </w:r>
      <w:r w:rsidR="002C42D9" w:rsidRPr="00FC2211">
        <w:rPr>
          <w:rFonts w:eastAsia="Calibri" w:cstheme="minorHAnsi"/>
          <w:szCs w:val="20"/>
        </w:rPr>
        <w:t xml:space="preserve">The difference will be accreted to each CEBA loan liability over the term of the CEBA Loan and offset to other income </w:t>
      </w:r>
      <w:r w:rsidR="00EB3813" w:rsidRPr="00FC2211">
        <w:rPr>
          <w:rFonts w:eastAsia="Calibri" w:cstheme="minorHAnsi"/>
          <w:szCs w:val="20"/>
        </w:rPr>
        <w:t xml:space="preserve">(expenses) </w:t>
      </w:r>
      <w:r w:rsidR="002C42D9" w:rsidRPr="00FC2211">
        <w:rPr>
          <w:rFonts w:eastAsia="Calibri" w:cstheme="minorHAnsi"/>
          <w:szCs w:val="20"/>
        </w:rPr>
        <w:t>on the statements of loss and comprehensive loss.</w:t>
      </w:r>
      <w:r w:rsidR="000C5CF4" w:rsidRPr="00FC2211">
        <w:rPr>
          <w:rFonts w:eastAsia="Calibri" w:cstheme="minorHAnsi"/>
          <w:szCs w:val="20"/>
        </w:rPr>
        <w:t xml:space="preserve"> </w:t>
      </w:r>
    </w:p>
    <w:p w14:paraId="74414C16" w14:textId="77777777" w:rsidR="009105C2" w:rsidRPr="00FC2211" w:rsidRDefault="009105C2" w:rsidP="00AD666F">
      <w:pPr>
        <w:pStyle w:val="NormalWeb"/>
        <w:ind w:left="357"/>
        <w:jc w:val="both"/>
        <w:rPr>
          <w:rFonts w:eastAsia="Calibri" w:cstheme="minorHAnsi"/>
          <w:szCs w:val="20"/>
        </w:rPr>
      </w:pPr>
    </w:p>
    <w:p w14:paraId="221BBD44" w14:textId="5AF85426" w:rsidR="003E38DD" w:rsidRPr="00FC2211" w:rsidRDefault="003E38DD" w:rsidP="00AD666F">
      <w:pPr>
        <w:pStyle w:val="NormalWeb"/>
        <w:ind w:left="357"/>
        <w:jc w:val="both"/>
        <w:rPr>
          <w:rFonts w:eastAsia="Calibri" w:cstheme="minorHAnsi"/>
          <w:szCs w:val="20"/>
        </w:rPr>
      </w:pPr>
      <w:r w:rsidRPr="00FC2211">
        <w:rPr>
          <w:rFonts w:eastAsia="Calibri" w:cstheme="minorHAnsi"/>
          <w:szCs w:val="20"/>
        </w:rPr>
        <w:t xml:space="preserve">On </w:t>
      </w:r>
      <w:r w:rsidR="000D6889" w:rsidRPr="00FC2211">
        <w:rPr>
          <w:rFonts w:eastAsia="Calibri" w:cstheme="minorHAnsi"/>
          <w:szCs w:val="20"/>
        </w:rPr>
        <w:t xml:space="preserve">September 14, 2023, the government extended the loan repayment deadline to </w:t>
      </w:r>
      <w:r w:rsidR="007803BA" w:rsidRPr="00FC2211">
        <w:rPr>
          <w:rFonts w:eastAsia="Calibri" w:cstheme="minorHAnsi"/>
          <w:szCs w:val="20"/>
        </w:rPr>
        <w:t>January 18, 2024</w:t>
      </w:r>
      <w:r w:rsidR="00F63F8D" w:rsidRPr="00FC2211">
        <w:rPr>
          <w:rFonts w:eastAsia="Calibri" w:cstheme="minorHAnsi"/>
          <w:szCs w:val="20"/>
        </w:rPr>
        <w:t>. Additionally,</w:t>
      </w:r>
      <w:r w:rsidR="00D05C91" w:rsidRPr="00FC2211">
        <w:rPr>
          <w:rFonts w:eastAsia="Calibri" w:cstheme="minorHAnsi"/>
          <w:szCs w:val="20"/>
        </w:rPr>
        <w:t xml:space="preserve"> </w:t>
      </w:r>
      <w:r w:rsidR="00A73A98" w:rsidRPr="00FC2211">
        <w:rPr>
          <w:rFonts w:eastAsia="Calibri" w:cstheme="minorHAnsi"/>
          <w:szCs w:val="20"/>
        </w:rPr>
        <w:t>repaying the balance of the loan</w:t>
      </w:r>
      <w:r w:rsidR="00D05C91" w:rsidRPr="00FC2211">
        <w:rPr>
          <w:rFonts w:eastAsia="Calibri" w:cstheme="minorHAnsi"/>
          <w:szCs w:val="20"/>
        </w:rPr>
        <w:t xml:space="preserve"> on or before said date</w:t>
      </w:r>
      <w:r w:rsidR="00A73A98" w:rsidRPr="00FC2211">
        <w:rPr>
          <w:rFonts w:eastAsia="Calibri" w:cstheme="minorHAnsi"/>
          <w:szCs w:val="20"/>
        </w:rPr>
        <w:t xml:space="preserve"> will result </w:t>
      </w:r>
      <w:r w:rsidR="001B11C8" w:rsidRPr="00FC2211">
        <w:rPr>
          <w:rFonts w:eastAsia="Calibri" w:cstheme="minorHAnsi"/>
          <w:szCs w:val="20"/>
        </w:rPr>
        <w:t>in</w:t>
      </w:r>
      <w:r w:rsidR="00A73A98" w:rsidRPr="00FC2211">
        <w:rPr>
          <w:rFonts w:eastAsia="Calibri" w:cstheme="minorHAnsi"/>
          <w:szCs w:val="20"/>
        </w:rPr>
        <w:t xml:space="preserve"> loan forgiveness of up to 33%</w:t>
      </w:r>
      <w:r w:rsidR="00F63F8D" w:rsidRPr="00FC2211">
        <w:rPr>
          <w:rFonts w:eastAsia="Calibri" w:cstheme="minorHAnsi"/>
          <w:szCs w:val="20"/>
        </w:rPr>
        <w:t xml:space="preserve"> or</w:t>
      </w:r>
      <w:r w:rsidR="001B11C8" w:rsidRPr="00FC2211">
        <w:rPr>
          <w:rFonts w:eastAsia="Calibri" w:cstheme="minorHAnsi"/>
          <w:szCs w:val="20"/>
        </w:rPr>
        <w:t xml:space="preserve"> up to</w:t>
      </w:r>
      <w:r w:rsidR="00F63F8D" w:rsidRPr="00FC2211">
        <w:rPr>
          <w:rFonts w:eastAsia="Calibri" w:cstheme="minorHAnsi"/>
          <w:szCs w:val="20"/>
        </w:rPr>
        <w:t xml:space="preserve"> $20,000</w:t>
      </w:r>
      <w:r w:rsidR="007803BA" w:rsidRPr="00FC2211">
        <w:rPr>
          <w:rFonts w:eastAsia="Calibri" w:cstheme="minorHAnsi"/>
          <w:szCs w:val="20"/>
        </w:rPr>
        <w:t xml:space="preserve">. </w:t>
      </w:r>
      <w:r w:rsidR="004E5F61" w:rsidRPr="00FC2211">
        <w:rPr>
          <w:rFonts w:eastAsia="Calibri" w:cstheme="minorHAnsi"/>
          <w:szCs w:val="20"/>
        </w:rPr>
        <w:t>Furthermore, CEBA loan holders who submit a refinancing loan application to t</w:t>
      </w:r>
      <w:r w:rsidR="0048343E" w:rsidRPr="00FC2211">
        <w:rPr>
          <w:rFonts w:eastAsia="Calibri" w:cstheme="minorHAnsi"/>
          <w:szCs w:val="20"/>
        </w:rPr>
        <w:t>heir</w:t>
      </w:r>
      <w:r w:rsidR="004E5F61" w:rsidRPr="00FC2211">
        <w:rPr>
          <w:rFonts w:eastAsia="Calibri" w:cstheme="minorHAnsi"/>
          <w:szCs w:val="20"/>
        </w:rPr>
        <w:t xml:space="preserve"> financial institution </w:t>
      </w:r>
      <w:r w:rsidR="0048343E" w:rsidRPr="00FC2211">
        <w:rPr>
          <w:rFonts w:eastAsia="Calibri" w:cstheme="minorHAnsi"/>
          <w:szCs w:val="20"/>
        </w:rPr>
        <w:t>provider</w:t>
      </w:r>
      <w:r w:rsidR="004E5F61" w:rsidRPr="00FC2211">
        <w:rPr>
          <w:rFonts w:eastAsia="Calibri" w:cstheme="minorHAnsi"/>
          <w:szCs w:val="20"/>
        </w:rPr>
        <w:t xml:space="preserve"> by January 18, 2024, </w:t>
      </w:r>
      <w:r w:rsidR="00E21EEA" w:rsidRPr="00FC2211">
        <w:rPr>
          <w:rFonts w:eastAsia="Calibri" w:cstheme="minorHAnsi"/>
          <w:szCs w:val="20"/>
        </w:rPr>
        <w:t>requiring</w:t>
      </w:r>
      <w:r w:rsidR="004E5F61" w:rsidRPr="00FC2211">
        <w:rPr>
          <w:rFonts w:eastAsia="Calibri" w:cstheme="minorHAnsi"/>
          <w:szCs w:val="20"/>
        </w:rPr>
        <w:t xml:space="preserve"> a grace period can still qualify for partial loan forgiveness if the outstanding principal of their CEBA loan, plus any applicable interest is repaid by March 28, 2024.</w:t>
      </w:r>
      <w:r w:rsidR="008E0BCB" w:rsidRPr="00FC2211">
        <w:rPr>
          <w:rFonts w:eastAsia="Calibri" w:cstheme="minorHAnsi"/>
          <w:szCs w:val="20"/>
        </w:rPr>
        <w:t xml:space="preserve"> The Government of Canada also extended the final loan maturity date from December 31, 2025</w:t>
      </w:r>
      <w:r w:rsidR="00B97608" w:rsidRPr="00FC2211">
        <w:rPr>
          <w:rFonts w:eastAsia="Calibri" w:cstheme="minorHAnsi"/>
          <w:szCs w:val="20"/>
        </w:rPr>
        <w:t>,</w:t>
      </w:r>
      <w:r w:rsidR="008E0BCB" w:rsidRPr="00FC2211">
        <w:rPr>
          <w:rFonts w:eastAsia="Calibri" w:cstheme="minorHAnsi"/>
          <w:szCs w:val="20"/>
        </w:rPr>
        <w:t xml:space="preserve"> to December 31, 2026</w:t>
      </w:r>
      <w:r w:rsidR="003C58E8" w:rsidRPr="00FC2211">
        <w:rPr>
          <w:rFonts w:eastAsia="Calibri" w:cstheme="minorHAnsi"/>
          <w:szCs w:val="20"/>
        </w:rPr>
        <w:t>,</w:t>
      </w:r>
      <w:r w:rsidR="00B97608" w:rsidRPr="00FC2211">
        <w:rPr>
          <w:rFonts w:eastAsia="Calibri" w:cstheme="minorHAnsi"/>
          <w:szCs w:val="20"/>
        </w:rPr>
        <w:t xml:space="preserve"> with the same interest </w:t>
      </w:r>
      <w:r w:rsidR="003C58E8" w:rsidRPr="00FC2211">
        <w:rPr>
          <w:rFonts w:eastAsia="Calibri" w:cstheme="minorHAnsi"/>
          <w:szCs w:val="20"/>
        </w:rPr>
        <w:t xml:space="preserve">rate </w:t>
      </w:r>
      <w:r w:rsidR="00B97608" w:rsidRPr="00FC2211">
        <w:rPr>
          <w:rFonts w:eastAsia="Calibri" w:cstheme="minorHAnsi"/>
          <w:szCs w:val="20"/>
        </w:rPr>
        <w:t>of 5% per annum.</w:t>
      </w:r>
    </w:p>
    <w:p w14:paraId="4E34F3A9" w14:textId="77777777" w:rsidR="004E5F61" w:rsidRPr="00FC2211" w:rsidRDefault="004E5F61" w:rsidP="00AD666F">
      <w:pPr>
        <w:pStyle w:val="NormalWeb"/>
        <w:ind w:left="357"/>
        <w:jc w:val="both"/>
        <w:rPr>
          <w:rFonts w:eastAsia="Calibri" w:cstheme="minorHAnsi"/>
          <w:szCs w:val="20"/>
        </w:rPr>
      </w:pPr>
    </w:p>
    <w:p w14:paraId="44D72269" w14:textId="03481919" w:rsidR="00AD666F" w:rsidRPr="00FC2211" w:rsidRDefault="00AD666F" w:rsidP="00AD666F">
      <w:pPr>
        <w:pStyle w:val="NormalWeb"/>
        <w:ind w:left="357"/>
        <w:jc w:val="both"/>
        <w:rPr>
          <w:rFonts w:eastAsia="Calibri" w:cstheme="minorHAnsi"/>
          <w:szCs w:val="20"/>
        </w:rPr>
      </w:pPr>
      <w:r w:rsidRPr="00FC2211">
        <w:rPr>
          <w:rFonts w:eastAsia="Calibri" w:cstheme="minorHAnsi"/>
          <w:szCs w:val="20"/>
        </w:rPr>
        <w:t xml:space="preserve">During the </w:t>
      </w:r>
      <w:r w:rsidR="00880D77" w:rsidRPr="00FC2211">
        <w:rPr>
          <w:rFonts w:eastAsia="Calibri" w:cstheme="minorHAnsi"/>
          <w:szCs w:val="20"/>
        </w:rPr>
        <w:t>six</w:t>
      </w:r>
      <w:r w:rsidR="00BE58B2" w:rsidRPr="00FC2211">
        <w:rPr>
          <w:rFonts w:eastAsia="Calibri" w:cstheme="minorHAnsi"/>
          <w:szCs w:val="20"/>
        </w:rPr>
        <w:t xml:space="preserve"> months</w:t>
      </w:r>
      <w:r w:rsidRPr="00FC2211">
        <w:rPr>
          <w:rFonts w:eastAsia="Calibri" w:cstheme="minorHAnsi"/>
          <w:szCs w:val="20"/>
        </w:rPr>
        <w:t xml:space="preserve"> ended </w:t>
      </w:r>
      <w:r w:rsidR="00880D77" w:rsidRPr="00FC2211">
        <w:rPr>
          <w:rFonts w:eastAsia="Calibri" w:cstheme="minorHAnsi"/>
          <w:szCs w:val="20"/>
        </w:rPr>
        <w:t>December</w:t>
      </w:r>
      <w:r w:rsidR="009105C2" w:rsidRPr="00FC2211">
        <w:rPr>
          <w:rFonts w:eastAsia="Calibri" w:cstheme="minorHAnsi"/>
          <w:szCs w:val="20"/>
        </w:rPr>
        <w:t xml:space="preserve"> 3</w:t>
      </w:r>
      <w:r w:rsidR="00880D77" w:rsidRPr="00FC2211">
        <w:rPr>
          <w:rFonts w:eastAsia="Calibri" w:cstheme="minorHAnsi"/>
          <w:szCs w:val="20"/>
        </w:rPr>
        <w:t>1</w:t>
      </w:r>
      <w:r w:rsidRPr="00FC2211">
        <w:rPr>
          <w:rFonts w:eastAsia="Calibri" w:cstheme="minorHAnsi"/>
          <w:szCs w:val="20"/>
        </w:rPr>
        <w:t xml:space="preserve">, 2023, </w:t>
      </w:r>
      <w:r w:rsidR="007F5BF5" w:rsidRPr="00FC2211">
        <w:rPr>
          <w:rFonts w:eastAsia="Calibri" w:cstheme="minorHAnsi"/>
          <w:szCs w:val="20"/>
        </w:rPr>
        <w:t xml:space="preserve">the </w:t>
      </w:r>
      <w:r w:rsidRPr="00FC2211">
        <w:rPr>
          <w:rFonts w:eastAsia="Calibri" w:cstheme="minorHAnsi"/>
          <w:szCs w:val="20"/>
        </w:rPr>
        <w:t>total interest expense recognized for the CEBA grants amounted to $</w:t>
      </w:r>
      <w:r w:rsidR="00B216C8" w:rsidRPr="00FC2211">
        <w:rPr>
          <w:rFonts w:eastAsia="Calibri" w:cstheme="minorHAnsi"/>
          <w:szCs w:val="20"/>
        </w:rPr>
        <w:t>9,185</w:t>
      </w:r>
      <w:r w:rsidRPr="00FC2211">
        <w:rPr>
          <w:rFonts w:eastAsia="Calibri" w:cstheme="minorHAnsi"/>
          <w:szCs w:val="20"/>
        </w:rPr>
        <w:t xml:space="preserve"> (</w:t>
      </w:r>
      <w:r w:rsidR="00880D77" w:rsidRPr="00FC2211">
        <w:rPr>
          <w:rFonts w:eastAsia="Calibri" w:cstheme="minorHAnsi"/>
          <w:szCs w:val="20"/>
        </w:rPr>
        <w:t>December</w:t>
      </w:r>
      <w:r w:rsidRPr="00FC2211">
        <w:rPr>
          <w:rFonts w:eastAsia="Calibri" w:cstheme="minorHAnsi"/>
          <w:szCs w:val="20"/>
        </w:rPr>
        <w:t xml:space="preserve"> 3</w:t>
      </w:r>
      <w:r w:rsidR="00880D77" w:rsidRPr="00FC2211">
        <w:rPr>
          <w:rFonts w:eastAsia="Calibri" w:cstheme="minorHAnsi"/>
          <w:szCs w:val="20"/>
        </w:rPr>
        <w:t>1</w:t>
      </w:r>
      <w:r w:rsidRPr="00FC2211">
        <w:rPr>
          <w:rFonts w:eastAsia="Calibri" w:cstheme="minorHAnsi"/>
          <w:szCs w:val="20"/>
        </w:rPr>
        <w:t>, 2022 - $</w:t>
      </w:r>
      <w:r w:rsidR="008C1031" w:rsidRPr="00FC2211">
        <w:rPr>
          <w:rFonts w:eastAsia="Calibri" w:cstheme="minorHAnsi"/>
          <w:szCs w:val="20"/>
        </w:rPr>
        <w:t>8,618</w:t>
      </w:r>
      <w:r w:rsidRPr="00FC2211">
        <w:rPr>
          <w:rFonts w:eastAsia="Calibri" w:cstheme="minorHAnsi"/>
          <w:szCs w:val="20"/>
        </w:rPr>
        <w:t xml:space="preserve">). The reconciliation of opening and closing balances of government </w:t>
      </w:r>
      <w:r w:rsidR="007F5BF5" w:rsidRPr="00FC2211">
        <w:rPr>
          <w:rFonts w:eastAsia="Calibri" w:cstheme="minorHAnsi"/>
          <w:szCs w:val="20"/>
        </w:rPr>
        <w:t>grants</w:t>
      </w:r>
      <w:r w:rsidRPr="00FC2211">
        <w:rPr>
          <w:rFonts w:eastAsia="Calibri" w:cstheme="minorHAnsi"/>
          <w:szCs w:val="20"/>
        </w:rPr>
        <w:t xml:space="preserve"> follows:</w:t>
      </w:r>
    </w:p>
    <w:p w14:paraId="75C81F1B" w14:textId="77777777" w:rsidR="008A2A6A" w:rsidRPr="00FC2211" w:rsidRDefault="008A2A6A" w:rsidP="00AD666F">
      <w:pPr>
        <w:pStyle w:val="NormalWeb"/>
        <w:ind w:left="357"/>
        <w:jc w:val="both"/>
        <w:rPr>
          <w:rFonts w:eastAsia="Calibri" w:cstheme="minorHAnsi"/>
          <w:szCs w:val="20"/>
        </w:rPr>
      </w:pPr>
    </w:p>
    <w:tbl>
      <w:tblPr>
        <w:tblW w:w="7629" w:type="dxa"/>
        <w:jc w:val="center"/>
        <w:tblLook w:val="04A0" w:firstRow="1" w:lastRow="0" w:firstColumn="1" w:lastColumn="0" w:noHBand="0" w:noVBand="1"/>
      </w:tblPr>
      <w:tblGrid>
        <w:gridCol w:w="3969"/>
        <w:gridCol w:w="2134"/>
        <w:gridCol w:w="1526"/>
      </w:tblGrid>
      <w:tr w:rsidR="00F75509" w:rsidRPr="00FC2211" w14:paraId="7452E3FB" w14:textId="77777777" w:rsidTr="00F75509">
        <w:trPr>
          <w:trHeight w:val="288"/>
          <w:jc w:val="center"/>
        </w:trPr>
        <w:tc>
          <w:tcPr>
            <w:tcW w:w="3969" w:type="dxa"/>
            <w:tcBorders>
              <w:top w:val="nil"/>
              <w:left w:val="nil"/>
              <w:bottom w:val="single" w:sz="8" w:space="0" w:color="auto"/>
              <w:right w:val="nil"/>
            </w:tcBorders>
            <w:shd w:val="clear" w:color="auto" w:fill="auto"/>
            <w:vAlign w:val="center"/>
            <w:hideMark/>
          </w:tcPr>
          <w:p w14:paraId="58CA5FEB" w14:textId="77777777" w:rsidR="00F75509" w:rsidRPr="00FC2211" w:rsidRDefault="00F75509" w:rsidP="00F75509">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w:t>
            </w:r>
          </w:p>
        </w:tc>
        <w:tc>
          <w:tcPr>
            <w:tcW w:w="2134" w:type="dxa"/>
            <w:tcBorders>
              <w:top w:val="nil"/>
              <w:left w:val="nil"/>
              <w:bottom w:val="single" w:sz="8" w:space="0" w:color="auto"/>
              <w:right w:val="nil"/>
            </w:tcBorders>
            <w:shd w:val="clear" w:color="auto" w:fill="auto"/>
            <w:vAlign w:val="center"/>
            <w:hideMark/>
          </w:tcPr>
          <w:p w14:paraId="66CEA42B" w14:textId="26B8ECDC" w:rsidR="00F75509" w:rsidRPr="00FC2211" w:rsidRDefault="00B216C8" w:rsidP="00F75509">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December 31</w:t>
            </w:r>
            <w:r w:rsidR="00F75509" w:rsidRPr="00FC2211">
              <w:rPr>
                <w:rFonts w:ascii="Calibri" w:hAnsi="Calibri" w:cs="Calibri"/>
                <w:b/>
                <w:bCs/>
                <w:color w:val="000000"/>
                <w:szCs w:val="20"/>
                <w:lang w:val="en-CA" w:eastAsia="en-CA"/>
              </w:rPr>
              <w:t>, 2023</w:t>
            </w:r>
          </w:p>
        </w:tc>
        <w:tc>
          <w:tcPr>
            <w:tcW w:w="1526" w:type="dxa"/>
            <w:tcBorders>
              <w:top w:val="nil"/>
              <w:left w:val="nil"/>
              <w:bottom w:val="single" w:sz="8" w:space="0" w:color="auto"/>
              <w:right w:val="nil"/>
            </w:tcBorders>
            <w:shd w:val="clear" w:color="auto" w:fill="auto"/>
            <w:noWrap/>
            <w:vAlign w:val="center"/>
            <w:hideMark/>
          </w:tcPr>
          <w:p w14:paraId="207CF1BF" w14:textId="49896A3D" w:rsidR="00F75509" w:rsidRPr="00FC2211" w:rsidRDefault="00F75509" w:rsidP="00F75509">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June 30, 202</w:t>
            </w:r>
            <w:r w:rsidR="004F5A53" w:rsidRPr="00FC2211">
              <w:rPr>
                <w:rFonts w:ascii="Calibri" w:hAnsi="Calibri" w:cs="Calibri"/>
                <w:color w:val="000000"/>
                <w:szCs w:val="20"/>
                <w:lang w:val="en-CA" w:eastAsia="en-CA"/>
              </w:rPr>
              <w:t>3</w:t>
            </w:r>
          </w:p>
        </w:tc>
      </w:tr>
      <w:tr w:rsidR="00F75509" w:rsidRPr="00FC2211" w14:paraId="6D03AC4E" w14:textId="77777777" w:rsidTr="00F75509">
        <w:trPr>
          <w:trHeight w:val="276"/>
          <w:jc w:val="center"/>
        </w:trPr>
        <w:tc>
          <w:tcPr>
            <w:tcW w:w="3969" w:type="dxa"/>
            <w:tcBorders>
              <w:top w:val="nil"/>
              <w:left w:val="nil"/>
              <w:bottom w:val="nil"/>
              <w:right w:val="nil"/>
            </w:tcBorders>
            <w:shd w:val="clear" w:color="auto" w:fill="auto"/>
            <w:vAlign w:val="center"/>
            <w:hideMark/>
          </w:tcPr>
          <w:p w14:paraId="2B010BD8" w14:textId="77777777" w:rsidR="00F75509" w:rsidRPr="00FC2211" w:rsidRDefault="00F75509" w:rsidP="00F75509">
            <w:pPr>
              <w:rPr>
                <w:rFonts w:ascii="Calibri" w:hAnsi="Calibri" w:cs="Calibri"/>
                <w:color w:val="000000"/>
                <w:szCs w:val="20"/>
                <w:lang w:val="en-CA" w:eastAsia="en-CA"/>
              </w:rPr>
            </w:pPr>
            <w:r w:rsidRPr="00FC2211">
              <w:rPr>
                <w:rFonts w:ascii="Calibri" w:hAnsi="Calibri" w:cs="Calibri"/>
                <w:color w:val="000000"/>
                <w:szCs w:val="20"/>
                <w:lang w:val="en-CA" w:eastAsia="en-CA"/>
              </w:rPr>
              <w:t>Beginning balance</w:t>
            </w:r>
          </w:p>
        </w:tc>
        <w:tc>
          <w:tcPr>
            <w:tcW w:w="2134" w:type="dxa"/>
            <w:tcBorders>
              <w:top w:val="nil"/>
              <w:left w:val="nil"/>
              <w:bottom w:val="nil"/>
              <w:right w:val="nil"/>
            </w:tcBorders>
            <w:shd w:val="clear" w:color="auto" w:fill="auto"/>
            <w:vAlign w:val="center"/>
            <w:hideMark/>
          </w:tcPr>
          <w:p w14:paraId="62303A74" w14:textId="54F06F2E" w:rsidR="00F75509" w:rsidRPr="00FC2211" w:rsidRDefault="00F75509" w:rsidP="00F75509">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111,380 </w:t>
            </w:r>
          </w:p>
        </w:tc>
        <w:tc>
          <w:tcPr>
            <w:tcW w:w="1526" w:type="dxa"/>
            <w:tcBorders>
              <w:top w:val="nil"/>
              <w:left w:val="nil"/>
              <w:bottom w:val="nil"/>
              <w:right w:val="nil"/>
            </w:tcBorders>
            <w:shd w:val="clear" w:color="auto" w:fill="auto"/>
            <w:vAlign w:val="center"/>
            <w:hideMark/>
          </w:tcPr>
          <w:p w14:paraId="6F3F5DF0" w14:textId="3354F0E7" w:rsidR="00F75509" w:rsidRPr="00FC2211" w:rsidRDefault="00F75509" w:rsidP="00F75509">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111,382 </w:t>
            </w:r>
          </w:p>
        </w:tc>
      </w:tr>
      <w:tr w:rsidR="00F75509" w:rsidRPr="00FC2211" w14:paraId="427DDF8B" w14:textId="77777777" w:rsidTr="00F75509">
        <w:trPr>
          <w:trHeight w:val="276"/>
          <w:jc w:val="center"/>
        </w:trPr>
        <w:tc>
          <w:tcPr>
            <w:tcW w:w="3969" w:type="dxa"/>
            <w:tcBorders>
              <w:top w:val="nil"/>
              <w:left w:val="nil"/>
              <w:bottom w:val="nil"/>
              <w:right w:val="nil"/>
            </w:tcBorders>
            <w:shd w:val="clear" w:color="auto" w:fill="auto"/>
            <w:vAlign w:val="center"/>
            <w:hideMark/>
          </w:tcPr>
          <w:p w14:paraId="40F630BC" w14:textId="77777777" w:rsidR="00F75509" w:rsidRPr="00FC2211" w:rsidRDefault="00F75509" w:rsidP="00F75509">
            <w:pPr>
              <w:rPr>
                <w:rFonts w:ascii="Calibri" w:hAnsi="Calibri" w:cs="Calibri"/>
                <w:color w:val="000000"/>
                <w:szCs w:val="20"/>
                <w:lang w:val="en-CA" w:eastAsia="en-CA"/>
              </w:rPr>
            </w:pPr>
            <w:r w:rsidRPr="00FC2211">
              <w:rPr>
                <w:rFonts w:ascii="Calibri" w:hAnsi="Calibri" w:cs="Calibri"/>
                <w:color w:val="000000"/>
                <w:szCs w:val="20"/>
                <w:lang w:val="en-CA" w:eastAsia="en-CA"/>
              </w:rPr>
              <w:t>Interest accrued</w:t>
            </w:r>
          </w:p>
        </w:tc>
        <w:tc>
          <w:tcPr>
            <w:tcW w:w="2134" w:type="dxa"/>
            <w:tcBorders>
              <w:top w:val="nil"/>
              <w:left w:val="nil"/>
              <w:bottom w:val="nil"/>
              <w:right w:val="nil"/>
            </w:tcBorders>
            <w:shd w:val="clear" w:color="auto" w:fill="auto"/>
            <w:vAlign w:val="center"/>
            <w:hideMark/>
          </w:tcPr>
          <w:p w14:paraId="3FB874A3" w14:textId="5001E9A1" w:rsidR="00F75509" w:rsidRPr="00FC2211" w:rsidRDefault="00F75509" w:rsidP="00F75509">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92513D" w:rsidRPr="00FC2211">
              <w:rPr>
                <w:rFonts w:ascii="Calibri" w:hAnsi="Calibri" w:cs="Calibri"/>
                <w:b/>
                <w:bCs/>
                <w:color w:val="000000"/>
                <w:szCs w:val="20"/>
                <w:lang w:val="en-CA" w:eastAsia="en-CA"/>
              </w:rPr>
              <w:t>9,185</w:t>
            </w:r>
            <w:r w:rsidRPr="00FC2211">
              <w:rPr>
                <w:rFonts w:ascii="Calibri" w:hAnsi="Calibri" w:cs="Calibri"/>
                <w:b/>
                <w:bCs/>
                <w:color w:val="000000"/>
                <w:szCs w:val="20"/>
                <w:lang w:val="en-CA" w:eastAsia="en-CA"/>
              </w:rPr>
              <w:t xml:space="preserve"> </w:t>
            </w:r>
          </w:p>
        </w:tc>
        <w:tc>
          <w:tcPr>
            <w:tcW w:w="1526" w:type="dxa"/>
            <w:tcBorders>
              <w:top w:val="nil"/>
              <w:left w:val="nil"/>
              <w:bottom w:val="nil"/>
              <w:right w:val="nil"/>
            </w:tcBorders>
            <w:shd w:val="clear" w:color="auto" w:fill="auto"/>
            <w:vAlign w:val="center"/>
            <w:hideMark/>
          </w:tcPr>
          <w:p w14:paraId="225F70FA" w14:textId="5CAA95FF" w:rsidR="00F75509" w:rsidRPr="00FC2211" w:rsidRDefault="00F75509" w:rsidP="00F75509">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8,618 </w:t>
            </w:r>
          </w:p>
        </w:tc>
      </w:tr>
      <w:tr w:rsidR="00F75509" w:rsidRPr="00FC2211" w14:paraId="6B65DE85" w14:textId="77777777" w:rsidTr="00F75509">
        <w:trPr>
          <w:trHeight w:val="223"/>
          <w:jc w:val="center"/>
        </w:trPr>
        <w:tc>
          <w:tcPr>
            <w:tcW w:w="3969" w:type="dxa"/>
            <w:tcBorders>
              <w:top w:val="nil"/>
              <w:left w:val="nil"/>
              <w:bottom w:val="nil"/>
              <w:right w:val="nil"/>
            </w:tcBorders>
            <w:shd w:val="clear" w:color="auto" w:fill="auto"/>
            <w:vAlign w:val="center"/>
            <w:hideMark/>
          </w:tcPr>
          <w:p w14:paraId="71F59E3A" w14:textId="77777777" w:rsidR="00F75509" w:rsidRPr="00FC2211" w:rsidRDefault="00F75509" w:rsidP="00F75509">
            <w:pPr>
              <w:rPr>
                <w:rFonts w:ascii="Calibri" w:hAnsi="Calibri" w:cs="Calibri"/>
                <w:color w:val="000000"/>
                <w:szCs w:val="20"/>
                <w:lang w:val="en-CA" w:eastAsia="en-CA"/>
              </w:rPr>
            </w:pPr>
            <w:r w:rsidRPr="00FC2211">
              <w:rPr>
                <w:rFonts w:ascii="Calibri" w:hAnsi="Calibri" w:cs="Calibri"/>
                <w:color w:val="000000"/>
                <w:szCs w:val="20"/>
                <w:lang w:val="en-CA" w:eastAsia="en-CA"/>
              </w:rPr>
              <w:t>Discount on loan due to remeasurement</w:t>
            </w:r>
          </w:p>
        </w:tc>
        <w:tc>
          <w:tcPr>
            <w:tcW w:w="2134" w:type="dxa"/>
            <w:tcBorders>
              <w:top w:val="nil"/>
              <w:left w:val="nil"/>
              <w:bottom w:val="nil"/>
              <w:right w:val="nil"/>
            </w:tcBorders>
            <w:shd w:val="clear" w:color="auto" w:fill="auto"/>
            <w:vAlign w:val="center"/>
            <w:hideMark/>
          </w:tcPr>
          <w:p w14:paraId="76C402E4" w14:textId="2AC060BA" w:rsidR="00F75509" w:rsidRPr="00FC2211" w:rsidRDefault="00F75509" w:rsidP="0048398A">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48398A" w:rsidRPr="00FC2211">
              <w:rPr>
                <w:rFonts w:ascii="Calibri" w:hAnsi="Calibri" w:cs="Calibri"/>
                <w:b/>
                <w:bCs/>
                <w:color w:val="000000"/>
                <w:szCs w:val="20"/>
                <w:lang w:val="en-CA" w:eastAsia="en-CA"/>
              </w:rPr>
              <w:t>(1,427)</w:t>
            </w:r>
            <w:r w:rsidRPr="00FC2211">
              <w:rPr>
                <w:rFonts w:ascii="Calibri" w:hAnsi="Calibri" w:cs="Calibri"/>
                <w:b/>
                <w:bCs/>
                <w:color w:val="000000"/>
                <w:szCs w:val="20"/>
                <w:lang w:val="en-CA" w:eastAsia="en-CA"/>
              </w:rPr>
              <w:t xml:space="preserve">   </w:t>
            </w:r>
          </w:p>
        </w:tc>
        <w:tc>
          <w:tcPr>
            <w:tcW w:w="1526" w:type="dxa"/>
            <w:tcBorders>
              <w:top w:val="nil"/>
              <w:left w:val="nil"/>
              <w:bottom w:val="nil"/>
              <w:right w:val="nil"/>
            </w:tcBorders>
            <w:shd w:val="clear" w:color="auto" w:fill="auto"/>
            <w:vAlign w:val="center"/>
            <w:hideMark/>
          </w:tcPr>
          <w:p w14:paraId="58AFCD5A" w14:textId="17494DCD" w:rsidR="00F75509" w:rsidRPr="00FC2211" w:rsidRDefault="00F75509" w:rsidP="00F75509">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(8,620)</w:t>
            </w:r>
          </w:p>
        </w:tc>
      </w:tr>
      <w:tr w:rsidR="00F75509" w:rsidRPr="00FC2211" w14:paraId="5CC7F246" w14:textId="77777777" w:rsidTr="00F75509">
        <w:trPr>
          <w:trHeight w:val="288"/>
          <w:jc w:val="center"/>
        </w:trPr>
        <w:tc>
          <w:tcPr>
            <w:tcW w:w="3969" w:type="dxa"/>
            <w:tcBorders>
              <w:top w:val="single" w:sz="4" w:space="0" w:color="auto"/>
              <w:left w:val="nil"/>
              <w:bottom w:val="single" w:sz="8" w:space="0" w:color="auto"/>
              <w:right w:val="nil"/>
            </w:tcBorders>
            <w:shd w:val="clear" w:color="auto" w:fill="auto"/>
            <w:vAlign w:val="center"/>
            <w:hideMark/>
          </w:tcPr>
          <w:p w14:paraId="3E167294" w14:textId="77777777" w:rsidR="00F75509" w:rsidRPr="00FC2211" w:rsidRDefault="00F75509" w:rsidP="00F75509">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Ending balance</w:t>
            </w:r>
          </w:p>
        </w:tc>
        <w:tc>
          <w:tcPr>
            <w:tcW w:w="2134" w:type="dxa"/>
            <w:tcBorders>
              <w:top w:val="single" w:sz="4" w:space="0" w:color="auto"/>
              <w:left w:val="nil"/>
              <w:bottom w:val="single" w:sz="8" w:space="0" w:color="auto"/>
              <w:right w:val="nil"/>
            </w:tcBorders>
            <w:shd w:val="clear" w:color="auto" w:fill="auto"/>
            <w:vAlign w:val="center"/>
            <w:hideMark/>
          </w:tcPr>
          <w:p w14:paraId="7E365EB8" w14:textId="69347080" w:rsidR="00F75509" w:rsidRPr="00FC2211" w:rsidRDefault="00F75509" w:rsidP="00F75509">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48398A" w:rsidRPr="00FC2211">
              <w:rPr>
                <w:rFonts w:ascii="Calibri" w:hAnsi="Calibri" w:cs="Calibri"/>
                <w:b/>
                <w:bCs/>
                <w:color w:val="000000"/>
                <w:szCs w:val="20"/>
                <w:lang w:val="en-CA" w:eastAsia="en-CA"/>
              </w:rPr>
              <w:t>119,138</w:t>
            </w:r>
            <w:r w:rsidRPr="00FC2211">
              <w:rPr>
                <w:rFonts w:ascii="Calibri" w:hAnsi="Calibri" w:cs="Calibri"/>
                <w:b/>
                <w:bCs/>
                <w:color w:val="000000"/>
                <w:szCs w:val="20"/>
                <w:lang w:val="en-CA" w:eastAsia="en-CA"/>
              </w:rPr>
              <w:t xml:space="preserve"> </w:t>
            </w:r>
          </w:p>
        </w:tc>
        <w:tc>
          <w:tcPr>
            <w:tcW w:w="1526" w:type="dxa"/>
            <w:tcBorders>
              <w:top w:val="single" w:sz="4" w:space="0" w:color="auto"/>
              <w:left w:val="nil"/>
              <w:bottom w:val="single" w:sz="8" w:space="0" w:color="auto"/>
              <w:right w:val="nil"/>
            </w:tcBorders>
            <w:shd w:val="clear" w:color="auto" w:fill="auto"/>
            <w:vAlign w:val="center"/>
            <w:hideMark/>
          </w:tcPr>
          <w:p w14:paraId="06DCB993" w14:textId="47D1D255" w:rsidR="00F75509" w:rsidRPr="00FC2211" w:rsidRDefault="00F75509" w:rsidP="00F75509">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111,380 </w:t>
            </w:r>
          </w:p>
        </w:tc>
      </w:tr>
    </w:tbl>
    <w:p w14:paraId="49CA7753" w14:textId="77777777" w:rsidR="002B6DDA" w:rsidRPr="00FC2211" w:rsidRDefault="002B6DDA" w:rsidP="00AD666F">
      <w:pPr>
        <w:pStyle w:val="NormalWeb"/>
        <w:ind w:left="357"/>
        <w:jc w:val="both"/>
        <w:rPr>
          <w:rFonts w:eastAsia="Calibri" w:cstheme="minorHAnsi"/>
          <w:szCs w:val="20"/>
        </w:rPr>
      </w:pPr>
    </w:p>
    <w:p w14:paraId="4CB15BC5" w14:textId="5DFE8627" w:rsidR="00D67793" w:rsidRPr="00FC2211" w:rsidRDefault="002A6C55" w:rsidP="002A6C55">
      <w:pPr>
        <w:pStyle w:val="Heading1"/>
        <w:rPr>
          <w:rFonts w:cstheme="minorHAnsi"/>
          <w:szCs w:val="20"/>
          <w:lang w:val="en-GB"/>
        </w:rPr>
      </w:pPr>
      <w:r w:rsidRPr="00FC2211">
        <w:rPr>
          <w:rFonts w:cstheme="minorHAnsi"/>
          <w:szCs w:val="20"/>
          <w:lang w:val="en-GB"/>
        </w:rPr>
        <w:t>1</w:t>
      </w:r>
      <w:r w:rsidR="00F21203" w:rsidRPr="00FC2211">
        <w:rPr>
          <w:rFonts w:cstheme="minorHAnsi"/>
          <w:szCs w:val="20"/>
          <w:lang w:val="en-GB"/>
        </w:rPr>
        <w:t>5</w:t>
      </w:r>
      <w:r w:rsidRPr="00FC2211">
        <w:rPr>
          <w:rFonts w:cstheme="minorHAnsi"/>
          <w:szCs w:val="20"/>
          <w:lang w:val="en-GB"/>
        </w:rPr>
        <w:t xml:space="preserve">.   </w:t>
      </w:r>
      <w:r w:rsidR="00D67793" w:rsidRPr="00FC2211">
        <w:rPr>
          <w:rFonts w:cstheme="minorHAnsi"/>
          <w:szCs w:val="20"/>
          <w:lang w:val="en-GB"/>
        </w:rPr>
        <w:t xml:space="preserve">SHARE CAPITAL </w:t>
      </w:r>
      <w:r w:rsidR="3043DB80" w:rsidRPr="00FC2211">
        <w:rPr>
          <w:rFonts w:cstheme="minorHAnsi"/>
          <w:szCs w:val="20"/>
          <w:lang w:val="en-GB"/>
        </w:rPr>
        <w:t>AND RESERVES</w:t>
      </w:r>
    </w:p>
    <w:p w14:paraId="4B1A76CC" w14:textId="77777777" w:rsidR="00D67793" w:rsidRPr="00FC2211" w:rsidRDefault="00D67793" w:rsidP="00A56DD7">
      <w:pPr>
        <w:pStyle w:val="NormalCalibri"/>
        <w:spacing w:before="0" w:line="230" w:lineRule="auto"/>
        <w:ind w:left="360"/>
        <w:jc w:val="right"/>
        <w:rPr>
          <w:rFonts w:asciiTheme="minorHAnsi" w:hAnsiTheme="minorHAnsi" w:cstheme="minorHAnsi"/>
          <w:b/>
          <w:sz w:val="20"/>
          <w:szCs w:val="20"/>
        </w:rPr>
      </w:pPr>
    </w:p>
    <w:p w14:paraId="514C4EF8" w14:textId="77777777" w:rsidR="00D67793" w:rsidRPr="00FC2211" w:rsidRDefault="00D67793" w:rsidP="00D67793">
      <w:pPr>
        <w:pStyle w:val="NormalCalibri"/>
        <w:spacing w:before="0" w:line="230" w:lineRule="auto"/>
        <w:ind w:left="360"/>
        <w:rPr>
          <w:rFonts w:asciiTheme="minorHAnsi" w:hAnsiTheme="minorHAnsi" w:cstheme="minorHAnsi"/>
          <w:b/>
          <w:sz w:val="20"/>
          <w:szCs w:val="20"/>
        </w:rPr>
      </w:pPr>
      <w:r w:rsidRPr="00FC2211">
        <w:rPr>
          <w:rFonts w:asciiTheme="minorHAnsi" w:hAnsiTheme="minorHAnsi" w:cstheme="minorHAnsi"/>
          <w:b/>
          <w:sz w:val="20"/>
          <w:szCs w:val="20"/>
        </w:rPr>
        <w:t>Authorized share capital</w:t>
      </w:r>
    </w:p>
    <w:p w14:paraId="777E5848" w14:textId="77777777" w:rsidR="00D67793" w:rsidRPr="00FC2211" w:rsidRDefault="00D67793">
      <w:pPr>
        <w:rPr>
          <w:rFonts w:cstheme="minorHAnsi"/>
          <w:szCs w:val="20"/>
        </w:rPr>
      </w:pPr>
    </w:p>
    <w:p w14:paraId="450DBA57" w14:textId="6E410F8A" w:rsidR="003B5B0C" w:rsidRPr="00FC2211" w:rsidRDefault="00D67793" w:rsidP="00D659A2">
      <w:pPr>
        <w:tabs>
          <w:tab w:val="left" w:pos="357"/>
        </w:tabs>
        <w:ind w:left="357"/>
        <w:rPr>
          <w:rFonts w:cstheme="minorHAnsi"/>
          <w:szCs w:val="20"/>
        </w:rPr>
      </w:pPr>
      <w:r w:rsidRPr="00FC2211">
        <w:rPr>
          <w:rFonts w:cstheme="minorHAnsi"/>
          <w:szCs w:val="20"/>
        </w:rPr>
        <w:t xml:space="preserve">The </w:t>
      </w:r>
      <w:r w:rsidR="007F5BF5" w:rsidRPr="00FC2211">
        <w:rPr>
          <w:rFonts w:cstheme="minorHAnsi"/>
          <w:szCs w:val="20"/>
        </w:rPr>
        <w:t>Company's authorized share capital</w:t>
      </w:r>
      <w:r w:rsidRPr="00FC2211">
        <w:rPr>
          <w:rFonts w:cstheme="minorHAnsi"/>
          <w:szCs w:val="20"/>
        </w:rPr>
        <w:t xml:space="preserve"> consists of an unlimited number of common shares without par value.</w:t>
      </w:r>
    </w:p>
    <w:p w14:paraId="3AB282EF" w14:textId="77777777" w:rsidR="00991777" w:rsidRPr="00FC2211" w:rsidRDefault="00991777" w:rsidP="00D67793">
      <w:pPr>
        <w:tabs>
          <w:tab w:val="left" w:pos="357"/>
        </w:tabs>
        <w:ind w:left="357"/>
        <w:rPr>
          <w:rFonts w:cstheme="minorHAnsi"/>
          <w:szCs w:val="20"/>
        </w:rPr>
      </w:pPr>
    </w:p>
    <w:p w14:paraId="6D55D0CE" w14:textId="77777777" w:rsidR="00991777" w:rsidRPr="00FC2211" w:rsidRDefault="00991777" w:rsidP="00E46359">
      <w:pPr>
        <w:pStyle w:val="NormalCalibri"/>
        <w:spacing w:before="0" w:line="230" w:lineRule="auto"/>
        <w:ind w:left="360"/>
        <w:rPr>
          <w:rFonts w:asciiTheme="minorHAnsi" w:hAnsiTheme="minorHAnsi" w:cstheme="minorHAnsi"/>
          <w:b/>
          <w:sz w:val="20"/>
          <w:szCs w:val="20"/>
        </w:rPr>
      </w:pPr>
      <w:r w:rsidRPr="00FC2211">
        <w:rPr>
          <w:rFonts w:asciiTheme="minorHAnsi" w:hAnsiTheme="minorHAnsi" w:cstheme="minorHAnsi"/>
          <w:b/>
          <w:sz w:val="20"/>
          <w:szCs w:val="20"/>
        </w:rPr>
        <w:t>Shares held in escrow</w:t>
      </w:r>
    </w:p>
    <w:p w14:paraId="103861B4" w14:textId="77777777" w:rsidR="00991777" w:rsidRPr="00FC2211" w:rsidRDefault="00991777" w:rsidP="00991777">
      <w:pPr>
        <w:rPr>
          <w:rFonts w:cs="Calibri"/>
          <w:b/>
          <w:szCs w:val="20"/>
        </w:rPr>
      </w:pPr>
    </w:p>
    <w:p w14:paraId="01E8CB7C" w14:textId="1F959902" w:rsidR="0012696B" w:rsidRPr="00FC2211" w:rsidRDefault="0012696B" w:rsidP="0012696B">
      <w:pPr>
        <w:pStyle w:val="NormalWeb"/>
        <w:ind w:left="357"/>
        <w:jc w:val="both"/>
        <w:rPr>
          <w:rFonts w:eastAsia="Calibri" w:cstheme="minorHAnsi"/>
          <w:szCs w:val="20"/>
        </w:rPr>
      </w:pPr>
      <w:r w:rsidRPr="00FC2211">
        <w:rPr>
          <w:rFonts w:eastAsia="Calibri" w:cstheme="minorHAnsi"/>
          <w:szCs w:val="20"/>
        </w:rPr>
        <w:t xml:space="preserve">On January 24, 2023, all common shares held in escrow were released to shareholders. As of </w:t>
      </w:r>
      <w:r w:rsidR="00737057" w:rsidRPr="00FC2211">
        <w:rPr>
          <w:rFonts w:eastAsia="Calibri" w:cstheme="minorHAnsi"/>
          <w:szCs w:val="20"/>
        </w:rPr>
        <w:t>December 31</w:t>
      </w:r>
      <w:r w:rsidRPr="00FC2211">
        <w:rPr>
          <w:rFonts w:eastAsia="Calibri" w:cstheme="minorHAnsi"/>
          <w:szCs w:val="20"/>
        </w:rPr>
        <w:t>, 2023, nil shares were held in escrow. (</w:t>
      </w:r>
      <w:r w:rsidR="00162168" w:rsidRPr="00FC2211">
        <w:rPr>
          <w:rFonts w:eastAsia="Calibri" w:cstheme="minorHAnsi"/>
          <w:szCs w:val="20"/>
        </w:rPr>
        <w:t>June</w:t>
      </w:r>
      <w:r w:rsidRPr="00FC2211">
        <w:rPr>
          <w:rFonts w:eastAsia="Calibri" w:cstheme="minorHAnsi"/>
          <w:szCs w:val="20"/>
        </w:rPr>
        <w:t xml:space="preserve"> 30, 202</w:t>
      </w:r>
      <w:r w:rsidR="00162168" w:rsidRPr="00FC2211">
        <w:rPr>
          <w:rFonts w:eastAsia="Calibri" w:cstheme="minorHAnsi"/>
          <w:szCs w:val="20"/>
        </w:rPr>
        <w:t>3</w:t>
      </w:r>
      <w:r w:rsidRPr="00FC2211">
        <w:rPr>
          <w:rFonts w:eastAsia="Calibri" w:cstheme="minorHAnsi"/>
          <w:szCs w:val="20"/>
        </w:rPr>
        <w:t xml:space="preserve"> – </w:t>
      </w:r>
      <w:r w:rsidR="00162168" w:rsidRPr="00FC2211">
        <w:rPr>
          <w:rFonts w:eastAsia="Calibri" w:cstheme="minorHAnsi"/>
          <w:szCs w:val="20"/>
        </w:rPr>
        <w:t>nil</w:t>
      </w:r>
      <w:r w:rsidRPr="00FC2211">
        <w:rPr>
          <w:rFonts w:eastAsia="Calibri" w:cstheme="minorHAnsi"/>
          <w:szCs w:val="20"/>
        </w:rPr>
        <w:t xml:space="preserve"> shares held in escrow).</w:t>
      </w:r>
    </w:p>
    <w:p w14:paraId="73C2CF33" w14:textId="77777777" w:rsidR="0023211A" w:rsidRPr="00FC2211" w:rsidRDefault="0023211A" w:rsidP="00055F02">
      <w:pPr>
        <w:pStyle w:val="NormalCalibri"/>
        <w:spacing w:before="0" w:line="230" w:lineRule="auto"/>
        <w:ind w:left="213" w:firstLine="144"/>
        <w:rPr>
          <w:rFonts w:asciiTheme="minorHAnsi" w:hAnsiTheme="minorHAnsi" w:cstheme="minorHAnsi"/>
          <w:b/>
          <w:sz w:val="20"/>
          <w:szCs w:val="20"/>
        </w:rPr>
      </w:pPr>
      <w:bookmarkStart w:id="4" w:name="_Hlk77767094"/>
    </w:p>
    <w:p w14:paraId="50CA8C62" w14:textId="3F853158" w:rsidR="00D67793" w:rsidRPr="00FC2211" w:rsidRDefault="0023211A" w:rsidP="00055F02">
      <w:pPr>
        <w:pStyle w:val="NormalCalibri"/>
        <w:spacing w:before="0" w:line="230" w:lineRule="auto"/>
        <w:ind w:left="213" w:firstLine="144"/>
        <w:rPr>
          <w:rFonts w:asciiTheme="minorHAnsi" w:hAnsiTheme="minorHAnsi" w:cstheme="minorHAnsi"/>
          <w:b/>
          <w:sz w:val="20"/>
          <w:szCs w:val="20"/>
        </w:rPr>
      </w:pPr>
      <w:r w:rsidRPr="00FC2211">
        <w:rPr>
          <w:rFonts w:asciiTheme="minorHAnsi" w:hAnsiTheme="minorHAnsi" w:cstheme="minorHAnsi"/>
          <w:b/>
          <w:sz w:val="20"/>
          <w:szCs w:val="20"/>
        </w:rPr>
        <w:t>I</w:t>
      </w:r>
      <w:r w:rsidR="00D67793" w:rsidRPr="00FC2211">
        <w:rPr>
          <w:rFonts w:asciiTheme="minorHAnsi" w:hAnsiTheme="minorHAnsi" w:cstheme="minorHAnsi"/>
          <w:b/>
          <w:sz w:val="20"/>
          <w:szCs w:val="20"/>
        </w:rPr>
        <w:t>ssued share capital</w:t>
      </w:r>
    </w:p>
    <w:p w14:paraId="423F7077" w14:textId="77777777" w:rsidR="00692011" w:rsidRPr="00FC2211" w:rsidRDefault="00692011" w:rsidP="002B36BD">
      <w:pPr>
        <w:pStyle w:val="NormalCalibri"/>
        <w:spacing w:before="0" w:line="230" w:lineRule="auto"/>
        <w:ind w:left="426"/>
        <w:rPr>
          <w:rFonts w:asciiTheme="minorHAnsi" w:hAnsiTheme="minorHAnsi" w:cstheme="minorHAnsi"/>
          <w:b/>
          <w:sz w:val="20"/>
          <w:szCs w:val="20"/>
        </w:rPr>
      </w:pPr>
    </w:p>
    <w:p w14:paraId="740E901A" w14:textId="14F0B322" w:rsidR="00692011" w:rsidRPr="00FC2211" w:rsidRDefault="007202C5" w:rsidP="007202C5">
      <w:pPr>
        <w:pStyle w:val="NormalWeb"/>
        <w:ind w:left="357"/>
        <w:jc w:val="both"/>
        <w:rPr>
          <w:rFonts w:eastAsia="Calibri" w:cstheme="minorHAnsi"/>
          <w:szCs w:val="20"/>
        </w:rPr>
      </w:pPr>
      <w:r w:rsidRPr="00FC2211">
        <w:rPr>
          <w:rFonts w:eastAsia="Calibri" w:cstheme="minorHAnsi"/>
          <w:szCs w:val="20"/>
        </w:rPr>
        <w:t xml:space="preserve">The Company had no capital stock transactions during the period ended </w:t>
      </w:r>
      <w:r w:rsidR="00816FE6" w:rsidRPr="00FC2211">
        <w:rPr>
          <w:rFonts w:eastAsia="Calibri" w:cstheme="minorHAnsi"/>
          <w:szCs w:val="20"/>
        </w:rPr>
        <w:t>December 31</w:t>
      </w:r>
      <w:r w:rsidRPr="00FC2211">
        <w:rPr>
          <w:rFonts w:eastAsia="Calibri" w:cstheme="minorHAnsi"/>
          <w:szCs w:val="20"/>
        </w:rPr>
        <w:t>, 2023</w:t>
      </w:r>
      <w:r w:rsidR="00B811F3" w:rsidRPr="00FC2211">
        <w:rPr>
          <w:rFonts w:eastAsia="Calibri" w:cstheme="minorHAnsi"/>
          <w:szCs w:val="20"/>
        </w:rPr>
        <w:t>.</w:t>
      </w:r>
    </w:p>
    <w:p w14:paraId="43E3EC5B" w14:textId="77777777" w:rsidR="007202C5" w:rsidRPr="00FC2211" w:rsidRDefault="007202C5" w:rsidP="00D659A2">
      <w:pPr>
        <w:pStyle w:val="NormalCalibri"/>
        <w:spacing w:before="0" w:line="230" w:lineRule="auto"/>
        <w:ind w:left="213" w:firstLine="144"/>
        <w:rPr>
          <w:rFonts w:asciiTheme="minorHAnsi" w:hAnsiTheme="minorHAnsi" w:cstheme="minorHAnsi"/>
          <w:bCs/>
          <w:sz w:val="20"/>
          <w:szCs w:val="20"/>
          <w:u w:val="single"/>
        </w:rPr>
      </w:pPr>
    </w:p>
    <w:p w14:paraId="0B18C89A" w14:textId="77777777" w:rsidR="007C33D0" w:rsidRPr="00FC2211" w:rsidRDefault="007C33D0" w:rsidP="00D659A2">
      <w:pPr>
        <w:pStyle w:val="NormalCalibri"/>
        <w:spacing w:before="0" w:line="230" w:lineRule="auto"/>
        <w:ind w:left="213" w:firstLine="144"/>
        <w:rPr>
          <w:rFonts w:asciiTheme="minorHAnsi" w:hAnsiTheme="minorHAnsi" w:cstheme="minorHAnsi"/>
          <w:bCs/>
          <w:sz w:val="20"/>
          <w:szCs w:val="20"/>
          <w:u w:val="single"/>
        </w:rPr>
      </w:pPr>
    </w:p>
    <w:p w14:paraId="02F0FAD2" w14:textId="77777777" w:rsidR="007C33D0" w:rsidRPr="00FC2211" w:rsidRDefault="007C33D0" w:rsidP="00D659A2">
      <w:pPr>
        <w:pStyle w:val="NormalCalibri"/>
        <w:spacing w:before="0" w:line="230" w:lineRule="auto"/>
        <w:ind w:left="213" w:firstLine="144"/>
        <w:rPr>
          <w:rFonts w:asciiTheme="minorHAnsi" w:hAnsiTheme="minorHAnsi" w:cstheme="minorHAnsi"/>
          <w:bCs/>
          <w:sz w:val="20"/>
          <w:szCs w:val="20"/>
          <w:u w:val="single"/>
        </w:rPr>
      </w:pPr>
    </w:p>
    <w:p w14:paraId="4738900C" w14:textId="77777777" w:rsidR="007C33D0" w:rsidRPr="00FC2211" w:rsidRDefault="007C33D0" w:rsidP="00D659A2">
      <w:pPr>
        <w:pStyle w:val="NormalCalibri"/>
        <w:spacing w:before="0" w:line="230" w:lineRule="auto"/>
        <w:ind w:left="213" w:firstLine="144"/>
        <w:rPr>
          <w:rFonts w:asciiTheme="minorHAnsi" w:hAnsiTheme="minorHAnsi" w:cstheme="minorHAnsi"/>
          <w:bCs/>
          <w:sz w:val="20"/>
          <w:szCs w:val="20"/>
          <w:u w:val="single"/>
        </w:rPr>
      </w:pPr>
    </w:p>
    <w:p w14:paraId="3C367802" w14:textId="77777777" w:rsidR="007C33D0" w:rsidRPr="00FC2211" w:rsidRDefault="007C33D0" w:rsidP="00D659A2">
      <w:pPr>
        <w:pStyle w:val="NormalCalibri"/>
        <w:spacing w:before="0" w:line="230" w:lineRule="auto"/>
        <w:ind w:left="213" w:firstLine="144"/>
        <w:rPr>
          <w:rFonts w:asciiTheme="minorHAnsi" w:hAnsiTheme="minorHAnsi" w:cstheme="minorHAnsi"/>
          <w:bCs/>
          <w:sz w:val="20"/>
          <w:szCs w:val="20"/>
          <w:u w:val="single"/>
        </w:rPr>
      </w:pPr>
    </w:p>
    <w:p w14:paraId="65712ECC" w14:textId="77777777" w:rsidR="007C33D0" w:rsidRPr="00FC2211" w:rsidRDefault="007C33D0" w:rsidP="00D659A2">
      <w:pPr>
        <w:pStyle w:val="NormalCalibri"/>
        <w:spacing w:before="0" w:line="230" w:lineRule="auto"/>
        <w:ind w:left="213" w:firstLine="144"/>
        <w:rPr>
          <w:rFonts w:asciiTheme="minorHAnsi" w:hAnsiTheme="minorHAnsi" w:cstheme="minorHAnsi"/>
          <w:bCs/>
          <w:sz w:val="20"/>
          <w:szCs w:val="20"/>
          <w:u w:val="single"/>
        </w:rPr>
      </w:pPr>
    </w:p>
    <w:p w14:paraId="763E4FD2" w14:textId="77777777" w:rsidR="007C33D0" w:rsidRPr="00FC2211" w:rsidRDefault="007C33D0" w:rsidP="00D659A2">
      <w:pPr>
        <w:pStyle w:val="NormalCalibri"/>
        <w:spacing w:before="0" w:line="230" w:lineRule="auto"/>
        <w:ind w:left="213" w:firstLine="144"/>
        <w:rPr>
          <w:rFonts w:asciiTheme="minorHAnsi" w:hAnsiTheme="minorHAnsi" w:cstheme="minorHAnsi"/>
          <w:bCs/>
          <w:sz w:val="20"/>
          <w:szCs w:val="20"/>
          <w:u w:val="single"/>
        </w:rPr>
      </w:pPr>
    </w:p>
    <w:p w14:paraId="56F82CA7" w14:textId="77777777" w:rsidR="007C33D0" w:rsidRPr="00FC2211" w:rsidRDefault="007C33D0" w:rsidP="007C33D0">
      <w:pPr>
        <w:pStyle w:val="Heading1"/>
        <w:rPr>
          <w:rFonts w:cstheme="minorHAnsi"/>
          <w:szCs w:val="20"/>
          <w:lang w:val="en-GB"/>
        </w:rPr>
      </w:pPr>
      <w:r w:rsidRPr="00FC2211">
        <w:rPr>
          <w:rFonts w:cstheme="minorHAnsi"/>
          <w:szCs w:val="20"/>
          <w:lang w:val="en-GB"/>
        </w:rPr>
        <w:lastRenderedPageBreak/>
        <w:t>15.   SHARE CAPITAL AND RESERVES (CONTINUED)</w:t>
      </w:r>
    </w:p>
    <w:p w14:paraId="08A9CC44" w14:textId="77777777" w:rsidR="007C33D0" w:rsidRPr="00FC2211" w:rsidRDefault="007C33D0" w:rsidP="00D659A2">
      <w:pPr>
        <w:pStyle w:val="NormalCalibri"/>
        <w:spacing w:before="0" w:line="230" w:lineRule="auto"/>
        <w:ind w:left="213" w:firstLine="144"/>
        <w:rPr>
          <w:rFonts w:asciiTheme="minorHAnsi" w:hAnsiTheme="minorHAnsi" w:cstheme="minorHAnsi"/>
          <w:bCs/>
          <w:sz w:val="20"/>
          <w:szCs w:val="20"/>
          <w:u w:val="single"/>
        </w:rPr>
      </w:pPr>
    </w:p>
    <w:p w14:paraId="77B8A7A2" w14:textId="6E031E2E" w:rsidR="00DC44FC" w:rsidRPr="00FC2211" w:rsidRDefault="00DC44FC" w:rsidP="00D659A2">
      <w:pPr>
        <w:pStyle w:val="NormalCalibri"/>
        <w:spacing w:before="0" w:line="230" w:lineRule="auto"/>
        <w:ind w:left="213" w:firstLine="144"/>
        <w:rPr>
          <w:rFonts w:asciiTheme="minorHAnsi" w:hAnsiTheme="minorHAnsi" w:cstheme="minorHAnsi"/>
          <w:bCs/>
          <w:sz w:val="20"/>
          <w:szCs w:val="20"/>
        </w:rPr>
      </w:pPr>
      <w:r w:rsidRPr="00FC2211">
        <w:rPr>
          <w:rFonts w:asciiTheme="minorHAnsi" w:hAnsiTheme="minorHAnsi" w:cstheme="minorHAnsi"/>
          <w:bCs/>
          <w:sz w:val="20"/>
          <w:szCs w:val="20"/>
          <w:u w:val="single"/>
        </w:rPr>
        <w:t xml:space="preserve">During the </w:t>
      </w:r>
      <w:r w:rsidR="00417438" w:rsidRPr="00FC2211">
        <w:rPr>
          <w:rFonts w:asciiTheme="minorHAnsi" w:hAnsiTheme="minorHAnsi" w:cstheme="minorHAnsi"/>
          <w:bCs/>
          <w:sz w:val="20"/>
          <w:szCs w:val="20"/>
          <w:u w:val="single"/>
        </w:rPr>
        <w:t>year ended</w:t>
      </w:r>
      <w:r w:rsidRPr="00FC2211">
        <w:rPr>
          <w:rFonts w:asciiTheme="minorHAnsi" w:hAnsiTheme="minorHAnsi" w:cstheme="minorHAnsi"/>
          <w:bCs/>
          <w:sz w:val="20"/>
          <w:szCs w:val="20"/>
          <w:u w:val="single"/>
        </w:rPr>
        <w:t xml:space="preserve"> </w:t>
      </w:r>
      <w:r w:rsidR="00417438" w:rsidRPr="00FC2211">
        <w:rPr>
          <w:rFonts w:asciiTheme="minorHAnsi" w:hAnsiTheme="minorHAnsi" w:cstheme="minorHAnsi"/>
          <w:bCs/>
          <w:sz w:val="20"/>
          <w:szCs w:val="20"/>
          <w:u w:val="single"/>
        </w:rPr>
        <w:t>June 30, 202</w:t>
      </w:r>
      <w:r w:rsidR="00D659A2" w:rsidRPr="00FC2211">
        <w:rPr>
          <w:rFonts w:asciiTheme="minorHAnsi" w:hAnsiTheme="minorHAnsi" w:cstheme="minorHAnsi"/>
          <w:bCs/>
          <w:sz w:val="20"/>
          <w:szCs w:val="20"/>
          <w:u w:val="single"/>
        </w:rPr>
        <w:t>3,</w:t>
      </w:r>
      <w:r w:rsidR="00FB780D" w:rsidRPr="00FC2211">
        <w:rPr>
          <w:rFonts w:asciiTheme="minorHAnsi" w:hAnsiTheme="minorHAnsi" w:cstheme="minorHAnsi"/>
          <w:bCs/>
          <w:sz w:val="20"/>
          <w:szCs w:val="20"/>
          <w:u w:val="single"/>
        </w:rPr>
        <w:t xml:space="preserve"> </w:t>
      </w:r>
      <w:r w:rsidRPr="00FC2211">
        <w:rPr>
          <w:rFonts w:asciiTheme="minorHAnsi" w:hAnsiTheme="minorHAnsi" w:cstheme="minorHAnsi"/>
          <w:bCs/>
          <w:sz w:val="20"/>
          <w:szCs w:val="20"/>
          <w:u w:val="single"/>
        </w:rPr>
        <w:t>the Company had the following capital stock transactions</w:t>
      </w:r>
      <w:r w:rsidRPr="00FC2211">
        <w:rPr>
          <w:rFonts w:asciiTheme="minorHAnsi" w:hAnsiTheme="minorHAnsi" w:cstheme="minorHAnsi"/>
          <w:bCs/>
          <w:sz w:val="20"/>
          <w:szCs w:val="20"/>
        </w:rPr>
        <w:t>:</w:t>
      </w:r>
    </w:p>
    <w:p w14:paraId="43E01939" w14:textId="77777777" w:rsidR="00D659A2" w:rsidRPr="00FC2211" w:rsidRDefault="00D659A2" w:rsidP="00D659A2">
      <w:pPr>
        <w:pStyle w:val="NormalCalibri"/>
        <w:spacing w:before="0" w:line="230" w:lineRule="auto"/>
        <w:ind w:left="213" w:firstLine="144"/>
        <w:rPr>
          <w:rFonts w:asciiTheme="minorHAnsi" w:hAnsiTheme="minorHAnsi" w:cstheme="minorHAnsi"/>
          <w:bCs/>
          <w:sz w:val="20"/>
          <w:szCs w:val="20"/>
        </w:rPr>
      </w:pPr>
    </w:p>
    <w:p w14:paraId="65B736D7" w14:textId="74935944" w:rsidR="00B811F3" w:rsidRPr="00FC2211" w:rsidRDefault="00D659A2" w:rsidP="00A70EA9">
      <w:pPr>
        <w:pStyle w:val="NormalWeb"/>
        <w:ind w:left="357"/>
        <w:jc w:val="both"/>
        <w:rPr>
          <w:rFonts w:eastAsia="Calibri" w:cstheme="minorHAnsi"/>
          <w:szCs w:val="20"/>
        </w:rPr>
      </w:pPr>
      <w:r w:rsidRPr="00FC2211">
        <w:rPr>
          <w:rFonts w:eastAsia="Calibri" w:cstheme="minorHAnsi"/>
          <w:szCs w:val="20"/>
        </w:rPr>
        <w:t>On November 17, 2022, the Company completed a brokered short-form prospectus offering (the ‘</w:t>
      </w:r>
      <w:r w:rsidR="00735811" w:rsidRPr="00FC2211">
        <w:rPr>
          <w:rFonts w:eastAsia="Calibri" w:cstheme="minorHAnsi"/>
          <w:szCs w:val="20"/>
        </w:rPr>
        <w:t>Offering’</w:t>
      </w:r>
      <w:r w:rsidRPr="00FC2211">
        <w:rPr>
          <w:rFonts w:eastAsia="Calibri" w:cstheme="minorHAnsi"/>
          <w:szCs w:val="20"/>
        </w:rPr>
        <w:t xml:space="preserve">), </w:t>
      </w:r>
      <w:r w:rsidR="00FE791A" w:rsidRPr="00FC2211">
        <w:rPr>
          <w:rFonts w:eastAsia="Calibri" w:cstheme="minorHAnsi"/>
          <w:szCs w:val="20"/>
        </w:rPr>
        <w:t>issuing</w:t>
      </w:r>
      <w:r w:rsidRPr="00FC2211">
        <w:rPr>
          <w:rFonts w:eastAsia="Calibri" w:cstheme="minorHAnsi"/>
          <w:szCs w:val="20"/>
        </w:rPr>
        <w:t xml:space="preserve"> 14,525,000 units </w:t>
      </w:r>
      <w:r w:rsidR="00FE791A" w:rsidRPr="00FC2211">
        <w:rPr>
          <w:rFonts w:eastAsia="Calibri" w:cstheme="minorHAnsi"/>
          <w:szCs w:val="20"/>
        </w:rPr>
        <w:t>for</w:t>
      </w:r>
      <w:r w:rsidRPr="00FC2211">
        <w:rPr>
          <w:rFonts w:eastAsia="Calibri" w:cstheme="minorHAnsi"/>
          <w:szCs w:val="20"/>
        </w:rPr>
        <w:t xml:space="preserve"> $0.12 per unit for aggregate proceeds of $1,743,000. Each unit consisted of one common share and one-half of one common share purchase warrant. Each warrant will entitle the holder to acquire one common share of the Company at an exercise price of $0.19 per common share for a period of 36 months from the date of issuance. The warrants were allocated a value of $nil using the residual value allocation method. </w:t>
      </w:r>
      <w:r w:rsidR="00390FE0" w:rsidRPr="00FC2211">
        <w:rPr>
          <w:rFonts w:eastAsia="Calibri" w:cstheme="minorHAnsi"/>
          <w:szCs w:val="20"/>
        </w:rPr>
        <w:t>In connection with the Offering, the Company incurred $</w:t>
      </w:r>
      <w:r w:rsidR="00427D00" w:rsidRPr="00FC2211">
        <w:rPr>
          <w:rFonts w:eastAsia="Calibri" w:cstheme="minorHAnsi"/>
          <w:szCs w:val="20"/>
        </w:rPr>
        <w:t>419,029</w:t>
      </w:r>
      <w:r w:rsidR="00FE3C88" w:rsidRPr="00FC2211">
        <w:rPr>
          <w:rFonts w:eastAsia="Calibri" w:cstheme="minorHAnsi"/>
          <w:szCs w:val="20"/>
        </w:rPr>
        <w:t xml:space="preserve"> in share issuance</w:t>
      </w:r>
      <w:r w:rsidR="003872C2" w:rsidRPr="00FC2211">
        <w:rPr>
          <w:rFonts w:eastAsia="Calibri" w:cstheme="minorHAnsi"/>
          <w:szCs w:val="20"/>
        </w:rPr>
        <w:t xml:space="preserve"> cost and issued </w:t>
      </w:r>
      <w:r w:rsidR="007D1366" w:rsidRPr="00FC2211">
        <w:rPr>
          <w:rFonts w:eastAsia="Calibri" w:cstheme="minorHAnsi"/>
          <w:szCs w:val="20"/>
        </w:rPr>
        <w:t xml:space="preserve">923,721 broker </w:t>
      </w:r>
      <w:r w:rsidR="00084604" w:rsidRPr="00FC2211">
        <w:rPr>
          <w:rFonts w:eastAsia="Calibri" w:cstheme="minorHAnsi"/>
          <w:szCs w:val="20"/>
        </w:rPr>
        <w:t xml:space="preserve">warrants </w:t>
      </w:r>
      <w:r w:rsidR="007D1366" w:rsidRPr="00FC2211">
        <w:rPr>
          <w:rFonts w:eastAsia="Calibri" w:cstheme="minorHAnsi"/>
          <w:szCs w:val="20"/>
        </w:rPr>
        <w:t xml:space="preserve">with a fair value of $61,503. </w:t>
      </w:r>
      <w:r w:rsidR="00E21E88" w:rsidRPr="00FC2211">
        <w:rPr>
          <w:rFonts w:cstheme="minorHAnsi"/>
          <w:szCs w:val="20"/>
        </w:rPr>
        <w:t>The broker warrants were valued using the Black Scholes option pricing model with the following assumptions: volatility rate of 83</w:t>
      </w:r>
      <w:r w:rsidR="000E5301" w:rsidRPr="00FC2211">
        <w:rPr>
          <w:rFonts w:cstheme="minorHAnsi"/>
          <w:szCs w:val="20"/>
        </w:rPr>
        <w:t>.04</w:t>
      </w:r>
      <w:r w:rsidR="00E21E88" w:rsidRPr="00FC2211">
        <w:rPr>
          <w:rFonts w:cstheme="minorHAnsi"/>
          <w:szCs w:val="20"/>
        </w:rPr>
        <w:t xml:space="preserve">%, risk-free rate of 3.86%, weighted average life of 3 years. </w:t>
      </w:r>
      <w:r w:rsidR="007D1366" w:rsidRPr="00FC2211">
        <w:rPr>
          <w:rFonts w:eastAsia="Calibri" w:cstheme="minorHAnsi"/>
          <w:szCs w:val="20"/>
        </w:rPr>
        <w:t>Each broker warrant entitles the holder to purchase one common sh</w:t>
      </w:r>
      <w:r w:rsidR="0027152A" w:rsidRPr="00FC2211">
        <w:rPr>
          <w:rFonts w:eastAsia="Calibri" w:cstheme="minorHAnsi"/>
          <w:szCs w:val="20"/>
        </w:rPr>
        <w:t xml:space="preserve">are at </w:t>
      </w:r>
      <w:r w:rsidR="00814F6A" w:rsidRPr="00FC2211">
        <w:rPr>
          <w:rFonts w:eastAsia="Calibri" w:cstheme="minorHAnsi"/>
          <w:szCs w:val="20"/>
        </w:rPr>
        <w:t xml:space="preserve">a </w:t>
      </w:r>
      <w:r w:rsidR="0027152A" w:rsidRPr="00FC2211">
        <w:rPr>
          <w:rFonts w:eastAsia="Calibri" w:cstheme="minorHAnsi"/>
          <w:szCs w:val="20"/>
        </w:rPr>
        <w:t>price of $0.12 per share for a period of three years.</w:t>
      </w:r>
      <w:r w:rsidR="00FE3C88" w:rsidRPr="00FC2211">
        <w:rPr>
          <w:rFonts w:eastAsia="Calibri" w:cstheme="minorHAnsi"/>
          <w:szCs w:val="20"/>
        </w:rPr>
        <w:t xml:space="preserve"> </w:t>
      </w:r>
      <w:r w:rsidRPr="00FC2211">
        <w:rPr>
          <w:rFonts w:eastAsia="Calibri" w:cstheme="minorHAnsi"/>
          <w:szCs w:val="20"/>
        </w:rPr>
        <w:t xml:space="preserve"> The Company also issued 1,428,571 bonus shares in connection with a non-brokered private placement of the $1,000,000 unsecured promissory note. The bonus shares have</w:t>
      </w:r>
      <w:r w:rsidR="00EB3813" w:rsidRPr="00FC2211">
        <w:rPr>
          <w:rFonts w:eastAsia="Calibri" w:cstheme="minorHAnsi"/>
          <w:szCs w:val="20"/>
        </w:rPr>
        <w:t xml:space="preserve"> a</w:t>
      </w:r>
      <w:r w:rsidRPr="00FC2211">
        <w:rPr>
          <w:rFonts w:eastAsia="Calibri" w:cstheme="minorHAnsi"/>
          <w:szCs w:val="20"/>
        </w:rPr>
        <w:t xml:space="preserve"> fair value of </w:t>
      </w:r>
      <w:r w:rsidR="00A336D4" w:rsidRPr="00FC2211">
        <w:rPr>
          <w:rFonts w:eastAsia="Calibri" w:cstheme="minorHAnsi"/>
          <w:szCs w:val="20"/>
        </w:rPr>
        <w:t>$171,42</w:t>
      </w:r>
      <w:r w:rsidR="008D09FD" w:rsidRPr="00FC2211">
        <w:rPr>
          <w:rFonts w:eastAsia="Calibri" w:cstheme="minorHAnsi"/>
          <w:szCs w:val="20"/>
        </w:rPr>
        <w:t>8</w:t>
      </w:r>
      <w:r w:rsidRPr="00FC2211">
        <w:rPr>
          <w:rFonts w:eastAsia="Calibri" w:cstheme="minorHAnsi"/>
          <w:szCs w:val="20"/>
        </w:rPr>
        <w:t xml:space="preserve"> and were considered debt issuance cost</w:t>
      </w:r>
      <w:r w:rsidR="00EB3813" w:rsidRPr="00FC2211">
        <w:rPr>
          <w:rFonts w:eastAsia="Calibri" w:cstheme="minorHAnsi"/>
          <w:szCs w:val="20"/>
        </w:rPr>
        <w:t>s</w:t>
      </w:r>
      <w:r w:rsidRPr="00FC2211">
        <w:rPr>
          <w:rFonts w:eastAsia="Calibri" w:cstheme="minorHAnsi"/>
          <w:szCs w:val="20"/>
        </w:rPr>
        <w:t xml:space="preserve"> (Note 1</w:t>
      </w:r>
      <w:r w:rsidR="00EB3813" w:rsidRPr="00FC2211">
        <w:rPr>
          <w:rFonts w:eastAsia="Calibri" w:cstheme="minorHAnsi"/>
          <w:szCs w:val="20"/>
        </w:rPr>
        <w:t>2</w:t>
      </w:r>
      <w:r w:rsidRPr="00FC2211">
        <w:rPr>
          <w:rFonts w:eastAsia="Calibri" w:cstheme="minorHAnsi"/>
          <w:szCs w:val="20"/>
        </w:rPr>
        <w:t>).</w:t>
      </w:r>
      <w:bookmarkEnd w:id="4"/>
    </w:p>
    <w:p w14:paraId="17AD877B" w14:textId="77777777" w:rsidR="00A70EA9" w:rsidRPr="00FC2211" w:rsidRDefault="00A70EA9" w:rsidP="00A70EA9">
      <w:pPr>
        <w:pStyle w:val="NormalWeb"/>
        <w:ind w:left="357"/>
        <w:jc w:val="both"/>
        <w:rPr>
          <w:rFonts w:eastAsia="Calibri" w:cstheme="minorHAnsi"/>
          <w:szCs w:val="20"/>
        </w:rPr>
      </w:pPr>
    </w:p>
    <w:p w14:paraId="06842013" w14:textId="77777777" w:rsidR="0096323B" w:rsidRPr="00FC2211" w:rsidRDefault="001E1C44" w:rsidP="0096323B">
      <w:pPr>
        <w:widowControl w:val="0"/>
        <w:autoSpaceDE w:val="0"/>
        <w:autoSpaceDN w:val="0"/>
        <w:ind w:left="360" w:firstLine="14"/>
        <w:outlineLvl w:val="1"/>
        <w:rPr>
          <w:rFonts w:eastAsia="Calibri" w:cstheme="minorHAnsi"/>
          <w:b/>
          <w:bCs/>
          <w:szCs w:val="20"/>
        </w:rPr>
      </w:pPr>
      <w:r w:rsidRPr="00FC2211">
        <w:rPr>
          <w:rFonts w:eastAsia="Calibri" w:cstheme="minorHAnsi"/>
          <w:b/>
          <w:bCs/>
          <w:szCs w:val="20"/>
        </w:rPr>
        <w:t>Stock options</w:t>
      </w:r>
    </w:p>
    <w:p w14:paraId="2B481FF8" w14:textId="77777777" w:rsidR="00EF58FB" w:rsidRPr="00FC2211" w:rsidRDefault="00EF58FB" w:rsidP="0096323B">
      <w:pPr>
        <w:widowControl w:val="0"/>
        <w:autoSpaceDE w:val="0"/>
        <w:autoSpaceDN w:val="0"/>
        <w:ind w:left="360" w:firstLine="14"/>
        <w:outlineLvl w:val="1"/>
        <w:rPr>
          <w:rFonts w:eastAsia="Calibri" w:cstheme="minorHAnsi"/>
          <w:b/>
          <w:bCs/>
          <w:szCs w:val="20"/>
        </w:rPr>
      </w:pPr>
    </w:p>
    <w:p w14:paraId="5635AF42" w14:textId="3EA8481D" w:rsidR="00BD328D" w:rsidRPr="00FC2211" w:rsidRDefault="001E1C44" w:rsidP="00735C8F">
      <w:pPr>
        <w:widowControl w:val="0"/>
        <w:autoSpaceDE w:val="0"/>
        <w:autoSpaceDN w:val="0"/>
        <w:ind w:left="360" w:firstLine="14"/>
        <w:jc w:val="both"/>
        <w:outlineLvl w:val="1"/>
        <w:rPr>
          <w:rFonts w:cstheme="minorHAnsi"/>
          <w:szCs w:val="20"/>
        </w:rPr>
      </w:pPr>
      <w:r w:rsidRPr="00FC2211">
        <w:rPr>
          <w:rFonts w:cstheme="minorHAnsi"/>
          <w:szCs w:val="20"/>
        </w:rPr>
        <w:t xml:space="preserve">The Company has adopted a stock option plan </w:t>
      </w:r>
      <w:r w:rsidR="00FE791A" w:rsidRPr="00FC2211">
        <w:rPr>
          <w:rFonts w:cstheme="minorHAnsi"/>
          <w:szCs w:val="20"/>
        </w:rPr>
        <w:t>that</w:t>
      </w:r>
      <w:r w:rsidRPr="00FC2211">
        <w:rPr>
          <w:rFonts w:cstheme="minorHAnsi"/>
          <w:szCs w:val="20"/>
        </w:rPr>
        <w:t xml:space="preserve"> allows the Company to issue options to certain directors, officers, employees</w:t>
      </w:r>
      <w:r w:rsidR="00EB3813" w:rsidRPr="00FC2211">
        <w:rPr>
          <w:rFonts w:cstheme="minorHAnsi"/>
          <w:szCs w:val="20"/>
        </w:rPr>
        <w:t>,</w:t>
      </w:r>
      <w:r w:rsidRPr="00FC2211">
        <w:rPr>
          <w:rFonts w:cstheme="minorHAnsi"/>
          <w:szCs w:val="20"/>
        </w:rPr>
        <w:t xml:space="preserve"> and consultants to acquire up to 10% of the issued and outstanding common stock. The exercise price of each option cannot be less than the market price of the Company's stock as calculated on the date of grant. The options can be granted for a maximum term of 10 years. </w:t>
      </w:r>
      <w:r w:rsidR="00D268C7" w:rsidRPr="00FC2211">
        <w:rPr>
          <w:rFonts w:cstheme="minorHAnsi"/>
          <w:szCs w:val="20"/>
        </w:rPr>
        <w:t>Stock options granted under the plan vest immediately subject to vesting terms</w:t>
      </w:r>
      <w:r w:rsidR="00C83304" w:rsidRPr="00FC2211">
        <w:rPr>
          <w:rFonts w:cstheme="minorHAnsi"/>
          <w:szCs w:val="20"/>
        </w:rPr>
        <w:t>,</w:t>
      </w:r>
      <w:r w:rsidR="00D268C7" w:rsidRPr="00FC2211">
        <w:rPr>
          <w:rFonts w:cstheme="minorHAnsi"/>
          <w:szCs w:val="20"/>
        </w:rPr>
        <w:t xml:space="preserve"> which may be imposed at the </w:t>
      </w:r>
      <w:r w:rsidR="00C83304" w:rsidRPr="00FC2211">
        <w:rPr>
          <w:rFonts w:cstheme="minorHAnsi"/>
          <w:szCs w:val="20"/>
        </w:rPr>
        <w:t>directors' discretion</w:t>
      </w:r>
      <w:r w:rsidR="00D268C7" w:rsidRPr="00FC2211">
        <w:rPr>
          <w:rFonts w:cstheme="minorHAnsi"/>
          <w:szCs w:val="20"/>
        </w:rPr>
        <w:t>.</w:t>
      </w:r>
    </w:p>
    <w:p w14:paraId="02ED88E1" w14:textId="77777777" w:rsidR="00000274" w:rsidRPr="00FC2211" w:rsidRDefault="00000274" w:rsidP="0096323B">
      <w:pPr>
        <w:widowControl w:val="0"/>
        <w:autoSpaceDE w:val="0"/>
        <w:autoSpaceDN w:val="0"/>
        <w:ind w:left="360" w:firstLine="14"/>
        <w:outlineLvl w:val="1"/>
        <w:rPr>
          <w:rFonts w:eastAsia="Calibri" w:cstheme="minorHAnsi"/>
          <w:b/>
          <w:bCs/>
          <w:szCs w:val="20"/>
        </w:rPr>
      </w:pPr>
    </w:p>
    <w:p w14:paraId="6B5F1D14" w14:textId="1E4DAE06" w:rsidR="00A5259E" w:rsidRPr="00FC2211" w:rsidRDefault="006F5AD1" w:rsidP="0096323B">
      <w:pPr>
        <w:widowControl w:val="0"/>
        <w:autoSpaceDE w:val="0"/>
        <w:autoSpaceDN w:val="0"/>
        <w:ind w:left="360" w:firstLine="14"/>
        <w:outlineLvl w:val="1"/>
        <w:rPr>
          <w:rFonts w:cstheme="minorHAnsi"/>
          <w:szCs w:val="20"/>
        </w:rPr>
      </w:pPr>
      <w:r w:rsidRPr="00FC2211">
        <w:rPr>
          <w:rFonts w:cstheme="minorHAnsi"/>
          <w:szCs w:val="20"/>
        </w:rPr>
        <w:t xml:space="preserve">The </w:t>
      </w:r>
      <w:r w:rsidR="00C65AE8" w:rsidRPr="00FC2211">
        <w:rPr>
          <w:rFonts w:cstheme="minorHAnsi"/>
          <w:szCs w:val="20"/>
        </w:rPr>
        <w:t xml:space="preserve">summary of </w:t>
      </w:r>
      <w:r w:rsidRPr="00FC2211">
        <w:rPr>
          <w:rFonts w:cstheme="minorHAnsi"/>
          <w:szCs w:val="20"/>
        </w:rPr>
        <w:t xml:space="preserve">changes in stock options during the </w:t>
      </w:r>
      <w:r w:rsidR="00B14E9C" w:rsidRPr="00FC2211">
        <w:rPr>
          <w:rFonts w:cstheme="minorHAnsi"/>
          <w:szCs w:val="20"/>
        </w:rPr>
        <w:t>six</w:t>
      </w:r>
      <w:r w:rsidR="00EE7FC9" w:rsidRPr="00FC2211">
        <w:rPr>
          <w:rFonts w:cstheme="minorHAnsi"/>
          <w:szCs w:val="20"/>
        </w:rPr>
        <w:t xml:space="preserve"> months</w:t>
      </w:r>
      <w:r w:rsidR="00FC316D" w:rsidRPr="00FC2211">
        <w:rPr>
          <w:rFonts w:cstheme="minorHAnsi"/>
          <w:szCs w:val="20"/>
        </w:rPr>
        <w:t xml:space="preserve"> </w:t>
      </w:r>
      <w:r w:rsidRPr="00FC2211">
        <w:rPr>
          <w:rFonts w:cstheme="minorHAnsi"/>
          <w:szCs w:val="20"/>
        </w:rPr>
        <w:t xml:space="preserve">ended </w:t>
      </w:r>
      <w:r w:rsidR="00B14E9C" w:rsidRPr="00FC2211">
        <w:rPr>
          <w:rFonts w:cstheme="minorHAnsi"/>
          <w:szCs w:val="20"/>
        </w:rPr>
        <w:t>December 31</w:t>
      </w:r>
      <w:r w:rsidR="00417438" w:rsidRPr="00FC2211">
        <w:rPr>
          <w:rFonts w:cstheme="minorHAnsi"/>
          <w:szCs w:val="20"/>
        </w:rPr>
        <w:t>, 202</w:t>
      </w:r>
      <w:r w:rsidR="0096323B" w:rsidRPr="00FC2211">
        <w:rPr>
          <w:rFonts w:cstheme="minorHAnsi"/>
          <w:szCs w:val="20"/>
        </w:rPr>
        <w:t>3,</w:t>
      </w:r>
      <w:r w:rsidR="00FB780D" w:rsidRPr="00FC2211">
        <w:rPr>
          <w:rFonts w:cstheme="minorHAnsi"/>
          <w:szCs w:val="20"/>
        </w:rPr>
        <w:t xml:space="preserve"> </w:t>
      </w:r>
      <w:r w:rsidRPr="00FC2211">
        <w:rPr>
          <w:rFonts w:cstheme="minorHAnsi"/>
          <w:szCs w:val="20"/>
        </w:rPr>
        <w:t>and</w:t>
      </w:r>
      <w:r w:rsidR="00D95B93" w:rsidRPr="00FC2211">
        <w:rPr>
          <w:rFonts w:cstheme="minorHAnsi"/>
          <w:szCs w:val="20"/>
        </w:rPr>
        <w:t xml:space="preserve"> </w:t>
      </w:r>
      <w:r w:rsidR="00EE7FC9" w:rsidRPr="00FC2211">
        <w:rPr>
          <w:rFonts w:cstheme="minorHAnsi"/>
          <w:szCs w:val="20"/>
        </w:rPr>
        <w:t xml:space="preserve">the year ended June 30, </w:t>
      </w:r>
      <w:r w:rsidR="0096323B" w:rsidRPr="00FC2211">
        <w:rPr>
          <w:rFonts w:cstheme="minorHAnsi"/>
          <w:szCs w:val="20"/>
        </w:rPr>
        <w:t>202</w:t>
      </w:r>
      <w:r w:rsidR="003A773A" w:rsidRPr="00FC2211">
        <w:rPr>
          <w:rFonts w:cstheme="minorHAnsi"/>
          <w:szCs w:val="20"/>
        </w:rPr>
        <w:t>3</w:t>
      </w:r>
      <w:r w:rsidR="008D7AD8" w:rsidRPr="00FC2211">
        <w:rPr>
          <w:rFonts w:cstheme="minorHAnsi"/>
          <w:szCs w:val="20"/>
        </w:rPr>
        <w:t>,</w:t>
      </w:r>
      <w:r w:rsidRPr="00FC2211">
        <w:rPr>
          <w:rFonts w:cstheme="minorHAnsi"/>
          <w:szCs w:val="20"/>
        </w:rPr>
        <w:t xml:space="preserve"> are as follows:</w:t>
      </w:r>
    </w:p>
    <w:p w14:paraId="5AFF29AA" w14:textId="77777777" w:rsidR="00B92AB3" w:rsidRPr="00FC2211" w:rsidRDefault="00B92AB3" w:rsidP="0096323B">
      <w:pPr>
        <w:widowControl w:val="0"/>
        <w:autoSpaceDE w:val="0"/>
        <w:autoSpaceDN w:val="0"/>
        <w:ind w:left="360" w:firstLine="14"/>
        <w:outlineLvl w:val="1"/>
        <w:rPr>
          <w:rFonts w:eastAsia="Calibri" w:cstheme="minorHAnsi"/>
          <w:b/>
          <w:bCs/>
          <w:szCs w:val="20"/>
        </w:rPr>
      </w:pPr>
    </w:p>
    <w:tbl>
      <w:tblPr>
        <w:tblW w:w="9808" w:type="dxa"/>
        <w:jc w:val="center"/>
        <w:tblLook w:val="04A0" w:firstRow="1" w:lastRow="0" w:firstColumn="1" w:lastColumn="0" w:noHBand="0" w:noVBand="1"/>
      </w:tblPr>
      <w:tblGrid>
        <w:gridCol w:w="2896"/>
        <w:gridCol w:w="1743"/>
        <w:gridCol w:w="1713"/>
        <w:gridCol w:w="1739"/>
        <w:gridCol w:w="1717"/>
      </w:tblGrid>
      <w:tr w:rsidR="00913665" w:rsidRPr="00FC2211" w14:paraId="18BC15F4" w14:textId="77777777" w:rsidTr="00913665">
        <w:trPr>
          <w:trHeight w:val="288"/>
          <w:jc w:val="center"/>
        </w:trPr>
        <w:tc>
          <w:tcPr>
            <w:tcW w:w="2896" w:type="dxa"/>
            <w:tcBorders>
              <w:top w:val="nil"/>
              <w:left w:val="nil"/>
              <w:bottom w:val="nil"/>
              <w:right w:val="nil"/>
            </w:tcBorders>
            <w:shd w:val="clear" w:color="000000" w:fill="FFFFFF"/>
            <w:noWrap/>
            <w:vAlign w:val="center"/>
            <w:hideMark/>
          </w:tcPr>
          <w:p w14:paraId="3AD09AA8" w14:textId="77777777" w:rsidR="00913665" w:rsidRPr="00FC2211" w:rsidRDefault="00913665" w:rsidP="00913665">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3456" w:type="dxa"/>
            <w:gridSpan w:val="2"/>
            <w:tcBorders>
              <w:top w:val="nil"/>
              <w:left w:val="nil"/>
              <w:bottom w:val="single" w:sz="8" w:space="0" w:color="auto"/>
              <w:right w:val="nil"/>
            </w:tcBorders>
            <w:shd w:val="clear" w:color="000000" w:fill="FFFFFF"/>
            <w:noWrap/>
            <w:vAlign w:val="center"/>
            <w:hideMark/>
          </w:tcPr>
          <w:p w14:paraId="6FC9E250" w14:textId="5CECC2FA" w:rsidR="00913665" w:rsidRPr="00FC2211" w:rsidRDefault="00B14E9C" w:rsidP="00913665">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December 31, 2023</w:t>
            </w:r>
          </w:p>
        </w:tc>
        <w:tc>
          <w:tcPr>
            <w:tcW w:w="3456" w:type="dxa"/>
            <w:gridSpan w:val="2"/>
            <w:tcBorders>
              <w:top w:val="nil"/>
              <w:left w:val="nil"/>
              <w:bottom w:val="single" w:sz="8" w:space="0" w:color="auto"/>
              <w:right w:val="nil"/>
            </w:tcBorders>
            <w:shd w:val="clear" w:color="000000" w:fill="FFFFFF"/>
            <w:noWrap/>
            <w:vAlign w:val="center"/>
            <w:hideMark/>
          </w:tcPr>
          <w:p w14:paraId="2EFC1B9D" w14:textId="77777777" w:rsidR="00913665" w:rsidRPr="00FC2211" w:rsidRDefault="00913665" w:rsidP="00913665">
            <w:pPr>
              <w:jc w:val="center"/>
              <w:rPr>
                <w:rFonts w:ascii="Calibri" w:hAnsi="Calibri" w:cs="Calibri"/>
                <w:color w:val="000000"/>
                <w:szCs w:val="20"/>
                <w:lang w:val="en-CA" w:eastAsia="en-CA"/>
              </w:rPr>
            </w:pPr>
            <w:r w:rsidRPr="00FC2211">
              <w:rPr>
                <w:rFonts w:ascii="Calibri" w:hAnsi="Calibri" w:cs="Calibri"/>
                <w:color w:val="000000"/>
                <w:szCs w:val="20"/>
                <w:lang w:val="en-CA" w:eastAsia="en-CA"/>
              </w:rPr>
              <w:t>June 30, 2023</w:t>
            </w:r>
          </w:p>
        </w:tc>
      </w:tr>
      <w:tr w:rsidR="00913665" w:rsidRPr="00FC2211" w14:paraId="40DEFC30" w14:textId="77777777" w:rsidTr="00913665">
        <w:trPr>
          <w:trHeight w:val="564"/>
          <w:jc w:val="center"/>
        </w:trPr>
        <w:tc>
          <w:tcPr>
            <w:tcW w:w="2896" w:type="dxa"/>
            <w:tcBorders>
              <w:top w:val="single" w:sz="8" w:space="0" w:color="auto"/>
              <w:left w:val="nil"/>
              <w:bottom w:val="single" w:sz="8" w:space="0" w:color="auto"/>
              <w:right w:val="nil"/>
            </w:tcBorders>
            <w:shd w:val="clear" w:color="000000" w:fill="FFFFFF"/>
            <w:vAlign w:val="center"/>
            <w:hideMark/>
          </w:tcPr>
          <w:p w14:paraId="02A2E2CC" w14:textId="77777777" w:rsidR="00913665" w:rsidRPr="00FC2211" w:rsidRDefault="00913665" w:rsidP="00913665">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w:t>
            </w:r>
          </w:p>
        </w:tc>
        <w:tc>
          <w:tcPr>
            <w:tcW w:w="1743" w:type="dxa"/>
            <w:tcBorders>
              <w:top w:val="nil"/>
              <w:left w:val="nil"/>
              <w:bottom w:val="single" w:sz="8" w:space="0" w:color="auto"/>
              <w:right w:val="nil"/>
            </w:tcBorders>
            <w:shd w:val="clear" w:color="000000" w:fill="FFFFFF"/>
            <w:vAlign w:val="bottom"/>
            <w:hideMark/>
          </w:tcPr>
          <w:p w14:paraId="3DE36594" w14:textId="77777777" w:rsidR="00913665" w:rsidRPr="00FC2211" w:rsidRDefault="00913665" w:rsidP="00913665">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Number of options</w:t>
            </w:r>
          </w:p>
        </w:tc>
        <w:tc>
          <w:tcPr>
            <w:tcW w:w="1713" w:type="dxa"/>
            <w:tcBorders>
              <w:top w:val="nil"/>
              <w:left w:val="nil"/>
              <w:bottom w:val="single" w:sz="8" w:space="0" w:color="auto"/>
              <w:right w:val="nil"/>
            </w:tcBorders>
            <w:shd w:val="clear" w:color="000000" w:fill="FFFFFF"/>
            <w:vAlign w:val="bottom"/>
            <w:hideMark/>
          </w:tcPr>
          <w:p w14:paraId="57BCC4D2" w14:textId="77777777" w:rsidR="00913665" w:rsidRPr="00FC2211" w:rsidRDefault="00913665" w:rsidP="00913665">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Weighted average exercise price</w:t>
            </w:r>
          </w:p>
        </w:tc>
        <w:tc>
          <w:tcPr>
            <w:tcW w:w="1739" w:type="dxa"/>
            <w:tcBorders>
              <w:top w:val="nil"/>
              <w:left w:val="nil"/>
              <w:bottom w:val="single" w:sz="8" w:space="0" w:color="auto"/>
              <w:right w:val="nil"/>
            </w:tcBorders>
            <w:shd w:val="clear" w:color="000000" w:fill="FFFFFF"/>
            <w:vAlign w:val="bottom"/>
            <w:hideMark/>
          </w:tcPr>
          <w:p w14:paraId="7FD785E6" w14:textId="77777777" w:rsidR="00913665" w:rsidRPr="00FC2211" w:rsidRDefault="00913665" w:rsidP="00913665">
            <w:pPr>
              <w:jc w:val="center"/>
              <w:rPr>
                <w:rFonts w:ascii="Calibri" w:hAnsi="Calibri" w:cs="Calibri"/>
                <w:color w:val="000000"/>
                <w:szCs w:val="20"/>
                <w:lang w:val="en-CA" w:eastAsia="en-CA"/>
              </w:rPr>
            </w:pPr>
            <w:r w:rsidRPr="00FC2211">
              <w:rPr>
                <w:rFonts w:ascii="Calibri" w:hAnsi="Calibri" w:cs="Calibri"/>
                <w:color w:val="000000"/>
                <w:szCs w:val="20"/>
                <w:lang w:val="en-CA" w:eastAsia="en-CA"/>
              </w:rPr>
              <w:t>Number of options</w:t>
            </w:r>
          </w:p>
        </w:tc>
        <w:tc>
          <w:tcPr>
            <w:tcW w:w="1717" w:type="dxa"/>
            <w:tcBorders>
              <w:top w:val="nil"/>
              <w:left w:val="nil"/>
              <w:bottom w:val="single" w:sz="8" w:space="0" w:color="auto"/>
              <w:right w:val="nil"/>
            </w:tcBorders>
            <w:shd w:val="clear" w:color="000000" w:fill="FFFFFF"/>
            <w:vAlign w:val="bottom"/>
            <w:hideMark/>
          </w:tcPr>
          <w:p w14:paraId="0A38D20D" w14:textId="77777777" w:rsidR="00913665" w:rsidRPr="00FC2211" w:rsidRDefault="00913665" w:rsidP="00913665">
            <w:pPr>
              <w:jc w:val="center"/>
              <w:rPr>
                <w:rFonts w:ascii="Calibri" w:hAnsi="Calibri" w:cs="Calibri"/>
                <w:color w:val="000000"/>
                <w:szCs w:val="20"/>
                <w:lang w:val="en-CA" w:eastAsia="en-CA"/>
              </w:rPr>
            </w:pPr>
            <w:r w:rsidRPr="00FC2211">
              <w:rPr>
                <w:rFonts w:ascii="Calibri" w:hAnsi="Calibri" w:cs="Calibri"/>
                <w:color w:val="000000"/>
                <w:szCs w:val="20"/>
                <w:lang w:val="en-CA" w:eastAsia="en-CA"/>
              </w:rPr>
              <w:t>Weighted average exercise price</w:t>
            </w:r>
          </w:p>
        </w:tc>
      </w:tr>
      <w:tr w:rsidR="00913665" w:rsidRPr="00FC2211" w14:paraId="003905F2" w14:textId="77777777" w:rsidTr="00913665">
        <w:trPr>
          <w:trHeight w:val="276"/>
          <w:jc w:val="center"/>
        </w:trPr>
        <w:tc>
          <w:tcPr>
            <w:tcW w:w="2896" w:type="dxa"/>
            <w:tcBorders>
              <w:top w:val="nil"/>
              <w:left w:val="nil"/>
              <w:bottom w:val="nil"/>
              <w:right w:val="nil"/>
            </w:tcBorders>
            <w:shd w:val="clear" w:color="000000" w:fill="FFFFFF"/>
            <w:noWrap/>
            <w:vAlign w:val="center"/>
            <w:hideMark/>
          </w:tcPr>
          <w:p w14:paraId="457D9182" w14:textId="77777777" w:rsidR="00913665" w:rsidRPr="00FC2211" w:rsidRDefault="00913665" w:rsidP="00EE7FC9">
            <w:pPr>
              <w:rPr>
                <w:rFonts w:ascii="Calibri" w:hAnsi="Calibri" w:cs="Calibri"/>
                <w:color w:val="000000"/>
                <w:szCs w:val="20"/>
                <w:lang w:val="en-CA" w:eastAsia="en-CA"/>
              </w:rPr>
            </w:pPr>
            <w:r w:rsidRPr="00FC2211">
              <w:rPr>
                <w:rFonts w:ascii="Calibri" w:hAnsi="Calibri" w:cs="Calibri"/>
                <w:color w:val="000000"/>
                <w:szCs w:val="20"/>
                <w:lang w:val="en-CA" w:eastAsia="en-CA"/>
              </w:rPr>
              <w:t>Options outstanding, beginning</w:t>
            </w:r>
          </w:p>
        </w:tc>
        <w:tc>
          <w:tcPr>
            <w:tcW w:w="1743" w:type="dxa"/>
            <w:tcBorders>
              <w:top w:val="nil"/>
              <w:left w:val="nil"/>
              <w:bottom w:val="nil"/>
              <w:right w:val="nil"/>
            </w:tcBorders>
            <w:shd w:val="clear" w:color="000000" w:fill="FFFFFF"/>
            <w:noWrap/>
            <w:vAlign w:val="center"/>
            <w:hideMark/>
          </w:tcPr>
          <w:p w14:paraId="7D43FA6B" w14:textId="2D211DA8" w:rsidR="00913665" w:rsidRPr="00FC2211" w:rsidRDefault="00913665" w:rsidP="00913665">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6,930,863 </w:t>
            </w:r>
          </w:p>
        </w:tc>
        <w:tc>
          <w:tcPr>
            <w:tcW w:w="1713" w:type="dxa"/>
            <w:tcBorders>
              <w:top w:val="nil"/>
              <w:left w:val="nil"/>
              <w:bottom w:val="nil"/>
              <w:right w:val="nil"/>
            </w:tcBorders>
            <w:shd w:val="clear" w:color="000000" w:fill="FFFFFF"/>
            <w:noWrap/>
            <w:vAlign w:val="center"/>
            <w:hideMark/>
          </w:tcPr>
          <w:p w14:paraId="33EAE50A" w14:textId="2EE8685A" w:rsidR="00913665" w:rsidRPr="00FC2211" w:rsidRDefault="00913665" w:rsidP="00913665">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0.204 </w:t>
            </w:r>
          </w:p>
        </w:tc>
        <w:tc>
          <w:tcPr>
            <w:tcW w:w="1739" w:type="dxa"/>
            <w:tcBorders>
              <w:top w:val="nil"/>
              <w:left w:val="nil"/>
              <w:bottom w:val="nil"/>
              <w:right w:val="nil"/>
            </w:tcBorders>
            <w:shd w:val="clear" w:color="000000" w:fill="FFFFFF"/>
            <w:noWrap/>
            <w:vAlign w:val="center"/>
            <w:hideMark/>
          </w:tcPr>
          <w:p w14:paraId="5561885F" w14:textId="22FE0EA6" w:rsidR="00913665" w:rsidRPr="00FC2211" w:rsidRDefault="00913665" w:rsidP="00913665">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4,350,863 </w:t>
            </w:r>
          </w:p>
        </w:tc>
        <w:tc>
          <w:tcPr>
            <w:tcW w:w="1717" w:type="dxa"/>
            <w:tcBorders>
              <w:top w:val="nil"/>
              <w:left w:val="nil"/>
              <w:bottom w:val="nil"/>
              <w:right w:val="nil"/>
            </w:tcBorders>
            <w:shd w:val="clear" w:color="000000" w:fill="FFFFFF"/>
            <w:noWrap/>
            <w:vAlign w:val="center"/>
            <w:hideMark/>
          </w:tcPr>
          <w:p w14:paraId="19B99941" w14:textId="041E4A98" w:rsidR="00913665" w:rsidRPr="00FC2211" w:rsidRDefault="00913665" w:rsidP="00913665">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0.262 </w:t>
            </w:r>
          </w:p>
        </w:tc>
      </w:tr>
      <w:tr w:rsidR="00913665" w:rsidRPr="00FC2211" w14:paraId="075FD6FD" w14:textId="77777777" w:rsidTr="00913665">
        <w:trPr>
          <w:trHeight w:val="276"/>
          <w:jc w:val="center"/>
        </w:trPr>
        <w:tc>
          <w:tcPr>
            <w:tcW w:w="2896" w:type="dxa"/>
            <w:tcBorders>
              <w:top w:val="nil"/>
              <w:left w:val="nil"/>
              <w:bottom w:val="nil"/>
              <w:right w:val="nil"/>
            </w:tcBorders>
            <w:shd w:val="clear" w:color="000000" w:fill="FFFFFF"/>
            <w:noWrap/>
            <w:vAlign w:val="center"/>
            <w:hideMark/>
          </w:tcPr>
          <w:p w14:paraId="26A5B24A" w14:textId="77777777" w:rsidR="00913665" w:rsidRPr="00FC2211" w:rsidRDefault="00913665" w:rsidP="00EE7FC9">
            <w:pPr>
              <w:rPr>
                <w:rFonts w:ascii="Calibri" w:hAnsi="Calibri" w:cs="Calibri"/>
                <w:color w:val="000000"/>
                <w:szCs w:val="20"/>
                <w:lang w:val="en-CA" w:eastAsia="en-CA"/>
              </w:rPr>
            </w:pPr>
            <w:r w:rsidRPr="00FC2211">
              <w:rPr>
                <w:rFonts w:ascii="Calibri" w:hAnsi="Calibri" w:cs="Calibri"/>
                <w:color w:val="000000"/>
                <w:szCs w:val="20"/>
                <w:lang w:val="en-CA" w:eastAsia="en-CA"/>
              </w:rPr>
              <w:t>Options granted</w:t>
            </w:r>
          </w:p>
        </w:tc>
        <w:tc>
          <w:tcPr>
            <w:tcW w:w="1743" w:type="dxa"/>
            <w:tcBorders>
              <w:top w:val="nil"/>
              <w:left w:val="nil"/>
              <w:bottom w:val="nil"/>
              <w:right w:val="nil"/>
            </w:tcBorders>
            <w:shd w:val="clear" w:color="000000" w:fill="FFFFFF"/>
            <w:noWrap/>
            <w:vAlign w:val="center"/>
            <w:hideMark/>
          </w:tcPr>
          <w:p w14:paraId="3DB57C27" w14:textId="61DB177E" w:rsidR="00913665" w:rsidRPr="00FC2211" w:rsidRDefault="00913665" w:rsidP="00913665">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815,000 </w:t>
            </w:r>
          </w:p>
        </w:tc>
        <w:tc>
          <w:tcPr>
            <w:tcW w:w="1713" w:type="dxa"/>
            <w:tcBorders>
              <w:top w:val="nil"/>
              <w:left w:val="nil"/>
              <w:bottom w:val="nil"/>
              <w:right w:val="nil"/>
            </w:tcBorders>
            <w:shd w:val="clear" w:color="000000" w:fill="FFFFFF"/>
            <w:noWrap/>
            <w:vAlign w:val="center"/>
            <w:hideMark/>
          </w:tcPr>
          <w:p w14:paraId="7668C007" w14:textId="0DFC4E9F" w:rsidR="00913665" w:rsidRPr="00FC2211" w:rsidRDefault="00913665" w:rsidP="00913665">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0.</w:t>
            </w:r>
            <w:r w:rsidR="00A029CD" w:rsidRPr="00FC2211">
              <w:rPr>
                <w:rFonts w:ascii="Calibri" w:hAnsi="Calibri" w:cs="Calibri"/>
                <w:b/>
                <w:bCs/>
                <w:color w:val="000000"/>
                <w:szCs w:val="20"/>
                <w:lang w:val="en-CA" w:eastAsia="en-CA"/>
              </w:rPr>
              <w:t>050</w:t>
            </w:r>
            <w:r w:rsidRPr="00FC2211">
              <w:rPr>
                <w:rFonts w:ascii="Calibri" w:hAnsi="Calibri" w:cs="Calibri"/>
                <w:b/>
                <w:bCs/>
                <w:color w:val="000000"/>
                <w:szCs w:val="20"/>
                <w:lang w:val="en-CA" w:eastAsia="en-CA"/>
              </w:rPr>
              <w:t xml:space="preserve"> </w:t>
            </w:r>
          </w:p>
        </w:tc>
        <w:tc>
          <w:tcPr>
            <w:tcW w:w="1739" w:type="dxa"/>
            <w:tcBorders>
              <w:top w:val="nil"/>
              <w:left w:val="nil"/>
              <w:bottom w:val="nil"/>
              <w:right w:val="nil"/>
            </w:tcBorders>
            <w:shd w:val="clear" w:color="000000" w:fill="FFFFFF"/>
            <w:noWrap/>
            <w:vAlign w:val="center"/>
            <w:hideMark/>
          </w:tcPr>
          <w:p w14:paraId="2B9BC0E8" w14:textId="0784B3AD" w:rsidR="00913665" w:rsidRPr="00FC2211" w:rsidRDefault="00913665" w:rsidP="00913665">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2,855,000 </w:t>
            </w:r>
          </w:p>
        </w:tc>
        <w:tc>
          <w:tcPr>
            <w:tcW w:w="1717" w:type="dxa"/>
            <w:tcBorders>
              <w:top w:val="nil"/>
              <w:left w:val="nil"/>
              <w:bottom w:val="nil"/>
              <w:right w:val="nil"/>
            </w:tcBorders>
            <w:shd w:val="clear" w:color="000000" w:fill="FFFFFF"/>
            <w:noWrap/>
            <w:vAlign w:val="center"/>
            <w:hideMark/>
          </w:tcPr>
          <w:p w14:paraId="11446192" w14:textId="37299D5D" w:rsidR="00913665" w:rsidRPr="00FC2211" w:rsidRDefault="00913665" w:rsidP="00913665">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0.120 </w:t>
            </w:r>
          </w:p>
        </w:tc>
      </w:tr>
      <w:tr w:rsidR="00913665" w:rsidRPr="00FC2211" w14:paraId="1F5985D9" w14:textId="77777777" w:rsidTr="00913665">
        <w:trPr>
          <w:trHeight w:val="276"/>
          <w:jc w:val="center"/>
        </w:trPr>
        <w:tc>
          <w:tcPr>
            <w:tcW w:w="2896" w:type="dxa"/>
            <w:tcBorders>
              <w:top w:val="nil"/>
              <w:left w:val="nil"/>
              <w:bottom w:val="nil"/>
              <w:right w:val="nil"/>
            </w:tcBorders>
            <w:shd w:val="clear" w:color="000000" w:fill="FFFFFF"/>
            <w:noWrap/>
            <w:vAlign w:val="center"/>
            <w:hideMark/>
          </w:tcPr>
          <w:p w14:paraId="02C75D30" w14:textId="77777777" w:rsidR="00913665" w:rsidRPr="00FC2211" w:rsidRDefault="00913665" w:rsidP="00EE7FC9">
            <w:pPr>
              <w:rPr>
                <w:rFonts w:ascii="Calibri" w:hAnsi="Calibri" w:cs="Calibri"/>
                <w:color w:val="000000"/>
                <w:szCs w:val="20"/>
                <w:lang w:val="en-CA" w:eastAsia="en-CA"/>
              </w:rPr>
            </w:pPr>
            <w:r w:rsidRPr="00FC2211">
              <w:rPr>
                <w:rFonts w:ascii="Calibri" w:hAnsi="Calibri" w:cs="Calibri"/>
                <w:color w:val="000000"/>
                <w:szCs w:val="20"/>
                <w:lang w:val="en-CA" w:eastAsia="en-CA"/>
              </w:rPr>
              <w:t>Options forfeited</w:t>
            </w:r>
          </w:p>
        </w:tc>
        <w:tc>
          <w:tcPr>
            <w:tcW w:w="1743" w:type="dxa"/>
            <w:tcBorders>
              <w:top w:val="nil"/>
              <w:left w:val="nil"/>
              <w:bottom w:val="nil"/>
              <w:right w:val="nil"/>
            </w:tcBorders>
            <w:shd w:val="clear" w:color="000000" w:fill="FFFFFF"/>
            <w:noWrap/>
            <w:vAlign w:val="center"/>
            <w:hideMark/>
          </w:tcPr>
          <w:p w14:paraId="354EB389" w14:textId="2A35FE4E" w:rsidR="00913665" w:rsidRPr="00FC2211" w:rsidRDefault="00913665" w:rsidP="00627BEE">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A029CD" w:rsidRPr="00FC2211">
              <w:rPr>
                <w:rFonts w:ascii="Calibri" w:hAnsi="Calibri" w:cs="Calibri"/>
                <w:b/>
                <w:bCs/>
                <w:color w:val="000000"/>
                <w:szCs w:val="20"/>
                <w:lang w:val="en-CA" w:eastAsia="en-CA"/>
              </w:rPr>
              <w:t>270,000</w:t>
            </w:r>
            <w:r w:rsidRPr="00FC2211">
              <w:rPr>
                <w:rFonts w:ascii="Calibri" w:hAnsi="Calibri" w:cs="Calibri"/>
                <w:b/>
                <w:bCs/>
                <w:color w:val="000000"/>
                <w:szCs w:val="20"/>
                <w:lang w:val="en-CA" w:eastAsia="en-CA"/>
              </w:rPr>
              <w:t>)</w:t>
            </w:r>
          </w:p>
        </w:tc>
        <w:tc>
          <w:tcPr>
            <w:tcW w:w="1713" w:type="dxa"/>
            <w:tcBorders>
              <w:top w:val="nil"/>
              <w:left w:val="nil"/>
              <w:bottom w:val="nil"/>
              <w:right w:val="nil"/>
            </w:tcBorders>
            <w:shd w:val="clear" w:color="000000" w:fill="FFFFFF"/>
            <w:noWrap/>
            <w:vAlign w:val="center"/>
            <w:hideMark/>
          </w:tcPr>
          <w:p w14:paraId="274A51FC" w14:textId="1E9BB5AA" w:rsidR="00913665" w:rsidRPr="00FC2211" w:rsidRDefault="00913665" w:rsidP="00913665">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0.</w:t>
            </w:r>
            <w:r w:rsidR="00A029CD" w:rsidRPr="00FC2211">
              <w:rPr>
                <w:rFonts w:ascii="Calibri" w:hAnsi="Calibri" w:cs="Calibri"/>
                <w:b/>
                <w:bCs/>
                <w:color w:val="000000"/>
                <w:szCs w:val="20"/>
                <w:lang w:val="en-CA" w:eastAsia="en-CA"/>
              </w:rPr>
              <w:t>233</w:t>
            </w:r>
            <w:r w:rsidRPr="00FC2211">
              <w:rPr>
                <w:rFonts w:ascii="Calibri" w:hAnsi="Calibri" w:cs="Calibri"/>
                <w:b/>
                <w:bCs/>
                <w:color w:val="000000"/>
                <w:szCs w:val="20"/>
                <w:lang w:val="en-CA" w:eastAsia="en-CA"/>
              </w:rPr>
              <w:t xml:space="preserve"> </w:t>
            </w:r>
          </w:p>
        </w:tc>
        <w:tc>
          <w:tcPr>
            <w:tcW w:w="1739" w:type="dxa"/>
            <w:tcBorders>
              <w:top w:val="nil"/>
              <w:left w:val="nil"/>
              <w:bottom w:val="nil"/>
              <w:right w:val="nil"/>
            </w:tcBorders>
            <w:shd w:val="clear" w:color="000000" w:fill="FFFFFF"/>
            <w:noWrap/>
            <w:vAlign w:val="center"/>
            <w:hideMark/>
          </w:tcPr>
          <w:p w14:paraId="6937F867" w14:textId="7ECD3F30" w:rsidR="00913665" w:rsidRPr="00FC2211" w:rsidRDefault="00913665" w:rsidP="00627BEE">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(275,000)</w:t>
            </w:r>
          </w:p>
        </w:tc>
        <w:tc>
          <w:tcPr>
            <w:tcW w:w="1717" w:type="dxa"/>
            <w:tcBorders>
              <w:top w:val="nil"/>
              <w:left w:val="nil"/>
              <w:bottom w:val="nil"/>
              <w:right w:val="nil"/>
            </w:tcBorders>
            <w:shd w:val="clear" w:color="000000" w:fill="FFFFFF"/>
            <w:noWrap/>
            <w:vAlign w:val="center"/>
            <w:hideMark/>
          </w:tcPr>
          <w:p w14:paraId="234168AD" w14:textId="5286BFAB" w:rsidR="00913665" w:rsidRPr="00FC2211" w:rsidRDefault="00913665" w:rsidP="00913665">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0.260 </w:t>
            </w:r>
          </w:p>
        </w:tc>
      </w:tr>
      <w:tr w:rsidR="00913665" w:rsidRPr="00FC2211" w14:paraId="25606536" w14:textId="77777777" w:rsidTr="00913665">
        <w:trPr>
          <w:trHeight w:val="276"/>
          <w:jc w:val="center"/>
        </w:trPr>
        <w:tc>
          <w:tcPr>
            <w:tcW w:w="2896" w:type="dxa"/>
            <w:tcBorders>
              <w:top w:val="single" w:sz="4" w:space="0" w:color="auto"/>
              <w:left w:val="nil"/>
              <w:bottom w:val="single" w:sz="4" w:space="0" w:color="auto"/>
              <w:right w:val="nil"/>
            </w:tcBorders>
            <w:shd w:val="clear" w:color="000000" w:fill="FFFFFF"/>
            <w:noWrap/>
            <w:vAlign w:val="center"/>
            <w:hideMark/>
          </w:tcPr>
          <w:p w14:paraId="487096DF" w14:textId="77777777" w:rsidR="00913665" w:rsidRPr="00FC2211" w:rsidRDefault="00913665" w:rsidP="00EE7FC9">
            <w:pPr>
              <w:rPr>
                <w:rFonts w:ascii="Calibri" w:hAnsi="Calibri" w:cs="Calibri"/>
                <w:color w:val="000000"/>
                <w:szCs w:val="20"/>
                <w:lang w:val="en-CA" w:eastAsia="en-CA"/>
              </w:rPr>
            </w:pPr>
            <w:r w:rsidRPr="00FC2211">
              <w:rPr>
                <w:rFonts w:ascii="Calibri" w:hAnsi="Calibri" w:cs="Calibri"/>
                <w:color w:val="000000"/>
                <w:szCs w:val="20"/>
                <w:lang w:val="en-CA" w:eastAsia="en-CA"/>
              </w:rPr>
              <w:t>Options outstanding, ending</w:t>
            </w:r>
          </w:p>
        </w:tc>
        <w:tc>
          <w:tcPr>
            <w:tcW w:w="1743" w:type="dxa"/>
            <w:tcBorders>
              <w:top w:val="single" w:sz="4" w:space="0" w:color="auto"/>
              <w:left w:val="nil"/>
              <w:bottom w:val="single" w:sz="4" w:space="0" w:color="auto"/>
              <w:right w:val="nil"/>
            </w:tcBorders>
            <w:shd w:val="clear" w:color="000000" w:fill="FFFFFF"/>
            <w:noWrap/>
            <w:vAlign w:val="center"/>
            <w:hideMark/>
          </w:tcPr>
          <w:p w14:paraId="2258B5F7" w14:textId="26DD60D3" w:rsidR="00913665" w:rsidRPr="00FC2211" w:rsidRDefault="00913665" w:rsidP="00913665">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7,</w:t>
            </w:r>
            <w:r w:rsidR="00A029CD" w:rsidRPr="00FC2211">
              <w:rPr>
                <w:rFonts w:ascii="Calibri" w:hAnsi="Calibri" w:cs="Calibri"/>
                <w:b/>
                <w:bCs/>
                <w:color w:val="000000"/>
                <w:szCs w:val="20"/>
                <w:lang w:val="en-CA" w:eastAsia="en-CA"/>
              </w:rPr>
              <w:t>475,863</w:t>
            </w:r>
            <w:r w:rsidRPr="00FC2211">
              <w:rPr>
                <w:rFonts w:ascii="Calibri" w:hAnsi="Calibri" w:cs="Calibri"/>
                <w:b/>
                <w:bCs/>
                <w:color w:val="000000"/>
                <w:szCs w:val="20"/>
                <w:lang w:val="en-CA" w:eastAsia="en-CA"/>
              </w:rPr>
              <w:t xml:space="preserve"> </w:t>
            </w:r>
          </w:p>
        </w:tc>
        <w:tc>
          <w:tcPr>
            <w:tcW w:w="1713" w:type="dxa"/>
            <w:tcBorders>
              <w:top w:val="single" w:sz="4" w:space="0" w:color="auto"/>
              <w:left w:val="nil"/>
              <w:bottom w:val="single" w:sz="4" w:space="0" w:color="auto"/>
              <w:right w:val="nil"/>
            </w:tcBorders>
            <w:shd w:val="clear" w:color="000000" w:fill="FFFFFF"/>
            <w:noWrap/>
            <w:vAlign w:val="center"/>
            <w:hideMark/>
          </w:tcPr>
          <w:p w14:paraId="40498D1D" w14:textId="2E475126" w:rsidR="00913665" w:rsidRPr="00FC2211" w:rsidRDefault="00913665" w:rsidP="00913665">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0.18</w:t>
            </w:r>
            <w:r w:rsidR="00A029CD" w:rsidRPr="00FC2211">
              <w:rPr>
                <w:rFonts w:ascii="Calibri" w:hAnsi="Calibri" w:cs="Calibri"/>
                <w:b/>
                <w:bCs/>
                <w:color w:val="000000"/>
                <w:szCs w:val="20"/>
                <w:lang w:val="en-CA" w:eastAsia="en-CA"/>
              </w:rPr>
              <w:t>7</w:t>
            </w:r>
            <w:r w:rsidRPr="00FC2211">
              <w:rPr>
                <w:rFonts w:ascii="Calibri" w:hAnsi="Calibri" w:cs="Calibri"/>
                <w:b/>
                <w:bCs/>
                <w:color w:val="000000"/>
                <w:szCs w:val="20"/>
                <w:lang w:val="en-CA" w:eastAsia="en-CA"/>
              </w:rPr>
              <w:t xml:space="preserve"> </w:t>
            </w:r>
          </w:p>
        </w:tc>
        <w:tc>
          <w:tcPr>
            <w:tcW w:w="1739" w:type="dxa"/>
            <w:tcBorders>
              <w:top w:val="single" w:sz="4" w:space="0" w:color="auto"/>
              <w:left w:val="nil"/>
              <w:bottom w:val="single" w:sz="4" w:space="0" w:color="auto"/>
              <w:right w:val="nil"/>
            </w:tcBorders>
            <w:shd w:val="clear" w:color="000000" w:fill="FFFFFF"/>
            <w:noWrap/>
            <w:vAlign w:val="center"/>
            <w:hideMark/>
          </w:tcPr>
          <w:p w14:paraId="60B756D8" w14:textId="039D5C1A" w:rsidR="00913665" w:rsidRPr="00FC2211" w:rsidRDefault="00913665" w:rsidP="00913665">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6,930,863 </w:t>
            </w:r>
          </w:p>
        </w:tc>
        <w:tc>
          <w:tcPr>
            <w:tcW w:w="1717" w:type="dxa"/>
            <w:tcBorders>
              <w:top w:val="single" w:sz="4" w:space="0" w:color="auto"/>
              <w:left w:val="nil"/>
              <w:bottom w:val="single" w:sz="4" w:space="0" w:color="auto"/>
              <w:right w:val="nil"/>
            </w:tcBorders>
            <w:shd w:val="clear" w:color="000000" w:fill="FFFFFF"/>
            <w:noWrap/>
            <w:vAlign w:val="center"/>
            <w:hideMark/>
          </w:tcPr>
          <w:p w14:paraId="748B76FB" w14:textId="3D7FC373" w:rsidR="00913665" w:rsidRPr="00FC2211" w:rsidRDefault="00913665" w:rsidP="00913665">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0.204 </w:t>
            </w:r>
          </w:p>
        </w:tc>
      </w:tr>
      <w:tr w:rsidR="00913665" w:rsidRPr="00FC2211" w14:paraId="33EF3A82" w14:textId="77777777" w:rsidTr="00913665">
        <w:trPr>
          <w:trHeight w:val="288"/>
          <w:jc w:val="center"/>
        </w:trPr>
        <w:tc>
          <w:tcPr>
            <w:tcW w:w="2896" w:type="dxa"/>
            <w:tcBorders>
              <w:top w:val="nil"/>
              <w:left w:val="nil"/>
              <w:bottom w:val="single" w:sz="8" w:space="0" w:color="auto"/>
              <w:right w:val="nil"/>
            </w:tcBorders>
            <w:shd w:val="clear" w:color="000000" w:fill="FFFFFF"/>
            <w:noWrap/>
            <w:vAlign w:val="center"/>
            <w:hideMark/>
          </w:tcPr>
          <w:p w14:paraId="7E177CFD" w14:textId="77777777" w:rsidR="00913665" w:rsidRPr="00FC2211" w:rsidRDefault="00913665" w:rsidP="00EE7FC9">
            <w:pPr>
              <w:rPr>
                <w:rFonts w:ascii="Calibri" w:hAnsi="Calibri" w:cs="Calibri"/>
                <w:color w:val="000000"/>
                <w:szCs w:val="20"/>
                <w:lang w:val="en-CA" w:eastAsia="en-CA"/>
              </w:rPr>
            </w:pPr>
            <w:r w:rsidRPr="00FC2211">
              <w:rPr>
                <w:rFonts w:ascii="Calibri" w:hAnsi="Calibri" w:cs="Calibri"/>
                <w:color w:val="000000"/>
                <w:szCs w:val="20"/>
                <w:lang w:val="en-CA" w:eastAsia="en-CA"/>
              </w:rPr>
              <w:t>Options exercisable, ending</w:t>
            </w:r>
          </w:p>
        </w:tc>
        <w:tc>
          <w:tcPr>
            <w:tcW w:w="1743" w:type="dxa"/>
            <w:tcBorders>
              <w:top w:val="nil"/>
              <w:left w:val="nil"/>
              <w:bottom w:val="single" w:sz="8" w:space="0" w:color="auto"/>
              <w:right w:val="nil"/>
            </w:tcBorders>
            <w:shd w:val="clear" w:color="000000" w:fill="FFFFFF"/>
            <w:noWrap/>
            <w:vAlign w:val="center"/>
            <w:hideMark/>
          </w:tcPr>
          <w:p w14:paraId="6622F4D6" w14:textId="0A0F3002" w:rsidR="00913665" w:rsidRPr="00FC2211" w:rsidRDefault="00913665" w:rsidP="00913665">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2,7</w:t>
            </w:r>
            <w:r w:rsidR="00A029CD" w:rsidRPr="00FC2211">
              <w:rPr>
                <w:rFonts w:ascii="Calibri" w:hAnsi="Calibri" w:cs="Calibri"/>
                <w:b/>
                <w:bCs/>
                <w:color w:val="000000"/>
                <w:szCs w:val="20"/>
                <w:lang w:val="en-CA" w:eastAsia="en-CA"/>
              </w:rPr>
              <w:t>25,863</w:t>
            </w:r>
            <w:r w:rsidRPr="00FC2211">
              <w:rPr>
                <w:rFonts w:ascii="Calibri" w:hAnsi="Calibri" w:cs="Calibri"/>
                <w:b/>
                <w:bCs/>
                <w:color w:val="000000"/>
                <w:szCs w:val="20"/>
                <w:lang w:val="en-CA" w:eastAsia="en-CA"/>
              </w:rPr>
              <w:t xml:space="preserve"> </w:t>
            </w:r>
          </w:p>
        </w:tc>
        <w:tc>
          <w:tcPr>
            <w:tcW w:w="1713" w:type="dxa"/>
            <w:tcBorders>
              <w:top w:val="nil"/>
              <w:left w:val="nil"/>
              <w:bottom w:val="single" w:sz="8" w:space="0" w:color="auto"/>
              <w:right w:val="nil"/>
            </w:tcBorders>
            <w:shd w:val="clear" w:color="000000" w:fill="FFFFFF"/>
            <w:noWrap/>
            <w:vAlign w:val="center"/>
            <w:hideMark/>
          </w:tcPr>
          <w:p w14:paraId="6617AA8E" w14:textId="11A00490" w:rsidR="00913665" w:rsidRPr="00FC2211" w:rsidRDefault="00913665" w:rsidP="00913665">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0.261 </w:t>
            </w:r>
          </w:p>
        </w:tc>
        <w:tc>
          <w:tcPr>
            <w:tcW w:w="1739" w:type="dxa"/>
            <w:tcBorders>
              <w:top w:val="nil"/>
              <w:left w:val="nil"/>
              <w:bottom w:val="single" w:sz="8" w:space="0" w:color="auto"/>
              <w:right w:val="nil"/>
            </w:tcBorders>
            <w:shd w:val="clear" w:color="000000" w:fill="FFFFFF"/>
            <w:noWrap/>
            <w:vAlign w:val="center"/>
            <w:hideMark/>
          </w:tcPr>
          <w:p w14:paraId="34F6EA3F" w14:textId="42DBC18F" w:rsidR="00913665" w:rsidRPr="00FC2211" w:rsidRDefault="00913665" w:rsidP="00913665">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2,732,113 </w:t>
            </w:r>
          </w:p>
        </w:tc>
        <w:tc>
          <w:tcPr>
            <w:tcW w:w="1717" w:type="dxa"/>
            <w:tcBorders>
              <w:top w:val="nil"/>
              <w:left w:val="nil"/>
              <w:bottom w:val="single" w:sz="8" w:space="0" w:color="auto"/>
              <w:right w:val="nil"/>
            </w:tcBorders>
            <w:shd w:val="clear" w:color="000000" w:fill="FFFFFF"/>
            <w:noWrap/>
            <w:vAlign w:val="center"/>
            <w:hideMark/>
          </w:tcPr>
          <w:p w14:paraId="7F85327F" w14:textId="081EB809" w:rsidR="00913665" w:rsidRPr="00FC2211" w:rsidRDefault="00913665" w:rsidP="00913665">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0.261 </w:t>
            </w:r>
          </w:p>
        </w:tc>
      </w:tr>
    </w:tbl>
    <w:p w14:paraId="06465D50" w14:textId="77777777" w:rsidR="00BA75E2" w:rsidRPr="00FC2211" w:rsidRDefault="00BA75E2" w:rsidP="00913665">
      <w:pPr>
        <w:tabs>
          <w:tab w:val="left" w:pos="357"/>
        </w:tabs>
        <w:ind w:left="426"/>
        <w:jc w:val="right"/>
        <w:rPr>
          <w:rFonts w:cstheme="minorHAnsi"/>
          <w:szCs w:val="20"/>
        </w:rPr>
      </w:pPr>
    </w:p>
    <w:p w14:paraId="45BDFF54" w14:textId="77777777" w:rsidR="00921405" w:rsidRPr="00FC2211" w:rsidRDefault="00921405" w:rsidP="00F11274">
      <w:pPr>
        <w:tabs>
          <w:tab w:val="left" w:pos="357"/>
        </w:tabs>
        <w:ind w:left="426"/>
        <w:rPr>
          <w:rFonts w:cstheme="minorHAnsi"/>
          <w:szCs w:val="20"/>
        </w:rPr>
        <w:sectPr w:rsidR="00921405" w:rsidRPr="00FC2211" w:rsidSect="0081636B">
          <w:pgSz w:w="12242" w:h="15842" w:code="1"/>
          <w:pgMar w:top="1440" w:right="1440" w:bottom="1440" w:left="1440" w:header="272" w:footer="454" w:gutter="0"/>
          <w:cols w:space="720"/>
          <w:docGrid w:linePitch="360"/>
        </w:sectPr>
      </w:pPr>
    </w:p>
    <w:p w14:paraId="201DE8F0" w14:textId="77777777" w:rsidR="00921405" w:rsidRPr="00FC2211" w:rsidRDefault="00921405" w:rsidP="00921405">
      <w:pPr>
        <w:pStyle w:val="Heading1"/>
        <w:rPr>
          <w:rFonts w:cstheme="minorHAnsi"/>
          <w:szCs w:val="20"/>
          <w:lang w:val="en-GB"/>
        </w:rPr>
      </w:pPr>
      <w:r w:rsidRPr="00FC2211">
        <w:rPr>
          <w:rFonts w:cstheme="minorHAnsi"/>
          <w:szCs w:val="20"/>
          <w:lang w:val="en-GB"/>
        </w:rPr>
        <w:lastRenderedPageBreak/>
        <w:t>15.   SHARE CAPITAL AND RESERVES (CONTINUED)</w:t>
      </w:r>
    </w:p>
    <w:p w14:paraId="367E11C2" w14:textId="77777777" w:rsidR="00921405" w:rsidRPr="00FC2211" w:rsidRDefault="00921405" w:rsidP="00921405">
      <w:pPr>
        <w:widowControl w:val="0"/>
        <w:autoSpaceDE w:val="0"/>
        <w:autoSpaceDN w:val="0"/>
        <w:ind w:left="360" w:firstLine="14"/>
        <w:outlineLvl w:val="1"/>
        <w:rPr>
          <w:rFonts w:eastAsia="Calibri" w:cstheme="minorHAnsi"/>
          <w:b/>
          <w:bCs/>
          <w:szCs w:val="20"/>
        </w:rPr>
      </w:pPr>
      <w:r w:rsidRPr="00FC2211">
        <w:rPr>
          <w:rFonts w:eastAsia="Calibri" w:cstheme="minorHAnsi"/>
          <w:b/>
          <w:bCs/>
          <w:szCs w:val="20"/>
        </w:rPr>
        <w:t>Stock options (continued)</w:t>
      </w:r>
    </w:p>
    <w:p w14:paraId="194C5321" w14:textId="77777777" w:rsidR="00921405" w:rsidRPr="00FC2211" w:rsidRDefault="00921405" w:rsidP="00F11274">
      <w:pPr>
        <w:tabs>
          <w:tab w:val="left" w:pos="357"/>
        </w:tabs>
        <w:ind w:left="426"/>
        <w:rPr>
          <w:rFonts w:cstheme="minorHAnsi"/>
          <w:szCs w:val="20"/>
        </w:rPr>
      </w:pPr>
    </w:p>
    <w:p w14:paraId="54768394" w14:textId="0DB9505A" w:rsidR="00F11274" w:rsidRPr="00FC2211" w:rsidRDefault="00F11274" w:rsidP="00F11274">
      <w:pPr>
        <w:tabs>
          <w:tab w:val="left" w:pos="357"/>
        </w:tabs>
        <w:ind w:left="426"/>
        <w:rPr>
          <w:rFonts w:cstheme="minorHAnsi"/>
          <w:szCs w:val="20"/>
        </w:rPr>
      </w:pPr>
      <w:r w:rsidRPr="00FC2211">
        <w:rPr>
          <w:rFonts w:cstheme="minorHAnsi"/>
          <w:szCs w:val="20"/>
        </w:rPr>
        <w:t xml:space="preserve">Details of options outstanding as at </w:t>
      </w:r>
      <w:r w:rsidR="007E3204" w:rsidRPr="00FC2211">
        <w:rPr>
          <w:rFonts w:cstheme="minorHAnsi"/>
          <w:szCs w:val="20"/>
        </w:rPr>
        <w:t>December 31</w:t>
      </w:r>
      <w:r w:rsidR="00417438" w:rsidRPr="00FC2211">
        <w:rPr>
          <w:rFonts w:cstheme="minorHAnsi"/>
          <w:szCs w:val="20"/>
        </w:rPr>
        <w:t>, 202</w:t>
      </w:r>
      <w:r w:rsidR="003F6F1C" w:rsidRPr="00FC2211">
        <w:rPr>
          <w:rFonts w:cstheme="minorHAnsi"/>
          <w:szCs w:val="20"/>
        </w:rPr>
        <w:t>3</w:t>
      </w:r>
      <w:r w:rsidR="002B484B" w:rsidRPr="00FC2211">
        <w:rPr>
          <w:rFonts w:cstheme="minorHAnsi"/>
          <w:szCs w:val="20"/>
        </w:rPr>
        <w:t>,</w:t>
      </w:r>
      <w:r w:rsidR="00FB780D" w:rsidRPr="00FC2211">
        <w:rPr>
          <w:rFonts w:cstheme="minorHAnsi"/>
          <w:szCs w:val="20"/>
        </w:rPr>
        <w:t xml:space="preserve"> </w:t>
      </w:r>
      <w:r w:rsidRPr="00FC2211">
        <w:rPr>
          <w:rFonts w:cstheme="minorHAnsi"/>
          <w:szCs w:val="20"/>
        </w:rPr>
        <w:t>are as follows:</w:t>
      </w:r>
    </w:p>
    <w:p w14:paraId="16035478" w14:textId="77777777" w:rsidR="00B92AB3" w:rsidRPr="00FC2211" w:rsidRDefault="00B92AB3" w:rsidP="00F11274">
      <w:pPr>
        <w:tabs>
          <w:tab w:val="left" w:pos="357"/>
        </w:tabs>
        <w:ind w:left="426"/>
        <w:rPr>
          <w:rFonts w:cstheme="minorHAnsi"/>
          <w:szCs w:val="20"/>
        </w:rPr>
      </w:pPr>
    </w:p>
    <w:tbl>
      <w:tblPr>
        <w:tblW w:w="9007" w:type="dxa"/>
        <w:jc w:val="center"/>
        <w:tblLook w:val="04A0" w:firstRow="1" w:lastRow="0" w:firstColumn="1" w:lastColumn="0" w:noHBand="0" w:noVBand="1"/>
      </w:tblPr>
      <w:tblGrid>
        <w:gridCol w:w="2127"/>
        <w:gridCol w:w="1720"/>
        <w:gridCol w:w="1720"/>
        <w:gridCol w:w="1720"/>
        <w:gridCol w:w="1720"/>
      </w:tblGrid>
      <w:tr w:rsidR="00627BEE" w:rsidRPr="00FC2211" w14:paraId="19E48929" w14:textId="77777777" w:rsidTr="00CE008D">
        <w:trPr>
          <w:trHeight w:val="840"/>
          <w:jc w:val="center"/>
        </w:trPr>
        <w:tc>
          <w:tcPr>
            <w:tcW w:w="2127" w:type="dxa"/>
            <w:tcBorders>
              <w:top w:val="nil"/>
              <w:left w:val="nil"/>
              <w:bottom w:val="single" w:sz="8" w:space="0" w:color="auto"/>
              <w:right w:val="nil"/>
            </w:tcBorders>
            <w:shd w:val="clear" w:color="000000" w:fill="FFFFFF"/>
            <w:vAlign w:val="center"/>
            <w:hideMark/>
          </w:tcPr>
          <w:p w14:paraId="08FFA38A" w14:textId="77777777" w:rsidR="00627BEE" w:rsidRPr="00FC2211" w:rsidRDefault="00627BEE" w:rsidP="00627BEE">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Expiry date</w:t>
            </w:r>
          </w:p>
        </w:tc>
        <w:tc>
          <w:tcPr>
            <w:tcW w:w="1720" w:type="dxa"/>
            <w:tcBorders>
              <w:top w:val="nil"/>
              <w:left w:val="nil"/>
              <w:bottom w:val="single" w:sz="8" w:space="0" w:color="auto"/>
              <w:right w:val="nil"/>
            </w:tcBorders>
            <w:shd w:val="clear" w:color="000000" w:fill="FFFFFF"/>
            <w:vAlign w:val="center"/>
            <w:hideMark/>
          </w:tcPr>
          <w:p w14:paraId="5231911D" w14:textId="77777777" w:rsidR="00627BEE" w:rsidRPr="00FC2211" w:rsidRDefault="00627BEE" w:rsidP="00627BEE">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Number of options</w:t>
            </w:r>
          </w:p>
        </w:tc>
        <w:tc>
          <w:tcPr>
            <w:tcW w:w="1720" w:type="dxa"/>
            <w:tcBorders>
              <w:top w:val="nil"/>
              <w:left w:val="nil"/>
              <w:bottom w:val="single" w:sz="8" w:space="0" w:color="auto"/>
              <w:right w:val="nil"/>
            </w:tcBorders>
            <w:shd w:val="clear" w:color="000000" w:fill="FFFFFF"/>
            <w:vAlign w:val="center"/>
            <w:hideMark/>
          </w:tcPr>
          <w:p w14:paraId="5298F747" w14:textId="77777777" w:rsidR="00627BEE" w:rsidRPr="00FC2211" w:rsidRDefault="00627BEE" w:rsidP="00627BEE">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Weighted average exercise price</w:t>
            </w:r>
          </w:p>
        </w:tc>
        <w:tc>
          <w:tcPr>
            <w:tcW w:w="1720" w:type="dxa"/>
            <w:tcBorders>
              <w:top w:val="nil"/>
              <w:left w:val="nil"/>
              <w:bottom w:val="single" w:sz="8" w:space="0" w:color="auto"/>
              <w:right w:val="nil"/>
            </w:tcBorders>
            <w:shd w:val="clear" w:color="000000" w:fill="FFFFFF"/>
            <w:vAlign w:val="center"/>
            <w:hideMark/>
          </w:tcPr>
          <w:p w14:paraId="51532E4B" w14:textId="77777777" w:rsidR="00627BEE" w:rsidRPr="00FC2211" w:rsidRDefault="00627BEE" w:rsidP="00627BEE">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Weighted average contractual life</w:t>
            </w:r>
          </w:p>
        </w:tc>
        <w:tc>
          <w:tcPr>
            <w:tcW w:w="1720" w:type="dxa"/>
            <w:tcBorders>
              <w:top w:val="nil"/>
              <w:left w:val="nil"/>
              <w:bottom w:val="single" w:sz="8" w:space="0" w:color="auto"/>
              <w:right w:val="nil"/>
            </w:tcBorders>
            <w:shd w:val="clear" w:color="000000" w:fill="FFFFFF"/>
            <w:vAlign w:val="center"/>
            <w:hideMark/>
          </w:tcPr>
          <w:p w14:paraId="7F23C25E" w14:textId="77777777" w:rsidR="00627BEE" w:rsidRPr="00FC2211" w:rsidRDefault="00627BEE" w:rsidP="00627BEE">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Number of Options exercisable</w:t>
            </w:r>
          </w:p>
        </w:tc>
      </w:tr>
      <w:tr w:rsidR="00627BEE" w:rsidRPr="00FC2211" w14:paraId="46671585" w14:textId="77777777" w:rsidTr="00CE008D">
        <w:trPr>
          <w:trHeight w:val="288"/>
          <w:jc w:val="center"/>
        </w:trPr>
        <w:tc>
          <w:tcPr>
            <w:tcW w:w="2127" w:type="dxa"/>
            <w:tcBorders>
              <w:top w:val="nil"/>
              <w:left w:val="nil"/>
              <w:bottom w:val="nil"/>
              <w:right w:val="nil"/>
            </w:tcBorders>
            <w:shd w:val="clear" w:color="000000" w:fill="FFFFFF"/>
            <w:noWrap/>
            <w:vAlign w:val="center"/>
            <w:hideMark/>
          </w:tcPr>
          <w:p w14:paraId="6F6EAADB" w14:textId="77777777"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January 23, 2025</w:t>
            </w:r>
          </w:p>
        </w:tc>
        <w:tc>
          <w:tcPr>
            <w:tcW w:w="1720" w:type="dxa"/>
            <w:tcBorders>
              <w:top w:val="nil"/>
              <w:left w:val="nil"/>
              <w:bottom w:val="nil"/>
              <w:right w:val="nil"/>
            </w:tcBorders>
            <w:shd w:val="clear" w:color="000000" w:fill="FFFFFF"/>
            <w:noWrap/>
            <w:vAlign w:val="center"/>
            <w:hideMark/>
          </w:tcPr>
          <w:p w14:paraId="039D7FE9" w14:textId="131E8B80"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175,863 </w:t>
            </w:r>
          </w:p>
        </w:tc>
        <w:tc>
          <w:tcPr>
            <w:tcW w:w="1720" w:type="dxa"/>
            <w:tcBorders>
              <w:top w:val="nil"/>
              <w:left w:val="nil"/>
              <w:bottom w:val="nil"/>
              <w:right w:val="nil"/>
            </w:tcBorders>
            <w:shd w:val="clear" w:color="000000" w:fill="FFFFFF"/>
            <w:noWrap/>
            <w:vAlign w:val="center"/>
            <w:hideMark/>
          </w:tcPr>
          <w:p w14:paraId="4C40B3EF" w14:textId="15DA6639"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0.089 </w:t>
            </w:r>
          </w:p>
        </w:tc>
        <w:tc>
          <w:tcPr>
            <w:tcW w:w="1720" w:type="dxa"/>
            <w:tcBorders>
              <w:top w:val="nil"/>
              <w:left w:val="nil"/>
              <w:bottom w:val="nil"/>
              <w:right w:val="nil"/>
            </w:tcBorders>
            <w:shd w:val="clear" w:color="000000" w:fill="FFFFFF"/>
            <w:noWrap/>
            <w:vAlign w:val="center"/>
            <w:hideMark/>
          </w:tcPr>
          <w:p w14:paraId="6943AAB1" w14:textId="766C5CF8"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1.32 </w:t>
            </w:r>
          </w:p>
        </w:tc>
        <w:tc>
          <w:tcPr>
            <w:tcW w:w="1720" w:type="dxa"/>
            <w:tcBorders>
              <w:top w:val="nil"/>
              <w:left w:val="nil"/>
              <w:bottom w:val="nil"/>
              <w:right w:val="nil"/>
            </w:tcBorders>
            <w:shd w:val="clear" w:color="000000" w:fill="FFFFFF"/>
            <w:noWrap/>
            <w:vAlign w:val="center"/>
            <w:hideMark/>
          </w:tcPr>
          <w:p w14:paraId="63F84475" w14:textId="64662B4C"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175,863 </w:t>
            </w:r>
          </w:p>
        </w:tc>
      </w:tr>
      <w:tr w:rsidR="00627BEE" w:rsidRPr="00FC2211" w14:paraId="4678158C" w14:textId="77777777" w:rsidTr="00CE008D">
        <w:trPr>
          <w:trHeight w:val="276"/>
          <w:jc w:val="center"/>
        </w:trPr>
        <w:tc>
          <w:tcPr>
            <w:tcW w:w="2127" w:type="dxa"/>
            <w:tcBorders>
              <w:top w:val="nil"/>
              <w:left w:val="nil"/>
              <w:bottom w:val="nil"/>
              <w:right w:val="nil"/>
            </w:tcBorders>
            <w:shd w:val="clear" w:color="000000" w:fill="FFFFFF"/>
            <w:noWrap/>
            <w:vAlign w:val="center"/>
            <w:hideMark/>
          </w:tcPr>
          <w:p w14:paraId="7BB1610F" w14:textId="77777777"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April 14, 2030</w:t>
            </w:r>
          </w:p>
        </w:tc>
        <w:tc>
          <w:tcPr>
            <w:tcW w:w="1720" w:type="dxa"/>
            <w:tcBorders>
              <w:top w:val="nil"/>
              <w:left w:val="nil"/>
              <w:bottom w:val="nil"/>
              <w:right w:val="nil"/>
            </w:tcBorders>
            <w:shd w:val="clear" w:color="000000" w:fill="FFFFFF"/>
            <w:noWrap/>
            <w:vAlign w:val="center"/>
            <w:hideMark/>
          </w:tcPr>
          <w:p w14:paraId="5EE5832B" w14:textId="0C742382"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w:t>
            </w:r>
            <w:r w:rsidR="003442A4" w:rsidRPr="00FC2211">
              <w:rPr>
                <w:rFonts w:ascii="Calibri" w:hAnsi="Calibri" w:cs="Calibri"/>
                <w:color w:val="000000"/>
                <w:szCs w:val="20"/>
                <w:lang w:val="en-CA" w:eastAsia="en-CA"/>
              </w:rPr>
              <w:t>250</w:t>
            </w:r>
            <w:r w:rsidRPr="00FC2211">
              <w:rPr>
                <w:rFonts w:ascii="Calibri" w:hAnsi="Calibri" w:cs="Calibri"/>
                <w:color w:val="000000"/>
                <w:szCs w:val="20"/>
                <w:lang w:val="en-CA" w:eastAsia="en-CA"/>
              </w:rPr>
              <w:t xml:space="preserve">,000 </w:t>
            </w:r>
          </w:p>
        </w:tc>
        <w:tc>
          <w:tcPr>
            <w:tcW w:w="1720" w:type="dxa"/>
            <w:tcBorders>
              <w:top w:val="nil"/>
              <w:left w:val="nil"/>
              <w:bottom w:val="nil"/>
              <w:right w:val="nil"/>
            </w:tcBorders>
            <w:shd w:val="clear" w:color="000000" w:fill="FFFFFF"/>
            <w:noWrap/>
            <w:vAlign w:val="center"/>
            <w:hideMark/>
          </w:tcPr>
          <w:p w14:paraId="25E5F93D" w14:textId="76905F70"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0.260 </w:t>
            </w:r>
          </w:p>
        </w:tc>
        <w:tc>
          <w:tcPr>
            <w:tcW w:w="1720" w:type="dxa"/>
            <w:tcBorders>
              <w:top w:val="nil"/>
              <w:left w:val="nil"/>
              <w:bottom w:val="nil"/>
              <w:right w:val="nil"/>
            </w:tcBorders>
            <w:shd w:val="clear" w:color="000000" w:fill="FFFFFF"/>
            <w:noWrap/>
            <w:vAlign w:val="center"/>
            <w:hideMark/>
          </w:tcPr>
          <w:p w14:paraId="0297733A" w14:textId="363782BE"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6.55 </w:t>
            </w:r>
          </w:p>
        </w:tc>
        <w:tc>
          <w:tcPr>
            <w:tcW w:w="1720" w:type="dxa"/>
            <w:tcBorders>
              <w:top w:val="nil"/>
              <w:left w:val="nil"/>
              <w:bottom w:val="nil"/>
              <w:right w:val="nil"/>
            </w:tcBorders>
            <w:shd w:val="clear" w:color="000000" w:fill="FFFFFF"/>
            <w:noWrap/>
            <w:vAlign w:val="center"/>
            <w:hideMark/>
          </w:tcPr>
          <w:p w14:paraId="072C384A" w14:textId="3E97EE5B"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1,687,500 </w:t>
            </w:r>
          </w:p>
        </w:tc>
      </w:tr>
      <w:tr w:rsidR="00627BEE" w:rsidRPr="00FC2211" w14:paraId="2381EBF8" w14:textId="77777777" w:rsidTr="00CE008D">
        <w:trPr>
          <w:trHeight w:val="276"/>
          <w:jc w:val="center"/>
        </w:trPr>
        <w:tc>
          <w:tcPr>
            <w:tcW w:w="2127" w:type="dxa"/>
            <w:tcBorders>
              <w:top w:val="nil"/>
              <w:left w:val="nil"/>
              <w:bottom w:val="nil"/>
              <w:right w:val="nil"/>
            </w:tcBorders>
            <w:shd w:val="clear" w:color="000000" w:fill="FFFFFF"/>
            <w:noWrap/>
            <w:vAlign w:val="center"/>
            <w:hideMark/>
          </w:tcPr>
          <w:p w14:paraId="07DF8235" w14:textId="77777777"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April 14, 2030</w:t>
            </w:r>
          </w:p>
        </w:tc>
        <w:tc>
          <w:tcPr>
            <w:tcW w:w="1720" w:type="dxa"/>
            <w:tcBorders>
              <w:top w:val="nil"/>
              <w:left w:val="nil"/>
              <w:bottom w:val="nil"/>
              <w:right w:val="nil"/>
            </w:tcBorders>
            <w:shd w:val="clear" w:color="000000" w:fill="FFFFFF"/>
            <w:noWrap/>
            <w:vAlign w:val="center"/>
            <w:hideMark/>
          </w:tcPr>
          <w:p w14:paraId="2492D418" w14:textId="529AF208"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3442A4" w:rsidRPr="00FC2211">
              <w:rPr>
                <w:rFonts w:ascii="Calibri" w:hAnsi="Calibri" w:cs="Calibri"/>
                <w:color w:val="000000"/>
                <w:szCs w:val="20"/>
                <w:lang w:val="en-CA" w:eastAsia="en-CA"/>
              </w:rPr>
              <w:t>500</w:t>
            </w:r>
            <w:r w:rsidRPr="00FC2211">
              <w:rPr>
                <w:rFonts w:ascii="Calibri" w:hAnsi="Calibri" w:cs="Calibri"/>
                <w:color w:val="000000"/>
                <w:szCs w:val="20"/>
                <w:lang w:val="en-CA" w:eastAsia="en-CA"/>
              </w:rPr>
              <w:t xml:space="preserve">,000 </w:t>
            </w:r>
          </w:p>
        </w:tc>
        <w:tc>
          <w:tcPr>
            <w:tcW w:w="1720" w:type="dxa"/>
            <w:tcBorders>
              <w:top w:val="nil"/>
              <w:left w:val="nil"/>
              <w:bottom w:val="nil"/>
              <w:right w:val="nil"/>
            </w:tcBorders>
            <w:shd w:val="clear" w:color="000000" w:fill="FFFFFF"/>
            <w:noWrap/>
            <w:vAlign w:val="center"/>
            <w:hideMark/>
          </w:tcPr>
          <w:p w14:paraId="2FDF4FF9" w14:textId="1BAA3783"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0.350 </w:t>
            </w:r>
          </w:p>
        </w:tc>
        <w:tc>
          <w:tcPr>
            <w:tcW w:w="1720" w:type="dxa"/>
            <w:tcBorders>
              <w:top w:val="nil"/>
              <w:left w:val="nil"/>
              <w:bottom w:val="nil"/>
              <w:right w:val="nil"/>
            </w:tcBorders>
            <w:shd w:val="clear" w:color="000000" w:fill="FFFFFF"/>
            <w:noWrap/>
            <w:vAlign w:val="center"/>
            <w:hideMark/>
          </w:tcPr>
          <w:p w14:paraId="250BC03A" w14:textId="0A9F7530"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6.55 </w:t>
            </w:r>
          </w:p>
        </w:tc>
        <w:tc>
          <w:tcPr>
            <w:tcW w:w="1720" w:type="dxa"/>
            <w:tcBorders>
              <w:top w:val="nil"/>
              <w:left w:val="nil"/>
              <w:bottom w:val="nil"/>
              <w:right w:val="nil"/>
            </w:tcBorders>
            <w:shd w:val="clear" w:color="000000" w:fill="FFFFFF"/>
            <w:noWrap/>
            <w:vAlign w:val="center"/>
            <w:hideMark/>
          </w:tcPr>
          <w:p w14:paraId="4EDA3076" w14:textId="659FFA8A"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375,000 </w:t>
            </w:r>
          </w:p>
        </w:tc>
      </w:tr>
      <w:tr w:rsidR="00627BEE" w:rsidRPr="00FC2211" w14:paraId="73D8C7A9" w14:textId="77777777" w:rsidTr="00CE008D">
        <w:trPr>
          <w:trHeight w:val="276"/>
          <w:jc w:val="center"/>
        </w:trPr>
        <w:tc>
          <w:tcPr>
            <w:tcW w:w="2127" w:type="dxa"/>
            <w:tcBorders>
              <w:top w:val="nil"/>
              <w:left w:val="nil"/>
              <w:bottom w:val="nil"/>
              <w:right w:val="nil"/>
            </w:tcBorders>
            <w:shd w:val="clear" w:color="000000" w:fill="FFFFFF"/>
            <w:noWrap/>
            <w:vAlign w:val="center"/>
            <w:hideMark/>
          </w:tcPr>
          <w:p w14:paraId="4A465F69" w14:textId="77777777"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October 16, 2030</w:t>
            </w:r>
          </w:p>
        </w:tc>
        <w:tc>
          <w:tcPr>
            <w:tcW w:w="1720" w:type="dxa"/>
            <w:tcBorders>
              <w:top w:val="nil"/>
              <w:left w:val="nil"/>
              <w:bottom w:val="nil"/>
              <w:right w:val="nil"/>
            </w:tcBorders>
            <w:shd w:val="clear" w:color="000000" w:fill="FFFFFF"/>
            <w:noWrap/>
            <w:vAlign w:val="center"/>
            <w:hideMark/>
          </w:tcPr>
          <w:p w14:paraId="08C72294" w14:textId="7F56CF11"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w:t>
            </w:r>
            <w:r w:rsidR="00A700D6" w:rsidRPr="00FC2211">
              <w:rPr>
                <w:rFonts w:ascii="Calibri" w:hAnsi="Calibri" w:cs="Calibri"/>
                <w:color w:val="000000"/>
                <w:szCs w:val="20"/>
                <w:lang w:val="en-CA" w:eastAsia="en-CA"/>
              </w:rPr>
              <w:t>00</w:t>
            </w:r>
            <w:r w:rsidRPr="00FC2211">
              <w:rPr>
                <w:rFonts w:ascii="Calibri" w:hAnsi="Calibri" w:cs="Calibri"/>
                <w:color w:val="000000"/>
                <w:szCs w:val="20"/>
                <w:lang w:val="en-CA" w:eastAsia="en-CA"/>
              </w:rPr>
              <w:t xml:space="preserve">,000 </w:t>
            </w:r>
          </w:p>
        </w:tc>
        <w:tc>
          <w:tcPr>
            <w:tcW w:w="1720" w:type="dxa"/>
            <w:tcBorders>
              <w:top w:val="nil"/>
              <w:left w:val="nil"/>
              <w:bottom w:val="nil"/>
              <w:right w:val="nil"/>
            </w:tcBorders>
            <w:shd w:val="clear" w:color="000000" w:fill="FFFFFF"/>
            <w:noWrap/>
            <w:vAlign w:val="center"/>
            <w:hideMark/>
          </w:tcPr>
          <w:p w14:paraId="5A863CAA" w14:textId="17F40FA0"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0.260 </w:t>
            </w:r>
          </w:p>
        </w:tc>
        <w:tc>
          <w:tcPr>
            <w:tcW w:w="1720" w:type="dxa"/>
            <w:tcBorders>
              <w:top w:val="nil"/>
              <w:left w:val="nil"/>
              <w:bottom w:val="nil"/>
              <w:right w:val="nil"/>
            </w:tcBorders>
            <w:shd w:val="clear" w:color="000000" w:fill="FFFFFF"/>
            <w:noWrap/>
            <w:vAlign w:val="center"/>
            <w:hideMark/>
          </w:tcPr>
          <w:p w14:paraId="6AD228BC" w14:textId="225F74D3"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7.05 </w:t>
            </w:r>
          </w:p>
        </w:tc>
        <w:tc>
          <w:tcPr>
            <w:tcW w:w="1720" w:type="dxa"/>
            <w:tcBorders>
              <w:top w:val="nil"/>
              <w:left w:val="nil"/>
              <w:bottom w:val="nil"/>
              <w:right w:val="nil"/>
            </w:tcBorders>
            <w:shd w:val="clear" w:color="000000" w:fill="FFFFFF"/>
            <w:noWrap/>
            <w:vAlign w:val="center"/>
            <w:hideMark/>
          </w:tcPr>
          <w:p w14:paraId="1B71B27B" w14:textId="128AA476"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3D233D" w:rsidRPr="00FC2211">
              <w:rPr>
                <w:rFonts w:ascii="Calibri" w:hAnsi="Calibri" w:cs="Calibri"/>
                <w:color w:val="000000"/>
                <w:szCs w:val="20"/>
                <w:lang w:val="en-CA" w:eastAsia="en-CA"/>
              </w:rPr>
              <w:t>75,0</w:t>
            </w:r>
            <w:r w:rsidRPr="00FC2211">
              <w:rPr>
                <w:rFonts w:ascii="Calibri" w:hAnsi="Calibri" w:cs="Calibri"/>
                <w:color w:val="000000"/>
                <w:szCs w:val="20"/>
                <w:lang w:val="en-CA" w:eastAsia="en-CA"/>
              </w:rPr>
              <w:t xml:space="preserve">00 </w:t>
            </w:r>
          </w:p>
        </w:tc>
      </w:tr>
      <w:tr w:rsidR="00627BEE" w:rsidRPr="00FC2211" w14:paraId="1391EDB9" w14:textId="77777777" w:rsidTr="00CE008D">
        <w:trPr>
          <w:trHeight w:val="276"/>
          <w:jc w:val="center"/>
        </w:trPr>
        <w:tc>
          <w:tcPr>
            <w:tcW w:w="2127" w:type="dxa"/>
            <w:tcBorders>
              <w:top w:val="nil"/>
              <w:left w:val="nil"/>
              <w:bottom w:val="nil"/>
              <w:right w:val="nil"/>
            </w:tcBorders>
            <w:shd w:val="clear" w:color="000000" w:fill="FFFFFF"/>
            <w:noWrap/>
            <w:vAlign w:val="center"/>
            <w:hideMark/>
          </w:tcPr>
          <w:p w14:paraId="5E709A53" w14:textId="77777777"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June 16, 2031</w:t>
            </w:r>
          </w:p>
        </w:tc>
        <w:tc>
          <w:tcPr>
            <w:tcW w:w="1720" w:type="dxa"/>
            <w:tcBorders>
              <w:top w:val="nil"/>
              <w:left w:val="nil"/>
              <w:bottom w:val="nil"/>
              <w:right w:val="nil"/>
            </w:tcBorders>
            <w:shd w:val="clear" w:color="000000" w:fill="FFFFFF"/>
            <w:noWrap/>
            <w:vAlign w:val="center"/>
            <w:hideMark/>
          </w:tcPr>
          <w:p w14:paraId="20DD4CC7" w14:textId="0C5755FD"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500,000 </w:t>
            </w:r>
          </w:p>
        </w:tc>
        <w:tc>
          <w:tcPr>
            <w:tcW w:w="1720" w:type="dxa"/>
            <w:tcBorders>
              <w:top w:val="nil"/>
              <w:left w:val="nil"/>
              <w:bottom w:val="nil"/>
              <w:right w:val="nil"/>
            </w:tcBorders>
            <w:shd w:val="clear" w:color="000000" w:fill="FFFFFF"/>
            <w:noWrap/>
            <w:vAlign w:val="center"/>
            <w:hideMark/>
          </w:tcPr>
          <w:p w14:paraId="64D733F9" w14:textId="09083A01"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0.260 </w:t>
            </w:r>
          </w:p>
        </w:tc>
        <w:tc>
          <w:tcPr>
            <w:tcW w:w="1720" w:type="dxa"/>
            <w:tcBorders>
              <w:top w:val="nil"/>
              <w:left w:val="nil"/>
              <w:bottom w:val="nil"/>
              <w:right w:val="nil"/>
            </w:tcBorders>
            <w:shd w:val="clear" w:color="000000" w:fill="FFFFFF"/>
            <w:noWrap/>
            <w:vAlign w:val="center"/>
            <w:hideMark/>
          </w:tcPr>
          <w:p w14:paraId="2EF1D4D0" w14:textId="431199F2"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7.72 </w:t>
            </w:r>
          </w:p>
        </w:tc>
        <w:tc>
          <w:tcPr>
            <w:tcW w:w="1720" w:type="dxa"/>
            <w:tcBorders>
              <w:top w:val="nil"/>
              <w:left w:val="nil"/>
              <w:bottom w:val="nil"/>
              <w:right w:val="nil"/>
            </w:tcBorders>
            <w:shd w:val="clear" w:color="000000" w:fill="FFFFFF"/>
            <w:noWrap/>
            <w:vAlign w:val="center"/>
            <w:hideMark/>
          </w:tcPr>
          <w:p w14:paraId="0E7E04FC" w14:textId="5E66424E"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250,000 </w:t>
            </w:r>
          </w:p>
        </w:tc>
      </w:tr>
      <w:tr w:rsidR="00627BEE" w:rsidRPr="00FC2211" w14:paraId="5510E164" w14:textId="77777777" w:rsidTr="00CE008D">
        <w:trPr>
          <w:trHeight w:val="276"/>
          <w:jc w:val="center"/>
        </w:trPr>
        <w:tc>
          <w:tcPr>
            <w:tcW w:w="2127" w:type="dxa"/>
            <w:tcBorders>
              <w:top w:val="nil"/>
              <w:left w:val="nil"/>
              <w:bottom w:val="nil"/>
              <w:right w:val="nil"/>
            </w:tcBorders>
            <w:shd w:val="clear" w:color="000000" w:fill="FFFFFF"/>
            <w:noWrap/>
            <w:vAlign w:val="center"/>
            <w:hideMark/>
          </w:tcPr>
          <w:p w14:paraId="60599232" w14:textId="77777777"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July 26, 2031</w:t>
            </w:r>
          </w:p>
        </w:tc>
        <w:tc>
          <w:tcPr>
            <w:tcW w:w="1720" w:type="dxa"/>
            <w:tcBorders>
              <w:top w:val="nil"/>
              <w:left w:val="nil"/>
              <w:bottom w:val="nil"/>
              <w:right w:val="nil"/>
            </w:tcBorders>
            <w:shd w:val="clear" w:color="000000" w:fill="FFFFFF"/>
            <w:noWrap/>
            <w:vAlign w:val="center"/>
            <w:hideMark/>
          </w:tcPr>
          <w:p w14:paraId="674A66A6" w14:textId="76C8B1BB"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250,000 </w:t>
            </w:r>
          </w:p>
        </w:tc>
        <w:tc>
          <w:tcPr>
            <w:tcW w:w="1720" w:type="dxa"/>
            <w:tcBorders>
              <w:top w:val="nil"/>
              <w:left w:val="nil"/>
              <w:bottom w:val="nil"/>
              <w:right w:val="nil"/>
            </w:tcBorders>
            <w:shd w:val="clear" w:color="000000" w:fill="FFFFFF"/>
            <w:noWrap/>
            <w:vAlign w:val="center"/>
            <w:hideMark/>
          </w:tcPr>
          <w:p w14:paraId="2C50CA05" w14:textId="1BA5F9C7"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0.260 </w:t>
            </w:r>
          </w:p>
        </w:tc>
        <w:tc>
          <w:tcPr>
            <w:tcW w:w="1720" w:type="dxa"/>
            <w:tcBorders>
              <w:top w:val="nil"/>
              <w:left w:val="nil"/>
              <w:bottom w:val="nil"/>
              <w:right w:val="nil"/>
            </w:tcBorders>
            <w:shd w:val="clear" w:color="000000" w:fill="FFFFFF"/>
            <w:noWrap/>
            <w:vAlign w:val="center"/>
            <w:hideMark/>
          </w:tcPr>
          <w:p w14:paraId="3262E1E2" w14:textId="154BA3D8"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7.82 </w:t>
            </w:r>
          </w:p>
        </w:tc>
        <w:tc>
          <w:tcPr>
            <w:tcW w:w="1720" w:type="dxa"/>
            <w:tcBorders>
              <w:top w:val="nil"/>
              <w:left w:val="nil"/>
              <w:bottom w:val="nil"/>
              <w:right w:val="nil"/>
            </w:tcBorders>
            <w:shd w:val="clear" w:color="000000" w:fill="FFFFFF"/>
            <w:noWrap/>
            <w:vAlign w:val="center"/>
            <w:hideMark/>
          </w:tcPr>
          <w:p w14:paraId="16805A32" w14:textId="140A9EC7"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125,000 </w:t>
            </w:r>
          </w:p>
        </w:tc>
      </w:tr>
      <w:tr w:rsidR="00627BEE" w:rsidRPr="00FC2211" w14:paraId="3B33FEA1" w14:textId="77777777" w:rsidTr="00CE008D">
        <w:trPr>
          <w:trHeight w:val="288"/>
          <w:jc w:val="center"/>
        </w:trPr>
        <w:tc>
          <w:tcPr>
            <w:tcW w:w="2127" w:type="dxa"/>
            <w:tcBorders>
              <w:top w:val="nil"/>
              <w:left w:val="nil"/>
              <w:bottom w:val="nil"/>
              <w:right w:val="nil"/>
            </w:tcBorders>
            <w:shd w:val="clear" w:color="000000" w:fill="FFFFFF"/>
            <w:noWrap/>
            <w:vAlign w:val="center"/>
            <w:hideMark/>
          </w:tcPr>
          <w:p w14:paraId="03A3A022" w14:textId="77777777"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October 25, 2031</w:t>
            </w:r>
          </w:p>
        </w:tc>
        <w:tc>
          <w:tcPr>
            <w:tcW w:w="1720" w:type="dxa"/>
            <w:tcBorders>
              <w:top w:val="nil"/>
              <w:left w:val="nil"/>
              <w:bottom w:val="nil"/>
              <w:right w:val="nil"/>
            </w:tcBorders>
            <w:shd w:val="clear" w:color="000000" w:fill="FFFFFF"/>
            <w:noWrap/>
            <w:vAlign w:val="center"/>
            <w:hideMark/>
          </w:tcPr>
          <w:p w14:paraId="3742F3EC" w14:textId="79BA02BD"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75,000 </w:t>
            </w:r>
          </w:p>
        </w:tc>
        <w:tc>
          <w:tcPr>
            <w:tcW w:w="1720" w:type="dxa"/>
            <w:tcBorders>
              <w:top w:val="nil"/>
              <w:left w:val="nil"/>
              <w:bottom w:val="nil"/>
              <w:right w:val="nil"/>
            </w:tcBorders>
            <w:shd w:val="clear" w:color="000000" w:fill="FFFFFF"/>
            <w:noWrap/>
            <w:vAlign w:val="center"/>
            <w:hideMark/>
          </w:tcPr>
          <w:p w14:paraId="1E9467B9" w14:textId="496C10B9"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0.260 </w:t>
            </w:r>
          </w:p>
        </w:tc>
        <w:tc>
          <w:tcPr>
            <w:tcW w:w="1720" w:type="dxa"/>
            <w:tcBorders>
              <w:top w:val="nil"/>
              <w:left w:val="nil"/>
              <w:bottom w:val="nil"/>
              <w:right w:val="nil"/>
            </w:tcBorders>
            <w:shd w:val="clear" w:color="000000" w:fill="FFFFFF"/>
            <w:noWrap/>
            <w:vAlign w:val="center"/>
            <w:hideMark/>
          </w:tcPr>
          <w:p w14:paraId="3E5BE685" w14:textId="11D96186"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8.07 </w:t>
            </w:r>
          </w:p>
        </w:tc>
        <w:tc>
          <w:tcPr>
            <w:tcW w:w="1720" w:type="dxa"/>
            <w:tcBorders>
              <w:top w:val="nil"/>
              <w:left w:val="nil"/>
              <w:bottom w:val="nil"/>
              <w:right w:val="nil"/>
            </w:tcBorders>
            <w:shd w:val="clear" w:color="000000" w:fill="FFFFFF"/>
            <w:noWrap/>
            <w:vAlign w:val="center"/>
            <w:hideMark/>
          </w:tcPr>
          <w:p w14:paraId="66A74CA3" w14:textId="5246036C"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EB2415" w:rsidRPr="00FC2211">
              <w:rPr>
                <w:rFonts w:ascii="Calibri" w:hAnsi="Calibri" w:cs="Calibri"/>
                <w:color w:val="000000"/>
                <w:szCs w:val="20"/>
                <w:lang w:val="en-CA" w:eastAsia="en-CA"/>
              </w:rPr>
              <w:t>37</w:t>
            </w:r>
            <w:r w:rsidRPr="00FC2211">
              <w:rPr>
                <w:rFonts w:ascii="Calibri" w:hAnsi="Calibri" w:cs="Calibri"/>
                <w:color w:val="000000"/>
                <w:szCs w:val="20"/>
                <w:lang w:val="en-CA" w:eastAsia="en-CA"/>
              </w:rPr>
              <w:t>,</w:t>
            </w:r>
            <w:r w:rsidR="00EB2415" w:rsidRPr="00FC2211">
              <w:rPr>
                <w:rFonts w:ascii="Calibri" w:hAnsi="Calibri" w:cs="Calibri"/>
                <w:color w:val="000000"/>
                <w:szCs w:val="20"/>
                <w:lang w:val="en-CA" w:eastAsia="en-CA"/>
              </w:rPr>
              <w:t>50</w:t>
            </w:r>
            <w:r w:rsidRPr="00FC2211">
              <w:rPr>
                <w:rFonts w:ascii="Calibri" w:hAnsi="Calibri" w:cs="Calibri"/>
                <w:color w:val="000000"/>
                <w:szCs w:val="20"/>
                <w:lang w:val="en-CA" w:eastAsia="en-CA"/>
              </w:rPr>
              <w:t xml:space="preserve">0 </w:t>
            </w:r>
          </w:p>
        </w:tc>
      </w:tr>
      <w:tr w:rsidR="00627BEE" w:rsidRPr="00FC2211" w14:paraId="2879CD74" w14:textId="77777777" w:rsidTr="00CE008D">
        <w:trPr>
          <w:trHeight w:val="276"/>
          <w:jc w:val="center"/>
        </w:trPr>
        <w:tc>
          <w:tcPr>
            <w:tcW w:w="2127" w:type="dxa"/>
            <w:tcBorders>
              <w:top w:val="nil"/>
              <w:left w:val="nil"/>
              <w:bottom w:val="nil"/>
              <w:right w:val="nil"/>
            </w:tcBorders>
            <w:shd w:val="clear" w:color="000000" w:fill="FFFFFF"/>
            <w:noWrap/>
            <w:vAlign w:val="center"/>
            <w:hideMark/>
          </w:tcPr>
          <w:p w14:paraId="54BC322A" w14:textId="77777777"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February 28, 2033</w:t>
            </w:r>
          </w:p>
        </w:tc>
        <w:tc>
          <w:tcPr>
            <w:tcW w:w="1720" w:type="dxa"/>
            <w:tcBorders>
              <w:top w:val="nil"/>
              <w:left w:val="nil"/>
              <w:bottom w:val="nil"/>
              <w:right w:val="nil"/>
            </w:tcBorders>
            <w:shd w:val="clear" w:color="000000" w:fill="FFFFFF"/>
            <w:noWrap/>
            <w:vAlign w:val="center"/>
            <w:hideMark/>
          </w:tcPr>
          <w:p w14:paraId="52DD60A1" w14:textId="61CE9A59"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w:t>
            </w:r>
            <w:r w:rsidR="00A029CD" w:rsidRPr="00FC2211">
              <w:rPr>
                <w:rFonts w:ascii="Calibri" w:hAnsi="Calibri" w:cs="Calibri"/>
                <w:color w:val="000000"/>
                <w:szCs w:val="20"/>
                <w:lang w:val="en-CA" w:eastAsia="en-CA"/>
              </w:rPr>
              <w:t>825,000</w:t>
            </w:r>
            <w:r w:rsidRPr="00FC2211">
              <w:rPr>
                <w:rFonts w:ascii="Calibri" w:hAnsi="Calibri" w:cs="Calibri"/>
                <w:color w:val="000000"/>
                <w:szCs w:val="20"/>
                <w:lang w:val="en-CA" w:eastAsia="en-CA"/>
              </w:rPr>
              <w:t xml:space="preserve"> </w:t>
            </w:r>
          </w:p>
        </w:tc>
        <w:tc>
          <w:tcPr>
            <w:tcW w:w="1720" w:type="dxa"/>
            <w:tcBorders>
              <w:top w:val="nil"/>
              <w:left w:val="nil"/>
              <w:bottom w:val="nil"/>
              <w:right w:val="nil"/>
            </w:tcBorders>
            <w:shd w:val="clear" w:color="000000" w:fill="FFFFFF"/>
            <w:noWrap/>
            <w:vAlign w:val="center"/>
            <w:hideMark/>
          </w:tcPr>
          <w:p w14:paraId="11D0E57F" w14:textId="51CA6358"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0.120 </w:t>
            </w:r>
          </w:p>
        </w:tc>
        <w:tc>
          <w:tcPr>
            <w:tcW w:w="1720" w:type="dxa"/>
            <w:tcBorders>
              <w:top w:val="nil"/>
              <w:left w:val="nil"/>
              <w:bottom w:val="nil"/>
              <w:right w:val="nil"/>
            </w:tcBorders>
            <w:shd w:val="clear" w:color="000000" w:fill="FFFFFF"/>
            <w:noWrap/>
            <w:vAlign w:val="center"/>
            <w:hideMark/>
          </w:tcPr>
          <w:p w14:paraId="1600E6EC" w14:textId="5B7F132A"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9.42 </w:t>
            </w:r>
          </w:p>
        </w:tc>
        <w:tc>
          <w:tcPr>
            <w:tcW w:w="1720" w:type="dxa"/>
            <w:tcBorders>
              <w:top w:val="nil"/>
              <w:left w:val="nil"/>
              <w:bottom w:val="nil"/>
              <w:right w:val="nil"/>
            </w:tcBorders>
            <w:shd w:val="clear" w:color="000000" w:fill="FFFFFF"/>
            <w:noWrap/>
            <w:vAlign w:val="center"/>
            <w:hideMark/>
          </w:tcPr>
          <w:p w14:paraId="3BA79E89" w14:textId="3FE36464"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r>
      <w:tr w:rsidR="00627BEE" w:rsidRPr="00FC2211" w14:paraId="1644D288" w14:textId="77777777" w:rsidTr="00CE008D">
        <w:trPr>
          <w:trHeight w:val="276"/>
          <w:jc w:val="center"/>
        </w:trPr>
        <w:tc>
          <w:tcPr>
            <w:tcW w:w="2127" w:type="dxa"/>
            <w:tcBorders>
              <w:top w:val="nil"/>
              <w:left w:val="nil"/>
              <w:bottom w:val="nil"/>
              <w:right w:val="nil"/>
            </w:tcBorders>
            <w:shd w:val="clear" w:color="000000" w:fill="FFFFFF"/>
            <w:noWrap/>
            <w:vAlign w:val="center"/>
            <w:hideMark/>
          </w:tcPr>
          <w:p w14:paraId="63CBB341" w14:textId="77777777"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September 18, 2033</w:t>
            </w:r>
          </w:p>
        </w:tc>
        <w:tc>
          <w:tcPr>
            <w:tcW w:w="1720" w:type="dxa"/>
            <w:tcBorders>
              <w:top w:val="nil"/>
              <w:left w:val="nil"/>
              <w:bottom w:val="nil"/>
              <w:right w:val="nil"/>
            </w:tcBorders>
            <w:shd w:val="clear" w:color="000000" w:fill="FFFFFF"/>
            <w:noWrap/>
            <w:vAlign w:val="center"/>
            <w:hideMark/>
          </w:tcPr>
          <w:p w14:paraId="18A8B5D5" w14:textId="1016337C"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8</w:t>
            </w:r>
            <w:r w:rsidR="00EB2415" w:rsidRPr="00FC2211">
              <w:rPr>
                <w:rFonts w:ascii="Calibri" w:hAnsi="Calibri" w:cs="Calibri"/>
                <w:color w:val="000000"/>
                <w:szCs w:val="20"/>
                <w:lang w:val="en-CA" w:eastAsia="en-CA"/>
              </w:rPr>
              <w:t>00</w:t>
            </w:r>
            <w:r w:rsidRPr="00FC2211">
              <w:rPr>
                <w:rFonts w:ascii="Calibri" w:hAnsi="Calibri" w:cs="Calibri"/>
                <w:color w:val="000000"/>
                <w:szCs w:val="20"/>
                <w:lang w:val="en-CA" w:eastAsia="en-CA"/>
              </w:rPr>
              <w:t xml:space="preserve">,000 </w:t>
            </w:r>
          </w:p>
        </w:tc>
        <w:tc>
          <w:tcPr>
            <w:tcW w:w="1720" w:type="dxa"/>
            <w:tcBorders>
              <w:top w:val="nil"/>
              <w:left w:val="nil"/>
              <w:bottom w:val="nil"/>
              <w:right w:val="nil"/>
            </w:tcBorders>
            <w:shd w:val="clear" w:color="000000" w:fill="FFFFFF"/>
            <w:noWrap/>
            <w:vAlign w:val="center"/>
            <w:hideMark/>
          </w:tcPr>
          <w:p w14:paraId="1B547177" w14:textId="5C521483"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0.050 </w:t>
            </w:r>
          </w:p>
        </w:tc>
        <w:tc>
          <w:tcPr>
            <w:tcW w:w="1720" w:type="dxa"/>
            <w:tcBorders>
              <w:top w:val="nil"/>
              <w:left w:val="nil"/>
              <w:bottom w:val="nil"/>
              <w:right w:val="nil"/>
            </w:tcBorders>
            <w:shd w:val="clear" w:color="000000" w:fill="FFFFFF"/>
            <w:noWrap/>
            <w:vAlign w:val="center"/>
            <w:hideMark/>
          </w:tcPr>
          <w:p w14:paraId="1191A7D8" w14:textId="350F2905"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9.98 </w:t>
            </w:r>
          </w:p>
        </w:tc>
        <w:tc>
          <w:tcPr>
            <w:tcW w:w="1720" w:type="dxa"/>
            <w:tcBorders>
              <w:top w:val="nil"/>
              <w:left w:val="nil"/>
              <w:bottom w:val="nil"/>
              <w:right w:val="nil"/>
            </w:tcBorders>
            <w:shd w:val="clear" w:color="000000" w:fill="FFFFFF"/>
            <w:noWrap/>
            <w:vAlign w:val="center"/>
            <w:hideMark/>
          </w:tcPr>
          <w:p w14:paraId="1BE0B322" w14:textId="118F3077" w:rsidR="00627BEE" w:rsidRPr="00FC2211" w:rsidRDefault="00627BEE" w:rsidP="00627BE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w:t>
            </w:r>
          </w:p>
        </w:tc>
      </w:tr>
      <w:tr w:rsidR="00627BEE" w:rsidRPr="00FC2211" w14:paraId="4FA8DE55" w14:textId="77777777" w:rsidTr="00CE008D">
        <w:trPr>
          <w:trHeight w:val="288"/>
          <w:jc w:val="center"/>
        </w:trPr>
        <w:tc>
          <w:tcPr>
            <w:tcW w:w="2127" w:type="dxa"/>
            <w:tcBorders>
              <w:top w:val="single" w:sz="4" w:space="0" w:color="auto"/>
              <w:left w:val="nil"/>
              <w:bottom w:val="single" w:sz="8" w:space="0" w:color="auto"/>
              <w:right w:val="nil"/>
            </w:tcBorders>
            <w:shd w:val="clear" w:color="auto" w:fill="auto"/>
            <w:noWrap/>
            <w:vAlign w:val="center"/>
            <w:hideMark/>
          </w:tcPr>
          <w:p w14:paraId="694D6134" w14:textId="77777777" w:rsidR="00627BEE" w:rsidRPr="00FC2211" w:rsidRDefault="00627BEE" w:rsidP="00627BEE">
            <w:pPr>
              <w:rPr>
                <w:rFonts w:ascii="Times New Roman" w:hAnsi="Times New Roman"/>
                <w:color w:val="000000"/>
                <w:szCs w:val="20"/>
                <w:lang w:val="en-CA" w:eastAsia="en-CA"/>
              </w:rPr>
            </w:pPr>
            <w:r w:rsidRPr="00FC2211">
              <w:rPr>
                <w:rFonts w:ascii="Times New Roman" w:hAnsi="Times New Roman"/>
                <w:color w:val="000000"/>
                <w:szCs w:val="20"/>
                <w:lang w:val="en-CA" w:eastAsia="en-CA"/>
              </w:rPr>
              <w:t> </w:t>
            </w:r>
          </w:p>
        </w:tc>
        <w:tc>
          <w:tcPr>
            <w:tcW w:w="1720" w:type="dxa"/>
            <w:tcBorders>
              <w:top w:val="single" w:sz="4" w:space="0" w:color="auto"/>
              <w:left w:val="nil"/>
              <w:bottom w:val="single" w:sz="8" w:space="0" w:color="auto"/>
              <w:right w:val="nil"/>
            </w:tcBorders>
            <w:shd w:val="clear" w:color="auto" w:fill="auto"/>
            <w:noWrap/>
            <w:vAlign w:val="center"/>
            <w:hideMark/>
          </w:tcPr>
          <w:p w14:paraId="5896F1C3" w14:textId="1A2EE407" w:rsidR="00627BEE" w:rsidRPr="00FC2211" w:rsidRDefault="00627BEE" w:rsidP="00627BEE">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7,</w:t>
            </w:r>
            <w:r w:rsidR="00EB2415" w:rsidRPr="00FC2211">
              <w:rPr>
                <w:rFonts w:ascii="Calibri" w:hAnsi="Calibri" w:cs="Calibri"/>
                <w:b/>
                <w:bCs/>
                <w:color w:val="000000"/>
                <w:szCs w:val="20"/>
                <w:lang w:val="en-CA" w:eastAsia="en-CA"/>
              </w:rPr>
              <w:t>475</w:t>
            </w:r>
            <w:r w:rsidRPr="00FC2211">
              <w:rPr>
                <w:rFonts w:ascii="Calibri" w:hAnsi="Calibri" w:cs="Calibri"/>
                <w:b/>
                <w:bCs/>
                <w:color w:val="000000"/>
                <w:szCs w:val="20"/>
                <w:lang w:val="en-CA" w:eastAsia="en-CA"/>
              </w:rPr>
              <w:t xml:space="preserve">,863 </w:t>
            </w:r>
          </w:p>
        </w:tc>
        <w:tc>
          <w:tcPr>
            <w:tcW w:w="1720" w:type="dxa"/>
            <w:tcBorders>
              <w:top w:val="single" w:sz="4" w:space="0" w:color="auto"/>
              <w:left w:val="nil"/>
              <w:bottom w:val="single" w:sz="8" w:space="0" w:color="auto"/>
              <w:right w:val="nil"/>
            </w:tcBorders>
            <w:shd w:val="clear" w:color="auto" w:fill="auto"/>
            <w:noWrap/>
            <w:vAlign w:val="center"/>
            <w:hideMark/>
          </w:tcPr>
          <w:p w14:paraId="31C5B8EE" w14:textId="441B8531" w:rsidR="00627BEE" w:rsidRPr="00FC2211" w:rsidRDefault="00627BEE" w:rsidP="00627BEE">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0.18</w:t>
            </w:r>
            <w:r w:rsidR="00EB2415" w:rsidRPr="00FC2211">
              <w:rPr>
                <w:rFonts w:ascii="Calibri" w:hAnsi="Calibri" w:cs="Calibri"/>
                <w:b/>
                <w:bCs/>
                <w:color w:val="000000"/>
                <w:szCs w:val="20"/>
                <w:lang w:val="en-CA" w:eastAsia="en-CA"/>
              </w:rPr>
              <w:t>7</w:t>
            </w:r>
            <w:r w:rsidRPr="00FC2211">
              <w:rPr>
                <w:rFonts w:ascii="Calibri" w:hAnsi="Calibri" w:cs="Calibri"/>
                <w:b/>
                <w:bCs/>
                <w:color w:val="000000"/>
                <w:szCs w:val="20"/>
                <w:lang w:val="en-CA" w:eastAsia="en-CA"/>
              </w:rPr>
              <w:t xml:space="preserve"> </w:t>
            </w:r>
          </w:p>
        </w:tc>
        <w:tc>
          <w:tcPr>
            <w:tcW w:w="1720" w:type="dxa"/>
            <w:tcBorders>
              <w:top w:val="single" w:sz="4" w:space="0" w:color="auto"/>
              <w:left w:val="nil"/>
              <w:bottom w:val="single" w:sz="8" w:space="0" w:color="auto"/>
              <w:right w:val="nil"/>
            </w:tcBorders>
            <w:shd w:val="clear" w:color="auto" w:fill="auto"/>
            <w:noWrap/>
            <w:vAlign w:val="center"/>
            <w:hideMark/>
          </w:tcPr>
          <w:p w14:paraId="09545C4E" w14:textId="21A57AD6" w:rsidR="00627BEE" w:rsidRPr="00FC2211" w:rsidRDefault="00627BEE" w:rsidP="00627BEE">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8.02 </w:t>
            </w:r>
          </w:p>
        </w:tc>
        <w:tc>
          <w:tcPr>
            <w:tcW w:w="1720" w:type="dxa"/>
            <w:tcBorders>
              <w:top w:val="single" w:sz="4" w:space="0" w:color="auto"/>
              <w:left w:val="nil"/>
              <w:bottom w:val="single" w:sz="8" w:space="0" w:color="auto"/>
              <w:right w:val="nil"/>
            </w:tcBorders>
            <w:shd w:val="clear" w:color="auto" w:fill="auto"/>
            <w:noWrap/>
            <w:vAlign w:val="center"/>
            <w:hideMark/>
          </w:tcPr>
          <w:p w14:paraId="0465C7A6" w14:textId="753726F2" w:rsidR="00627BEE" w:rsidRPr="00FC2211" w:rsidRDefault="00627BEE" w:rsidP="00627BEE">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2,7</w:t>
            </w:r>
            <w:r w:rsidR="003D233D" w:rsidRPr="00FC2211">
              <w:rPr>
                <w:rFonts w:ascii="Calibri" w:hAnsi="Calibri" w:cs="Calibri"/>
                <w:b/>
                <w:bCs/>
                <w:color w:val="000000"/>
                <w:szCs w:val="20"/>
                <w:lang w:val="en-CA" w:eastAsia="en-CA"/>
              </w:rPr>
              <w:t>25,863</w:t>
            </w:r>
            <w:r w:rsidRPr="00FC2211">
              <w:rPr>
                <w:rFonts w:ascii="Calibri" w:hAnsi="Calibri" w:cs="Calibri"/>
                <w:b/>
                <w:bCs/>
                <w:color w:val="000000"/>
                <w:szCs w:val="20"/>
                <w:lang w:val="en-CA" w:eastAsia="en-CA"/>
              </w:rPr>
              <w:t xml:space="preserve"> </w:t>
            </w:r>
          </w:p>
        </w:tc>
      </w:tr>
    </w:tbl>
    <w:p w14:paraId="55CDE261" w14:textId="77777777" w:rsidR="00EF58FB" w:rsidRPr="00FC2211" w:rsidRDefault="00EF58FB" w:rsidP="00F11274">
      <w:pPr>
        <w:tabs>
          <w:tab w:val="left" w:pos="357"/>
        </w:tabs>
        <w:ind w:left="357"/>
        <w:rPr>
          <w:rFonts w:cstheme="minorHAnsi"/>
          <w:szCs w:val="20"/>
        </w:rPr>
      </w:pPr>
    </w:p>
    <w:p w14:paraId="23B87478" w14:textId="60CAA6B4" w:rsidR="00D67793" w:rsidRPr="00FC2211" w:rsidRDefault="009910BD" w:rsidP="00FA63EE">
      <w:pPr>
        <w:ind w:left="426"/>
        <w:rPr>
          <w:rFonts w:cstheme="minorHAnsi"/>
          <w:szCs w:val="20"/>
        </w:rPr>
      </w:pPr>
      <w:r w:rsidRPr="00FC2211">
        <w:rPr>
          <w:rFonts w:cstheme="minorHAnsi"/>
          <w:szCs w:val="20"/>
        </w:rPr>
        <w:t xml:space="preserve">During </w:t>
      </w:r>
      <w:r w:rsidR="00CB7421" w:rsidRPr="00FC2211">
        <w:rPr>
          <w:rFonts w:cstheme="minorHAnsi"/>
          <w:szCs w:val="20"/>
        </w:rPr>
        <w:t xml:space="preserve">the </w:t>
      </w:r>
      <w:r w:rsidR="00493F0F" w:rsidRPr="00FC2211">
        <w:rPr>
          <w:rFonts w:cstheme="minorHAnsi"/>
          <w:szCs w:val="20"/>
        </w:rPr>
        <w:t>six</w:t>
      </w:r>
      <w:r w:rsidR="00CB7421" w:rsidRPr="00FC2211">
        <w:rPr>
          <w:rFonts w:cstheme="minorHAnsi"/>
          <w:szCs w:val="20"/>
        </w:rPr>
        <w:t xml:space="preserve"> months </w:t>
      </w:r>
      <w:r w:rsidR="00417438" w:rsidRPr="00FC2211">
        <w:rPr>
          <w:rFonts w:cstheme="minorHAnsi"/>
          <w:szCs w:val="20"/>
        </w:rPr>
        <w:t>ended</w:t>
      </w:r>
      <w:r w:rsidR="009B3E3A" w:rsidRPr="00FC2211">
        <w:rPr>
          <w:rFonts w:cstheme="minorHAnsi"/>
          <w:szCs w:val="20"/>
        </w:rPr>
        <w:t xml:space="preserve"> </w:t>
      </w:r>
      <w:r w:rsidR="00493F0F" w:rsidRPr="00FC2211">
        <w:rPr>
          <w:rFonts w:cstheme="minorHAnsi"/>
          <w:szCs w:val="20"/>
        </w:rPr>
        <w:t>December 31</w:t>
      </w:r>
      <w:r w:rsidR="00417438" w:rsidRPr="00FC2211">
        <w:rPr>
          <w:rFonts w:cstheme="minorHAnsi"/>
          <w:szCs w:val="20"/>
        </w:rPr>
        <w:t>, 202</w:t>
      </w:r>
      <w:r w:rsidR="00BF13DC" w:rsidRPr="00FC2211">
        <w:rPr>
          <w:rFonts w:cstheme="minorHAnsi"/>
          <w:szCs w:val="20"/>
        </w:rPr>
        <w:t>3</w:t>
      </w:r>
      <w:r w:rsidR="00A072D4" w:rsidRPr="00FC2211">
        <w:rPr>
          <w:rFonts w:cstheme="minorHAnsi"/>
          <w:szCs w:val="20"/>
        </w:rPr>
        <w:t>, the Company recognized s</w:t>
      </w:r>
      <w:r w:rsidR="00FF4A07" w:rsidRPr="00FC2211">
        <w:rPr>
          <w:rFonts w:cstheme="minorHAnsi"/>
          <w:szCs w:val="20"/>
        </w:rPr>
        <w:t>tock</w:t>
      </w:r>
      <w:r w:rsidR="00A072D4" w:rsidRPr="00FC2211">
        <w:rPr>
          <w:rFonts w:cstheme="minorHAnsi"/>
          <w:szCs w:val="20"/>
        </w:rPr>
        <w:t>-based compensation related to stock options of $</w:t>
      </w:r>
      <w:r w:rsidR="00462583" w:rsidRPr="00FC2211">
        <w:rPr>
          <w:rFonts w:cstheme="minorHAnsi"/>
          <w:szCs w:val="20"/>
        </w:rPr>
        <w:t>112,367</w:t>
      </w:r>
      <w:r w:rsidR="00D1527A" w:rsidRPr="00FC2211">
        <w:rPr>
          <w:rFonts w:cstheme="minorHAnsi"/>
          <w:szCs w:val="20"/>
        </w:rPr>
        <w:t xml:space="preserve"> </w:t>
      </w:r>
      <w:r w:rsidR="00A072D4" w:rsidRPr="00FC2211">
        <w:rPr>
          <w:rFonts w:cstheme="minorHAnsi"/>
          <w:szCs w:val="20"/>
        </w:rPr>
        <w:t>(</w:t>
      </w:r>
      <w:r w:rsidR="00462583" w:rsidRPr="00FC2211">
        <w:rPr>
          <w:rFonts w:cstheme="minorHAnsi"/>
          <w:szCs w:val="20"/>
        </w:rPr>
        <w:t>December</w:t>
      </w:r>
      <w:r w:rsidR="00E11176" w:rsidRPr="00FC2211">
        <w:rPr>
          <w:rFonts w:cstheme="minorHAnsi"/>
          <w:szCs w:val="20"/>
        </w:rPr>
        <w:t xml:space="preserve"> 3</w:t>
      </w:r>
      <w:r w:rsidR="00462583" w:rsidRPr="00FC2211">
        <w:rPr>
          <w:rFonts w:cstheme="minorHAnsi"/>
          <w:szCs w:val="20"/>
        </w:rPr>
        <w:t>1</w:t>
      </w:r>
      <w:r w:rsidR="00E11176" w:rsidRPr="00FC2211">
        <w:rPr>
          <w:rFonts w:cstheme="minorHAnsi"/>
          <w:szCs w:val="20"/>
        </w:rPr>
        <w:t>, 202</w:t>
      </w:r>
      <w:r w:rsidR="00491503" w:rsidRPr="00FC2211">
        <w:rPr>
          <w:rFonts w:cstheme="minorHAnsi"/>
          <w:szCs w:val="20"/>
        </w:rPr>
        <w:t>2</w:t>
      </w:r>
      <w:r w:rsidR="00780EC1" w:rsidRPr="00FC2211">
        <w:rPr>
          <w:rFonts w:cstheme="minorHAnsi"/>
          <w:szCs w:val="20"/>
        </w:rPr>
        <w:t xml:space="preserve"> </w:t>
      </w:r>
      <w:r w:rsidR="00B92AB3" w:rsidRPr="00FC2211">
        <w:rPr>
          <w:rFonts w:cstheme="minorHAnsi"/>
          <w:szCs w:val="20"/>
        </w:rPr>
        <w:t xml:space="preserve">- </w:t>
      </w:r>
      <w:r w:rsidR="00A072D4" w:rsidRPr="00FC2211">
        <w:rPr>
          <w:rFonts w:cstheme="minorHAnsi"/>
          <w:szCs w:val="20"/>
        </w:rPr>
        <w:t>$</w:t>
      </w:r>
      <w:r w:rsidR="00473387" w:rsidRPr="00FC2211">
        <w:rPr>
          <w:rFonts w:cstheme="minorHAnsi"/>
          <w:szCs w:val="20"/>
        </w:rPr>
        <w:t>68,786</w:t>
      </w:r>
      <w:r w:rsidR="00A072D4" w:rsidRPr="00FC2211">
        <w:rPr>
          <w:rFonts w:cstheme="minorHAnsi"/>
          <w:szCs w:val="20"/>
        </w:rPr>
        <w:t xml:space="preserve">). </w:t>
      </w:r>
      <w:r w:rsidR="0019313A" w:rsidRPr="00FC2211">
        <w:rPr>
          <w:rFonts w:cstheme="minorHAnsi"/>
          <w:szCs w:val="20"/>
        </w:rPr>
        <w:t>The fair value of stock options granted was determined using the Black-Scholes Option Pricing Model using the following assumptions:</w:t>
      </w:r>
    </w:p>
    <w:p w14:paraId="3C9525EF" w14:textId="77777777" w:rsidR="00491503" w:rsidRPr="00FC2211" w:rsidRDefault="00491503" w:rsidP="00FA63EE">
      <w:pPr>
        <w:ind w:left="426"/>
        <w:rPr>
          <w:rFonts w:cstheme="minorHAnsi"/>
          <w:szCs w:val="20"/>
        </w:rPr>
      </w:pPr>
    </w:p>
    <w:tbl>
      <w:tblPr>
        <w:tblW w:w="7797" w:type="dxa"/>
        <w:jc w:val="center"/>
        <w:tblLook w:val="04A0" w:firstRow="1" w:lastRow="0" w:firstColumn="1" w:lastColumn="0" w:noHBand="0" w:noVBand="1"/>
      </w:tblPr>
      <w:tblGrid>
        <w:gridCol w:w="4253"/>
        <w:gridCol w:w="1984"/>
        <w:gridCol w:w="1560"/>
      </w:tblGrid>
      <w:tr w:rsidR="00EF58FB" w:rsidRPr="00FC2211" w14:paraId="7CFEC32E" w14:textId="77777777" w:rsidTr="00EF58FB">
        <w:trPr>
          <w:trHeight w:val="288"/>
          <w:jc w:val="center"/>
        </w:trPr>
        <w:tc>
          <w:tcPr>
            <w:tcW w:w="4253" w:type="dxa"/>
            <w:tcBorders>
              <w:top w:val="nil"/>
              <w:left w:val="nil"/>
              <w:bottom w:val="single" w:sz="8" w:space="0" w:color="auto"/>
              <w:right w:val="nil"/>
            </w:tcBorders>
            <w:shd w:val="clear" w:color="auto" w:fill="auto"/>
            <w:hideMark/>
          </w:tcPr>
          <w:p w14:paraId="19CCC239" w14:textId="77777777" w:rsidR="00EF58FB" w:rsidRPr="00FC2211" w:rsidRDefault="00EF58FB" w:rsidP="00EF58FB">
            <w:pPr>
              <w:rPr>
                <w:rFonts w:ascii="Times New Roman" w:hAnsi="Times New Roman"/>
                <w:color w:val="000000"/>
                <w:szCs w:val="20"/>
                <w:lang w:val="en-CA" w:eastAsia="en-CA"/>
              </w:rPr>
            </w:pPr>
            <w:r w:rsidRPr="00FC2211">
              <w:rPr>
                <w:rFonts w:ascii="Times New Roman" w:hAnsi="Times New Roman"/>
                <w:color w:val="000000"/>
                <w:szCs w:val="20"/>
                <w:lang w:val="en-CA" w:eastAsia="en-CA"/>
              </w:rPr>
              <w:t> </w:t>
            </w:r>
          </w:p>
        </w:tc>
        <w:tc>
          <w:tcPr>
            <w:tcW w:w="1984" w:type="dxa"/>
            <w:tcBorders>
              <w:top w:val="nil"/>
              <w:left w:val="nil"/>
              <w:bottom w:val="single" w:sz="8" w:space="0" w:color="auto"/>
              <w:right w:val="nil"/>
            </w:tcBorders>
            <w:shd w:val="clear" w:color="auto" w:fill="auto"/>
            <w:vAlign w:val="center"/>
            <w:hideMark/>
          </w:tcPr>
          <w:p w14:paraId="5F43B688" w14:textId="6F5DA78A" w:rsidR="00EF58FB" w:rsidRPr="00FC2211" w:rsidRDefault="00493F0F" w:rsidP="00EF58FB">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December 31, 2023</w:t>
            </w:r>
          </w:p>
        </w:tc>
        <w:tc>
          <w:tcPr>
            <w:tcW w:w="1560" w:type="dxa"/>
            <w:tcBorders>
              <w:top w:val="nil"/>
              <w:left w:val="nil"/>
              <w:bottom w:val="single" w:sz="8" w:space="0" w:color="auto"/>
              <w:right w:val="nil"/>
            </w:tcBorders>
            <w:shd w:val="clear" w:color="auto" w:fill="auto"/>
            <w:vAlign w:val="center"/>
            <w:hideMark/>
          </w:tcPr>
          <w:p w14:paraId="43BE7797" w14:textId="77777777" w:rsidR="00EF58FB" w:rsidRPr="00FC2211" w:rsidRDefault="00EF58FB" w:rsidP="00EF58FB">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June 30, 2023</w:t>
            </w:r>
          </w:p>
        </w:tc>
      </w:tr>
      <w:tr w:rsidR="00EF58FB" w:rsidRPr="00FC2211" w14:paraId="6C458537" w14:textId="77777777" w:rsidTr="00EF58FB">
        <w:trPr>
          <w:trHeight w:val="276"/>
          <w:jc w:val="center"/>
        </w:trPr>
        <w:tc>
          <w:tcPr>
            <w:tcW w:w="4253" w:type="dxa"/>
            <w:tcBorders>
              <w:top w:val="nil"/>
              <w:left w:val="nil"/>
              <w:bottom w:val="nil"/>
              <w:right w:val="nil"/>
            </w:tcBorders>
            <w:shd w:val="clear" w:color="auto" w:fill="auto"/>
            <w:vAlign w:val="center"/>
            <w:hideMark/>
          </w:tcPr>
          <w:p w14:paraId="5492A80E" w14:textId="77777777" w:rsidR="00EF58FB" w:rsidRPr="00FC2211" w:rsidRDefault="00EF58FB" w:rsidP="00EF58FB">
            <w:pPr>
              <w:rPr>
                <w:rFonts w:ascii="Calibri" w:hAnsi="Calibri" w:cs="Calibri"/>
                <w:color w:val="000000"/>
                <w:szCs w:val="20"/>
                <w:lang w:val="en-CA" w:eastAsia="en-CA"/>
              </w:rPr>
            </w:pPr>
            <w:r w:rsidRPr="00FC2211">
              <w:rPr>
                <w:rFonts w:ascii="Calibri" w:hAnsi="Calibri" w:cs="Calibri"/>
                <w:color w:val="000000"/>
                <w:szCs w:val="20"/>
                <w:lang w:val="en-CA" w:eastAsia="en-CA"/>
              </w:rPr>
              <w:t>Expected life of options</w:t>
            </w:r>
          </w:p>
        </w:tc>
        <w:tc>
          <w:tcPr>
            <w:tcW w:w="1984" w:type="dxa"/>
            <w:tcBorders>
              <w:top w:val="nil"/>
              <w:left w:val="nil"/>
              <w:bottom w:val="nil"/>
              <w:right w:val="nil"/>
            </w:tcBorders>
            <w:shd w:val="clear" w:color="auto" w:fill="auto"/>
            <w:vAlign w:val="center"/>
            <w:hideMark/>
          </w:tcPr>
          <w:p w14:paraId="1946141B" w14:textId="77777777" w:rsidR="00EF58FB" w:rsidRPr="00FC2211" w:rsidRDefault="00EF58FB" w:rsidP="00EF58FB">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10 years</w:t>
            </w:r>
          </w:p>
        </w:tc>
        <w:tc>
          <w:tcPr>
            <w:tcW w:w="1560" w:type="dxa"/>
            <w:tcBorders>
              <w:top w:val="nil"/>
              <w:left w:val="nil"/>
              <w:bottom w:val="nil"/>
              <w:right w:val="nil"/>
            </w:tcBorders>
            <w:shd w:val="clear" w:color="auto" w:fill="auto"/>
            <w:vAlign w:val="center"/>
            <w:hideMark/>
          </w:tcPr>
          <w:p w14:paraId="307DFC51" w14:textId="77777777" w:rsidR="00EF58FB" w:rsidRPr="00FC2211" w:rsidRDefault="00EF58FB" w:rsidP="00EF58FB">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10 years</w:t>
            </w:r>
          </w:p>
        </w:tc>
      </w:tr>
      <w:tr w:rsidR="00EF58FB" w:rsidRPr="00FC2211" w14:paraId="43E64D4A" w14:textId="77777777" w:rsidTr="00EF58FB">
        <w:trPr>
          <w:trHeight w:val="276"/>
          <w:jc w:val="center"/>
        </w:trPr>
        <w:tc>
          <w:tcPr>
            <w:tcW w:w="4253" w:type="dxa"/>
            <w:tcBorders>
              <w:top w:val="nil"/>
              <w:left w:val="nil"/>
              <w:bottom w:val="nil"/>
              <w:right w:val="nil"/>
            </w:tcBorders>
            <w:shd w:val="clear" w:color="auto" w:fill="auto"/>
            <w:vAlign w:val="center"/>
            <w:hideMark/>
          </w:tcPr>
          <w:p w14:paraId="42148E5C" w14:textId="77777777" w:rsidR="00EF58FB" w:rsidRPr="00FC2211" w:rsidRDefault="00EF58FB" w:rsidP="00EF58FB">
            <w:pPr>
              <w:rPr>
                <w:rFonts w:ascii="Calibri" w:hAnsi="Calibri" w:cs="Calibri"/>
                <w:color w:val="000000"/>
                <w:szCs w:val="20"/>
                <w:lang w:val="en-CA" w:eastAsia="en-CA"/>
              </w:rPr>
            </w:pPr>
            <w:r w:rsidRPr="00FC2211">
              <w:rPr>
                <w:rFonts w:ascii="Calibri" w:hAnsi="Calibri" w:cs="Calibri"/>
                <w:color w:val="000000"/>
                <w:szCs w:val="20"/>
                <w:lang w:val="en-CA" w:eastAsia="en-CA"/>
              </w:rPr>
              <w:t>Annualized volatility</w:t>
            </w:r>
          </w:p>
        </w:tc>
        <w:tc>
          <w:tcPr>
            <w:tcW w:w="1984" w:type="dxa"/>
            <w:tcBorders>
              <w:top w:val="nil"/>
              <w:left w:val="nil"/>
              <w:bottom w:val="nil"/>
              <w:right w:val="nil"/>
            </w:tcBorders>
            <w:shd w:val="clear" w:color="auto" w:fill="auto"/>
            <w:vAlign w:val="center"/>
            <w:hideMark/>
          </w:tcPr>
          <w:p w14:paraId="29A6312C" w14:textId="77777777" w:rsidR="00EF58FB" w:rsidRPr="00FC2211" w:rsidRDefault="00EF58FB" w:rsidP="00EF58FB">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106%</w:t>
            </w:r>
          </w:p>
        </w:tc>
        <w:tc>
          <w:tcPr>
            <w:tcW w:w="1560" w:type="dxa"/>
            <w:tcBorders>
              <w:top w:val="nil"/>
              <w:left w:val="nil"/>
              <w:bottom w:val="nil"/>
              <w:right w:val="nil"/>
            </w:tcBorders>
            <w:shd w:val="clear" w:color="auto" w:fill="auto"/>
            <w:vAlign w:val="center"/>
            <w:hideMark/>
          </w:tcPr>
          <w:p w14:paraId="67B91EFA" w14:textId="77777777" w:rsidR="00EF58FB" w:rsidRPr="00FC2211" w:rsidRDefault="00EF58FB" w:rsidP="00EF58FB">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106%</w:t>
            </w:r>
          </w:p>
        </w:tc>
      </w:tr>
      <w:tr w:rsidR="00EF58FB" w:rsidRPr="00FC2211" w14:paraId="02A5DEFB" w14:textId="77777777" w:rsidTr="00EF58FB">
        <w:trPr>
          <w:trHeight w:val="276"/>
          <w:jc w:val="center"/>
        </w:trPr>
        <w:tc>
          <w:tcPr>
            <w:tcW w:w="4253" w:type="dxa"/>
            <w:tcBorders>
              <w:top w:val="nil"/>
              <w:left w:val="nil"/>
              <w:bottom w:val="nil"/>
              <w:right w:val="nil"/>
            </w:tcBorders>
            <w:shd w:val="clear" w:color="auto" w:fill="auto"/>
            <w:vAlign w:val="center"/>
            <w:hideMark/>
          </w:tcPr>
          <w:p w14:paraId="752FDC02" w14:textId="77777777" w:rsidR="00EF58FB" w:rsidRPr="00FC2211" w:rsidRDefault="00EF58FB" w:rsidP="00EF58FB">
            <w:pPr>
              <w:rPr>
                <w:rFonts w:ascii="Calibri" w:hAnsi="Calibri" w:cs="Calibri"/>
                <w:color w:val="000000"/>
                <w:szCs w:val="20"/>
                <w:lang w:val="en-CA" w:eastAsia="en-CA"/>
              </w:rPr>
            </w:pPr>
            <w:r w:rsidRPr="00FC2211">
              <w:rPr>
                <w:rFonts w:ascii="Calibri" w:hAnsi="Calibri" w:cs="Calibri"/>
                <w:color w:val="000000"/>
                <w:szCs w:val="20"/>
                <w:lang w:val="en-CA" w:eastAsia="en-CA"/>
              </w:rPr>
              <w:t>Risk-free interest rate</w:t>
            </w:r>
          </w:p>
        </w:tc>
        <w:tc>
          <w:tcPr>
            <w:tcW w:w="1984" w:type="dxa"/>
            <w:tcBorders>
              <w:top w:val="nil"/>
              <w:left w:val="nil"/>
              <w:bottom w:val="nil"/>
              <w:right w:val="nil"/>
            </w:tcBorders>
            <w:shd w:val="clear" w:color="auto" w:fill="auto"/>
            <w:vAlign w:val="center"/>
            <w:hideMark/>
          </w:tcPr>
          <w:p w14:paraId="4818278C" w14:textId="77777777" w:rsidR="00EF58FB" w:rsidRPr="00FC2211" w:rsidRDefault="00EF58FB" w:rsidP="00EF58FB">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3.75%</w:t>
            </w:r>
          </w:p>
        </w:tc>
        <w:tc>
          <w:tcPr>
            <w:tcW w:w="1560" w:type="dxa"/>
            <w:tcBorders>
              <w:top w:val="nil"/>
              <w:left w:val="nil"/>
              <w:bottom w:val="nil"/>
              <w:right w:val="nil"/>
            </w:tcBorders>
            <w:shd w:val="clear" w:color="auto" w:fill="auto"/>
            <w:vAlign w:val="center"/>
            <w:hideMark/>
          </w:tcPr>
          <w:p w14:paraId="61B1F236" w14:textId="77777777" w:rsidR="00EF58FB" w:rsidRPr="00FC2211" w:rsidRDefault="00EF58FB" w:rsidP="00EF58FB">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3.33%</w:t>
            </w:r>
          </w:p>
        </w:tc>
      </w:tr>
      <w:tr w:rsidR="00EF58FB" w:rsidRPr="00FC2211" w14:paraId="61228EDB" w14:textId="77777777" w:rsidTr="00EF58FB">
        <w:trPr>
          <w:trHeight w:val="276"/>
          <w:jc w:val="center"/>
        </w:trPr>
        <w:tc>
          <w:tcPr>
            <w:tcW w:w="4253" w:type="dxa"/>
            <w:tcBorders>
              <w:top w:val="nil"/>
              <w:left w:val="nil"/>
              <w:bottom w:val="nil"/>
              <w:right w:val="nil"/>
            </w:tcBorders>
            <w:shd w:val="clear" w:color="auto" w:fill="auto"/>
            <w:vAlign w:val="center"/>
            <w:hideMark/>
          </w:tcPr>
          <w:p w14:paraId="30680319" w14:textId="77777777" w:rsidR="00EF58FB" w:rsidRPr="00FC2211" w:rsidRDefault="00EF58FB" w:rsidP="00EF58FB">
            <w:pPr>
              <w:rPr>
                <w:rFonts w:ascii="Calibri" w:hAnsi="Calibri" w:cs="Calibri"/>
                <w:color w:val="000000"/>
                <w:szCs w:val="20"/>
                <w:lang w:val="en-CA" w:eastAsia="en-CA"/>
              </w:rPr>
            </w:pPr>
            <w:r w:rsidRPr="00FC2211">
              <w:rPr>
                <w:rFonts w:ascii="Calibri" w:hAnsi="Calibri" w:cs="Calibri"/>
                <w:color w:val="000000"/>
                <w:szCs w:val="20"/>
                <w:lang w:val="en-CA" w:eastAsia="en-CA"/>
              </w:rPr>
              <w:t>Dividend rate</w:t>
            </w:r>
          </w:p>
        </w:tc>
        <w:tc>
          <w:tcPr>
            <w:tcW w:w="1984" w:type="dxa"/>
            <w:tcBorders>
              <w:top w:val="nil"/>
              <w:left w:val="nil"/>
              <w:bottom w:val="nil"/>
              <w:right w:val="nil"/>
            </w:tcBorders>
            <w:shd w:val="clear" w:color="auto" w:fill="auto"/>
            <w:vAlign w:val="center"/>
            <w:hideMark/>
          </w:tcPr>
          <w:p w14:paraId="214BAD9A" w14:textId="77777777" w:rsidR="00EF58FB" w:rsidRPr="00FC2211" w:rsidRDefault="00EF58FB" w:rsidP="00EF58FB">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0%</w:t>
            </w:r>
          </w:p>
        </w:tc>
        <w:tc>
          <w:tcPr>
            <w:tcW w:w="1560" w:type="dxa"/>
            <w:tcBorders>
              <w:top w:val="nil"/>
              <w:left w:val="nil"/>
              <w:bottom w:val="nil"/>
              <w:right w:val="nil"/>
            </w:tcBorders>
            <w:shd w:val="clear" w:color="auto" w:fill="auto"/>
            <w:vAlign w:val="center"/>
            <w:hideMark/>
          </w:tcPr>
          <w:p w14:paraId="6F4FBD6A" w14:textId="77777777" w:rsidR="00EF58FB" w:rsidRPr="00FC2211" w:rsidRDefault="00EF58FB" w:rsidP="00EF58FB">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0%</w:t>
            </w:r>
          </w:p>
        </w:tc>
      </w:tr>
      <w:tr w:rsidR="00EF58FB" w:rsidRPr="00FC2211" w14:paraId="4F2E3E0F" w14:textId="77777777" w:rsidTr="00EF58FB">
        <w:trPr>
          <w:trHeight w:val="276"/>
          <w:jc w:val="center"/>
        </w:trPr>
        <w:tc>
          <w:tcPr>
            <w:tcW w:w="4253" w:type="dxa"/>
            <w:tcBorders>
              <w:top w:val="nil"/>
              <w:left w:val="nil"/>
              <w:bottom w:val="nil"/>
              <w:right w:val="nil"/>
            </w:tcBorders>
            <w:shd w:val="clear" w:color="auto" w:fill="auto"/>
            <w:vAlign w:val="center"/>
            <w:hideMark/>
          </w:tcPr>
          <w:p w14:paraId="05CF5170" w14:textId="77777777" w:rsidR="00EF58FB" w:rsidRPr="00FC2211" w:rsidRDefault="00EF58FB" w:rsidP="00EF58FB">
            <w:pPr>
              <w:rPr>
                <w:rFonts w:ascii="Calibri" w:hAnsi="Calibri" w:cs="Calibri"/>
                <w:color w:val="000000"/>
                <w:szCs w:val="20"/>
                <w:lang w:val="en-CA" w:eastAsia="en-CA"/>
              </w:rPr>
            </w:pPr>
            <w:r w:rsidRPr="00FC2211">
              <w:rPr>
                <w:rFonts w:ascii="Calibri" w:hAnsi="Calibri" w:cs="Calibri"/>
                <w:color w:val="000000"/>
                <w:szCs w:val="20"/>
                <w:lang w:val="en-CA" w:eastAsia="en-CA"/>
              </w:rPr>
              <w:t>Weighted average fair value per option granted</w:t>
            </w:r>
          </w:p>
        </w:tc>
        <w:tc>
          <w:tcPr>
            <w:tcW w:w="1984" w:type="dxa"/>
            <w:tcBorders>
              <w:top w:val="nil"/>
              <w:left w:val="nil"/>
              <w:bottom w:val="nil"/>
              <w:right w:val="nil"/>
            </w:tcBorders>
            <w:shd w:val="clear" w:color="auto" w:fill="auto"/>
            <w:vAlign w:val="center"/>
            <w:hideMark/>
          </w:tcPr>
          <w:p w14:paraId="7D73DC0C" w14:textId="5187CF21" w:rsidR="00EF58FB" w:rsidRPr="00FC2211" w:rsidRDefault="00EF58FB" w:rsidP="00EF58FB">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0.05 </w:t>
            </w:r>
          </w:p>
        </w:tc>
        <w:tc>
          <w:tcPr>
            <w:tcW w:w="1560" w:type="dxa"/>
            <w:tcBorders>
              <w:top w:val="nil"/>
              <w:left w:val="nil"/>
              <w:bottom w:val="nil"/>
              <w:right w:val="nil"/>
            </w:tcBorders>
            <w:shd w:val="clear" w:color="auto" w:fill="auto"/>
            <w:vAlign w:val="center"/>
            <w:hideMark/>
          </w:tcPr>
          <w:p w14:paraId="60CDB88F" w14:textId="0200AC1A" w:rsidR="00EF58FB" w:rsidRPr="00FC2211" w:rsidRDefault="00EF58FB" w:rsidP="00EF58FB">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0.11 </w:t>
            </w:r>
          </w:p>
        </w:tc>
      </w:tr>
      <w:tr w:rsidR="00EF58FB" w:rsidRPr="00FC2211" w14:paraId="17DA69B0" w14:textId="77777777" w:rsidTr="00EF58FB">
        <w:trPr>
          <w:trHeight w:val="288"/>
          <w:jc w:val="center"/>
        </w:trPr>
        <w:tc>
          <w:tcPr>
            <w:tcW w:w="4253" w:type="dxa"/>
            <w:tcBorders>
              <w:top w:val="nil"/>
              <w:left w:val="nil"/>
              <w:bottom w:val="single" w:sz="8" w:space="0" w:color="auto"/>
              <w:right w:val="nil"/>
            </w:tcBorders>
            <w:shd w:val="clear" w:color="auto" w:fill="auto"/>
            <w:vAlign w:val="center"/>
            <w:hideMark/>
          </w:tcPr>
          <w:p w14:paraId="3C0FA5CF" w14:textId="68BDD414" w:rsidR="00EF58FB" w:rsidRPr="00FC2211" w:rsidRDefault="00EF58FB" w:rsidP="00EF58FB">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Stock Price                                        </w:t>
            </w:r>
          </w:p>
        </w:tc>
        <w:tc>
          <w:tcPr>
            <w:tcW w:w="1984" w:type="dxa"/>
            <w:tcBorders>
              <w:top w:val="nil"/>
              <w:left w:val="nil"/>
              <w:bottom w:val="single" w:sz="8" w:space="0" w:color="auto"/>
              <w:right w:val="nil"/>
            </w:tcBorders>
            <w:shd w:val="clear" w:color="auto" w:fill="auto"/>
            <w:vAlign w:val="center"/>
            <w:hideMark/>
          </w:tcPr>
          <w:p w14:paraId="3F58C04E" w14:textId="3C2C4897" w:rsidR="00EF58FB" w:rsidRPr="00FC2211" w:rsidRDefault="00EF58FB" w:rsidP="00EF58FB">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0.05 </w:t>
            </w:r>
          </w:p>
        </w:tc>
        <w:tc>
          <w:tcPr>
            <w:tcW w:w="1560" w:type="dxa"/>
            <w:tcBorders>
              <w:top w:val="nil"/>
              <w:left w:val="nil"/>
              <w:bottom w:val="single" w:sz="8" w:space="0" w:color="auto"/>
              <w:right w:val="nil"/>
            </w:tcBorders>
            <w:shd w:val="clear" w:color="auto" w:fill="auto"/>
            <w:vAlign w:val="center"/>
            <w:hideMark/>
          </w:tcPr>
          <w:p w14:paraId="4AD63C76" w14:textId="0C9E9E51" w:rsidR="00EF58FB" w:rsidRPr="00FC2211" w:rsidRDefault="00EF58FB" w:rsidP="00EF58FB">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0.12 </w:t>
            </w:r>
          </w:p>
        </w:tc>
      </w:tr>
    </w:tbl>
    <w:p w14:paraId="6BB6436D" w14:textId="77777777" w:rsidR="00FE21DE" w:rsidRPr="00FC2211" w:rsidRDefault="00FE21DE" w:rsidP="007335A5">
      <w:pPr>
        <w:tabs>
          <w:tab w:val="left" w:pos="357"/>
        </w:tabs>
        <w:ind w:left="357"/>
        <w:rPr>
          <w:rFonts w:cstheme="minorHAnsi"/>
          <w:szCs w:val="20"/>
        </w:rPr>
      </w:pPr>
    </w:p>
    <w:p w14:paraId="630A0A6E" w14:textId="2F7C36CA" w:rsidR="00D67793" w:rsidRPr="00FC2211" w:rsidRDefault="00CD6840" w:rsidP="00D15E06">
      <w:pPr>
        <w:widowControl w:val="0"/>
        <w:autoSpaceDE w:val="0"/>
        <w:autoSpaceDN w:val="0"/>
        <w:ind w:left="360" w:firstLine="14"/>
        <w:outlineLvl w:val="1"/>
        <w:rPr>
          <w:rFonts w:eastAsia="Calibri" w:cstheme="minorHAnsi"/>
          <w:b/>
          <w:bCs/>
          <w:szCs w:val="20"/>
        </w:rPr>
      </w:pPr>
      <w:r w:rsidRPr="00FC2211">
        <w:rPr>
          <w:rFonts w:eastAsia="Calibri" w:cstheme="minorHAnsi"/>
          <w:b/>
          <w:bCs/>
          <w:szCs w:val="20"/>
        </w:rPr>
        <w:t>Warrants</w:t>
      </w:r>
    </w:p>
    <w:p w14:paraId="5E117F83" w14:textId="77777777" w:rsidR="007508BF" w:rsidRPr="00FC2211" w:rsidRDefault="007508BF" w:rsidP="00D15E06">
      <w:pPr>
        <w:widowControl w:val="0"/>
        <w:autoSpaceDE w:val="0"/>
        <w:autoSpaceDN w:val="0"/>
        <w:ind w:left="360" w:firstLine="14"/>
        <w:outlineLvl w:val="1"/>
        <w:rPr>
          <w:rFonts w:eastAsia="Calibri" w:cstheme="minorHAnsi"/>
          <w:b/>
          <w:bCs/>
          <w:szCs w:val="20"/>
        </w:rPr>
      </w:pPr>
    </w:p>
    <w:p w14:paraId="775D9121" w14:textId="2BDC0B10" w:rsidR="007508BF" w:rsidRPr="00FC2211" w:rsidRDefault="007508BF" w:rsidP="007508BF">
      <w:pPr>
        <w:widowControl w:val="0"/>
        <w:autoSpaceDE w:val="0"/>
        <w:autoSpaceDN w:val="0"/>
        <w:ind w:left="360" w:firstLine="14"/>
        <w:outlineLvl w:val="1"/>
        <w:rPr>
          <w:rFonts w:cstheme="minorHAnsi"/>
          <w:szCs w:val="20"/>
        </w:rPr>
      </w:pPr>
      <w:r w:rsidRPr="00FC2211">
        <w:rPr>
          <w:rFonts w:cstheme="minorHAnsi"/>
          <w:szCs w:val="20"/>
        </w:rPr>
        <w:t xml:space="preserve">The summary of changes in warrants during the </w:t>
      </w:r>
      <w:r w:rsidR="003B640E" w:rsidRPr="00FC2211">
        <w:rPr>
          <w:rFonts w:cstheme="minorHAnsi"/>
          <w:szCs w:val="20"/>
        </w:rPr>
        <w:t>six</w:t>
      </w:r>
      <w:r w:rsidRPr="00FC2211">
        <w:rPr>
          <w:rFonts w:cstheme="minorHAnsi"/>
          <w:szCs w:val="20"/>
        </w:rPr>
        <w:t xml:space="preserve"> months ended </w:t>
      </w:r>
      <w:r w:rsidR="003B640E" w:rsidRPr="00FC2211">
        <w:rPr>
          <w:rFonts w:cstheme="minorHAnsi"/>
          <w:szCs w:val="20"/>
        </w:rPr>
        <w:t>December 31</w:t>
      </w:r>
      <w:r w:rsidRPr="00FC2211">
        <w:rPr>
          <w:rFonts w:cstheme="minorHAnsi"/>
          <w:szCs w:val="20"/>
        </w:rPr>
        <w:t>, 2023, and the year ended June 30, 202</w:t>
      </w:r>
      <w:r w:rsidR="003A773A" w:rsidRPr="00FC2211">
        <w:rPr>
          <w:rFonts w:cstheme="minorHAnsi"/>
          <w:szCs w:val="20"/>
        </w:rPr>
        <w:t>3</w:t>
      </w:r>
      <w:r w:rsidR="00213BA3" w:rsidRPr="00FC2211">
        <w:rPr>
          <w:rFonts w:cstheme="minorHAnsi"/>
          <w:szCs w:val="20"/>
        </w:rPr>
        <w:t>,</w:t>
      </w:r>
      <w:r w:rsidRPr="00FC2211">
        <w:rPr>
          <w:rFonts w:cstheme="minorHAnsi"/>
          <w:szCs w:val="20"/>
        </w:rPr>
        <w:t xml:space="preserve"> are as follows:</w:t>
      </w:r>
    </w:p>
    <w:p w14:paraId="6E538DD6" w14:textId="77777777" w:rsidR="007B04D4" w:rsidRPr="00FC2211" w:rsidRDefault="007B04D4" w:rsidP="00F058C3">
      <w:pPr>
        <w:autoSpaceDE w:val="0"/>
        <w:autoSpaceDN w:val="0"/>
        <w:adjustRightInd w:val="0"/>
        <w:ind w:left="360"/>
        <w:rPr>
          <w:rFonts w:cstheme="minorHAnsi"/>
          <w:szCs w:val="20"/>
        </w:rPr>
      </w:pPr>
    </w:p>
    <w:tbl>
      <w:tblPr>
        <w:tblW w:w="8940" w:type="dxa"/>
        <w:jc w:val="center"/>
        <w:tblLook w:val="04A0" w:firstRow="1" w:lastRow="0" w:firstColumn="1" w:lastColumn="0" w:noHBand="0" w:noVBand="1"/>
      </w:tblPr>
      <w:tblGrid>
        <w:gridCol w:w="2916"/>
        <w:gridCol w:w="1363"/>
        <w:gridCol w:w="1533"/>
        <w:gridCol w:w="1701"/>
        <w:gridCol w:w="1427"/>
      </w:tblGrid>
      <w:tr w:rsidR="006A4C6A" w:rsidRPr="00FC2211" w14:paraId="15424ECD" w14:textId="77777777" w:rsidTr="009048D1">
        <w:trPr>
          <w:trHeight w:val="288"/>
          <w:jc w:val="center"/>
        </w:trPr>
        <w:tc>
          <w:tcPr>
            <w:tcW w:w="2916" w:type="dxa"/>
            <w:tcBorders>
              <w:top w:val="nil"/>
              <w:left w:val="nil"/>
              <w:bottom w:val="single" w:sz="8" w:space="0" w:color="auto"/>
              <w:right w:val="nil"/>
            </w:tcBorders>
            <w:shd w:val="clear" w:color="000000" w:fill="FFFFFF"/>
            <w:noWrap/>
            <w:vAlign w:val="center"/>
            <w:hideMark/>
          </w:tcPr>
          <w:p w14:paraId="08DBC022" w14:textId="77777777" w:rsidR="006A4C6A" w:rsidRPr="00FC2211" w:rsidRDefault="006A4C6A" w:rsidP="006A4C6A">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2896" w:type="dxa"/>
            <w:gridSpan w:val="2"/>
            <w:tcBorders>
              <w:top w:val="nil"/>
              <w:left w:val="nil"/>
              <w:bottom w:val="single" w:sz="8" w:space="0" w:color="auto"/>
              <w:right w:val="nil"/>
            </w:tcBorders>
            <w:shd w:val="clear" w:color="000000" w:fill="FFFFFF"/>
            <w:noWrap/>
            <w:vAlign w:val="center"/>
            <w:hideMark/>
          </w:tcPr>
          <w:p w14:paraId="71669950" w14:textId="737B1C90" w:rsidR="006A4C6A" w:rsidRPr="00FC2211" w:rsidRDefault="003B640E" w:rsidP="006A4C6A">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December 31</w:t>
            </w:r>
            <w:r w:rsidR="006A4C6A" w:rsidRPr="00FC2211">
              <w:rPr>
                <w:rFonts w:ascii="Calibri" w:hAnsi="Calibri" w:cs="Calibri"/>
                <w:b/>
                <w:bCs/>
                <w:color w:val="000000"/>
                <w:szCs w:val="20"/>
                <w:lang w:val="en-CA" w:eastAsia="en-CA"/>
              </w:rPr>
              <w:t>, 2023</w:t>
            </w:r>
          </w:p>
        </w:tc>
        <w:tc>
          <w:tcPr>
            <w:tcW w:w="3128" w:type="dxa"/>
            <w:gridSpan w:val="2"/>
            <w:tcBorders>
              <w:top w:val="nil"/>
              <w:left w:val="nil"/>
              <w:bottom w:val="single" w:sz="8" w:space="0" w:color="auto"/>
              <w:right w:val="nil"/>
            </w:tcBorders>
            <w:shd w:val="clear" w:color="000000" w:fill="FFFFFF"/>
            <w:noWrap/>
            <w:vAlign w:val="center"/>
            <w:hideMark/>
          </w:tcPr>
          <w:p w14:paraId="08147E6A" w14:textId="77777777" w:rsidR="006A4C6A" w:rsidRPr="00FC2211" w:rsidRDefault="006A4C6A" w:rsidP="006A4C6A">
            <w:pPr>
              <w:jc w:val="center"/>
              <w:rPr>
                <w:rFonts w:ascii="Calibri" w:hAnsi="Calibri" w:cs="Calibri"/>
                <w:color w:val="000000"/>
                <w:szCs w:val="20"/>
                <w:lang w:val="en-CA" w:eastAsia="en-CA"/>
              </w:rPr>
            </w:pPr>
            <w:r w:rsidRPr="00FC2211">
              <w:rPr>
                <w:rFonts w:ascii="Calibri" w:hAnsi="Calibri" w:cs="Calibri"/>
                <w:color w:val="000000"/>
                <w:szCs w:val="20"/>
                <w:lang w:val="en-CA" w:eastAsia="en-CA"/>
              </w:rPr>
              <w:t>June 30, 2023</w:t>
            </w:r>
          </w:p>
        </w:tc>
      </w:tr>
      <w:tr w:rsidR="006A4C6A" w:rsidRPr="00FC2211" w14:paraId="25B5888B" w14:textId="77777777" w:rsidTr="006A4C6A">
        <w:trPr>
          <w:trHeight w:val="564"/>
          <w:jc w:val="center"/>
        </w:trPr>
        <w:tc>
          <w:tcPr>
            <w:tcW w:w="2916" w:type="dxa"/>
            <w:tcBorders>
              <w:top w:val="nil"/>
              <w:left w:val="nil"/>
              <w:bottom w:val="single" w:sz="8" w:space="0" w:color="auto"/>
              <w:right w:val="nil"/>
            </w:tcBorders>
            <w:shd w:val="clear" w:color="000000" w:fill="FFFFFF"/>
            <w:noWrap/>
            <w:vAlign w:val="center"/>
            <w:hideMark/>
          </w:tcPr>
          <w:p w14:paraId="2BD5BAFB" w14:textId="77777777" w:rsidR="006A4C6A" w:rsidRPr="00FC2211" w:rsidRDefault="006A4C6A" w:rsidP="006A4C6A">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363" w:type="dxa"/>
            <w:tcBorders>
              <w:top w:val="nil"/>
              <w:left w:val="nil"/>
              <w:bottom w:val="single" w:sz="8" w:space="0" w:color="auto"/>
              <w:right w:val="nil"/>
            </w:tcBorders>
            <w:shd w:val="clear" w:color="000000" w:fill="FFFFFF"/>
            <w:vAlign w:val="center"/>
            <w:hideMark/>
          </w:tcPr>
          <w:p w14:paraId="417304FA" w14:textId="77777777" w:rsidR="006A4C6A" w:rsidRPr="00FC2211" w:rsidRDefault="006A4C6A" w:rsidP="006A4C6A">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Number of warrants</w:t>
            </w:r>
          </w:p>
        </w:tc>
        <w:tc>
          <w:tcPr>
            <w:tcW w:w="1533" w:type="dxa"/>
            <w:tcBorders>
              <w:top w:val="nil"/>
              <w:left w:val="nil"/>
              <w:bottom w:val="single" w:sz="8" w:space="0" w:color="auto"/>
              <w:right w:val="nil"/>
            </w:tcBorders>
            <w:shd w:val="clear" w:color="000000" w:fill="FFFFFF"/>
            <w:vAlign w:val="center"/>
            <w:hideMark/>
          </w:tcPr>
          <w:p w14:paraId="7492C3D5" w14:textId="77777777" w:rsidR="006A4C6A" w:rsidRPr="00FC2211" w:rsidRDefault="006A4C6A" w:rsidP="006A4C6A">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Weighted average exercise price</w:t>
            </w:r>
          </w:p>
        </w:tc>
        <w:tc>
          <w:tcPr>
            <w:tcW w:w="1701" w:type="dxa"/>
            <w:tcBorders>
              <w:top w:val="nil"/>
              <w:left w:val="nil"/>
              <w:bottom w:val="single" w:sz="8" w:space="0" w:color="auto"/>
              <w:right w:val="nil"/>
            </w:tcBorders>
            <w:shd w:val="clear" w:color="000000" w:fill="FFFFFF"/>
            <w:vAlign w:val="center"/>
            <w:hideMark/>
          </w:tcPr>
          <w:p w14:paraId="3D6FBA7D" w14:textId="77777777" w:rsidR="006A4C6A" w:rsidRPr="00FC2211" w:rsidRDefault="006A4C6A" w:rsidP="006A4C6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Number of warrants</w:t>
            </w:r>
          </w:p>
        </w:tc>
        <w:tc>
          <w:tcPr>
            <w:tcW w:w="1427" w:type="dxa"/>
            <w:tcBorders>
              <w:top w:val="nil"/>
              <w:left w:val="nil"/>
              <w:bottom w:val="single" w:sz="8" w:space="0" w:color="auto"/>
              <w:right w:val="nil"/>
            </w:tcBorders>
            <w:shd w:val="clear" w:color="000000" w:fill="FFFFFF"/>
            <w:vAlign w:val="center"/>
            <w:hideMark/>
          </w:tcPr>
          <w:p w14:paraId="02522DD9" w14:textId="77777777" w:rsidR="006A4C6A" w:rsidRPr="00FC2211" w:rsidRDefault="006A4C6A" w:rsidP="006A4C6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Weighted average exercise price</w:t>
            </w:r>
          </w:p>
        </w:tc>
      </w:tr>
      <w:tr w:rsidR="006A4C6A" w:rsidRPr="00FC2211" w14:paraId="050FDD2D" w14:textId="77777777" w:rsidTr="006A4C6A">
        <w:trPr>
          <w:trHeight w:val="276"/>
          <w:jc w:val="center"/>
        </w:trPr>
        <w:tc>
          <w:tcPr>
            <w:tcW w:w="2916" w:type="dxa"/>
            <w:tcBorders>
              <w:top w:val="nil"/>
              <w:left w:val="nil"/>
              <w:bottom w:val="nil"/>
              <w:right w:val="nil"/>
            </w:tcBorders>
            <w:shd w:val="clear" w:color="000000" w:fill="FFFFFF"/>
            <w:noWrap/>
            <w:vAlign w:val="center"/>
            <w:hideMark/>
          </w:tcPr>
          <w:p w14:paraId="40440481" w14:textId="77777777" w:rsidR="006A4C6A" w:rsidRPr="00FC2211" w:rsidRDefault="006A4C6A" w:rsidP="006A4C6A">
            <w:pPr>
              <w:rPr>
                <w:rFonts w:ascii="Calibri" w:hAnsi="Calibri" w:cs="Calibri"/>
                <w:color w:val="000000"/>
                <w:szCs w:val="20"/>
                <w:lang w:val="en-CA" w:eastAsia="en-CA"/>
              </w:rPr>
            </w:pPr>
            <w:r w:rsidRPr="00FC2211">
              <w:rPr>
                <w:rFonts w:ascii="Calibri" w:hAnsi="Calibri" w:cs="Calibri"/>
                <w:color w:val="000000"/>
                <w:szCs w:val="20"/>
                <w:lang w:val="en-CA" w:eastAsia="en-CA"/>
              </w:rPr>
              <w:t>Warrants outstanding, beginning</w:t>
            </w:r>
          </w:p>
        </w:tc>
        <w:tc>
          <w:tcPr>
            <w:tcW w:w="1363" w:type="dxa"/>
            <w:tcBorders>
              <w:top w:val="nil"/>
              <w:left w:val="nil"/>
              <w:bottom w:val="nil"/>
              <w:right w:val="nil"/>
            </w:tcBorders>
            <w:shd w:val="clear" w:color="000000" w:fill="FFFFFF"/>
            <w:noWrap/>
            <w:vAlign w:val="center"/>
            <w:hideMark/>
          </w:tcPr>
          <w:p w14:paraId="0C6DA8B3" w14:textId="041FBE12" w:rsidR="006A4C6A" w:rsidRPr="00FC2211" w:rsidRDefault="006A4C6A" w:rsidP="006A4C6A">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8,186,221 </w:t>
            </w:r>
          </w:p>
        </w:tc>
        <w:tc>
          <w:tcPr>
            <w:tcW w:w="1533" w:type="dxa"/>
            <w:tcBorders>
              <w:top w:val="nil"/>
              <w:left w:val="nil"/>
              <w:bottom w:val="nil"/>
              <w:right w:val="nil"/>
            </w:tcBorders>
            <w:shd w:val="clear" w:color="000000" w:fill="FFFFFF"/>
            <w:noWrap/>
            <w:vAlign w:val="center"/>
            <w:hideMark/>
          </w:tcPr>
          <w:p w14:paraId="65ED9AB7" w14:textId="2768B1BB" w:rsidR="006A4C6A" w:rsidRPr="00FC2211" w:rsidRDefault="006A4C6A" w:rsidP="006A4C6A">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0.</w:t>
            </w:r>
            <w:r w:rsidR="00213BA3" w:rsidRPr="00FC2211">
              <w:rPr>
                <w:rFonts w:ascii="Calibri" w:hAnsi="Calibri" w:cs="Calibri"/>
                <w:b/>
                <w:bCs/>
                <w:color w:val="000000"/>
                <w:szCs w:val="20"/>
                <w:lang w:val="en-CA" w:eastAsia="en-CA"/>
              </w:rPr>
              <w:t>18</w:t>
            </w:r>
            <w:r w:rsidRPr="00FC2211">
              <w:rPr>
                <w:rFonts w:ascii="Calibri" w:hAnsi="Calibri" w:cs="Calibri"/>
                <w:b/>
                <w:bCs/>
                <w:color w:val="000000"/>
                <w:szCs w:val="20"/>
                <w:lang w:val="en-CA" w:eastAsia="en-CA"/>
              </w:rPr>
              <w:t xml:space="preserve"> </w:t>
            </w:r>
          </w:p>
        </w:tc>
        <w:tc>
          <w:tcPr>
            <w:tcW w:w="1701" w:type="dxa"/>
            <w:tcBorders>
              <w:top w:val="nil"/>
              <w:left w:val="nil"/>
              <w:bottom w:val="nil"/>
              <w:right w:val="nil"/>
            </w:tcBorders>
            <w:shd w:val="clear" w:color="000000" w:fill="FFFFFF"/>
            <w:noWrap/>
            <w:vAlign w:val="center"/>
            <w:hideMark/>
          </w:tcPr>
          <w:p w14:paraId="67554774" w14:textId="13D1A5CA" w:rsidR="006A4C6A" w:rsidRPr="00FC2211" w:rsidRDefault="006A4C6A" w:rsidP="006A4C6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11,209,508 </w:t>
            </w:r>
          </w:p>
        </w:tc>
        <w:tc>
          <w:tcPr>
            <w:tcW w:w="1427" w:type="dxa"/>
            <w:tcBorders>
              <w:top w:val="nil"/>
              <w:left w:val="nil"/>
              <w:bottom w:val="nil"/>
              <w:right w:val="nil"/>
            </w:tcBorders>
            <w:shd w:val="clear" w:color="000000" w:fill="FFFFFF"/>
            <w:noWrap/>
            <w:vAlign w:val="center"/>
            <w:hideMark/>
          </w:tcPr>
          <w:p w14:paraId="4DA31956" w14:textId="51A3432E" w:rsidR="006A4C6A" w:rsidRPr="00FC2211" w:rsidRDefault="006A4C6A" w:rsidP="006A4C6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0.52 </w:t>
            </w:r>
          </w:p>
        </w:tc>
      </w:tr>
      <w:tr w:rsidR="006A4C6A" w:rsidRPr="00FC2211" w14:paraId="0DF7B329" w14:textId="77777777" w:rsidTr="006A4C6A">
        <w:trPr>
          <w:trHeight w:val="276"/>
          <w:jc w:val="center"/>
        </w:trPr>
        <w:tc>
          <w:tcPr>
            <w:tcW w:w="2916" w:type="dxa"/>
            <w:tcBorders>
              <w:top w:val="nil"/>
              <w:left w:val="nil"/>
              <w:bottom w:val="nil"/>
              <w:right w:val="nil"/>
            </w:tcBorders>
            <w:shd w:val="clear" w:color="000000" w:fill="FFFFFF"/>
            <w:noWrap/>
            <w:vAlign w:val="center"/>
            <w:hideMark/>
          </w:tcPr>
          <w:p w14:paraId="4CA4AE29" w14:textId="77777777" w:rsidR="006A4C6A" w:rsidRPr="00FC2211" w:rsidRDefault="006A4C6A" w:rsidP="006A4C6A">
            <w:pPr>
              <w:rPr>
                <w:rFonts w:ascii="Calibri" w:hAnsi="Calibri" w:cs="Calibri"/>
                <w:color w:val="000000"/>
                <w:szCs w:val="20"/>
                <w:lang w:val="en-CA" w:eastAsia="en-CA"/>
              </w:rPr>
            </w:pPr>
            <w:r w:rsidRPr="00FC2211">
              <w:rPr>
                <w:rFonts w:ascii="Calibri" w:hAnsi="Calibri" w:cs="Calibri"/>
                <w:color w:val="000000"/>
                <w:szCs w:val="20"/>
                <w:lang w:val="en-CA" w:eastAsia="en-CA"/>
              </w:rPr>
              <w:t>Warrants issued</w:t>
            </w:r>
          </w:p>
        </w:tc>
        <w:tc>
          <w:tcPr>
            <w:tcW w:w="1363" w:type="dxa"/>
            <w:tcBorders>
              <w:top w:val="nil"/>
              <w:left w:val="nil"/>
              <w:bottom w:val="nil"/>
              <w:right w:val="nil"/>
            </w:tcBorders>
            <w:shd w:val="clear" w:color="000000" w:fill="FFFFFF"/>
            <w:noWrap/>
            <w:vAlign w:val="center"/>
            <w:hideMark/>
          </w:tcPr>
          <w:p w14:paraId="64BA382E" w14:textId="418543C5" w:rsidR="006A4C6A" w:rsidRPr="00FC2211" w:rsidRDefault="006A4C6A" w:rsidP="006A4C6A">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p>
        </w:tc>
        <w:tc>
          <w:tcPr>
            <w:tcW w:w="1533" w:type="dxa"/>
            <w:tcBorders>
              <w:top w:val="nil"/>
              <w:left w:val="nil"/>
              <w:bottom w:val="nil"/>
              <w:right w:val="nil"/>
            </w:tcBorders>
            <w:shd w:val="clear" w:color="000000" w:fill="FFFFFF"/>
            <w:noWrap/>
            <w:vAlign w:val="center"/>
            <w:hideMark/>
          </w:tcPr>
          <w:p w14:paraId="570A1C05" w14:textId="6A929100" w:rsidR="006A4C6A" w:rsidRPr="00FC2211" w:rsidRDefault="006A4C6A" w:rsidP="006A4C6A">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p>
        </w:tc>
        <w:tc>
          <w:tcPr>
            <w:tcW w:w="1701" w:type="dxa"/>
            <w:tcBorders>
              <w:top w:val="nil"/>
              <w:left w:val="nil"/>
              <w:bottom w:val="nil"/>
              <w:right w:val="nil"/>
            </w:tcBorders>
            <w:shd w:val="clear" w:color="000000" w:fill="FFFFFF"/>
            <w:noWrap/>
            <w:vAlign w:val="center"/>
            <w:hideMark/>
          </w:tcPr>
          <w:p w14:paraId="39E1C774" w14:textId="6CD1E25D" w:rsidR="006A4C6A" w:rsidRPr="00FC2211" w:rsidRDefault="006A4C6A" w:rsidP="006A4C6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7,262,500 </w:t>
            </w:r>
          </w:p>
        </w:tc>
        <w:tc>
          <w:tcPr>
            <w:tcW w:w="1427" w:type="dxa"/>
            <w:tcBorders>
              <w:top w:val="nil"/>
              <w:left w:val="nil"/>
              <w:bottom w:val="nil"/>
              <w:right w:val="nil"/>
            </w:tcBorders>
            <w:shd w:val="clear" w:color="000000" w:fill="FFFFFF"/>
            <w:noWrap/>
            <w:vAlign w:val="center"/>
            <w:hideMark/>
          </w:tcPr>
          <w:p w14:paraId="25AD8C9A" w14:textId="7F5511F3" w:rsidR="006A4C6A" w:rsidRPr="00FC2211" w:rsidRDefault="006A4C6A" w:rsidP="006A4C6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0.19 </w:t>
            </w:r>
          </w:p>
        </w:tc>
      </w:tr>
      <w:tr w:rsidR="006A4C6A" w:rsidRPr="00FC2211" w14:paraId="2F37AE6F" w14:textId="77777777" w:rsidTr="006A4C6A">
        <w:trPr>
          <w:trHeight w:val="276"/>
          <w:jc w:val="center"/>
        </w:trPr>
        <w:tc>
          <w:tcPr>
            <w:tcW w:w="2916" w:type="dxa"/>
            <w:tcBorders>
              <w:top w:val="nil"/>
              <w:left w:val="nil"/>
              <w:bottom w:val="nil"/>
              <w:right w:val="nil"/>
            </w:tcBorders>
            <w:shd w:val="clear" w:color="000000" w:fill="FFFFFF"/>
            <w:noWrap/>
            <w:vAlign w:val="center"/>
            <w:hideMark/>
          </w:tcPr>
          <w:p w14:paraId="72A0DCBF" w14:textId="77777777" w:rsidR="006A4C6A" w:rsidRPr="00FC2211" w:rsidRDefault="006A4C6A" w:rsidP="006A4C6A">
            <w:pPr>
              <w:rPr>
                <w:rFonts w:ascii="Calibri" w:hAnsi="Calibri" w:cs="Calibri"/>
                <w:color w:val="000000"/>
                <w:szCs w:val="20"/>
                <w:lang w:val="en-CA" w:eastAsia="en-CA"/>
              </w:rPr>
            </w:pPr>
            <w:r w:rsidRPr="00FC2211">
              <w:rPr>
                <w:rFonts w:ascii="Calibri" w:hAnsi="Calibri" w:cs="Calibri"/>
                <w:color w:val="000000"/>
                <w:szCs w:val="20"/>
                <w:lang w:val="en-CA" w:eastAsia="en-CA"/>
              </w:rPr>
              <w:t>Broker Warrants issued</w:t>
            </w:r>
          </w:p>
        </w:tc>
        <w:tc>
          <w:tcPr>
            <w:tcW w:w="1363" w:type="dxa"/>
            <w:tcBorders>
              <w:top w:val="nil"/>
              <w:left w:val="nil"/>
              <w:bottom w:val="nil"/>
              <w:right w:val="nil"/>
            </w:tcBorders>
            <w:shd w:val="clear" w:color="000000" w:fill="FFFFFF"/>
            <w:noWrap/>
            <w:vAlign w:val="center"/>
            <w:hideMark/>
          </w:tcPr>
          <w:p w14:paraId="204175B6" w14:textId="3085BB80" w:rsidR="006A4C6A" w:rsidRPr="00FC2211" w:rsidRDefault="006A4C6A" w:rsidP="006A4C6A">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p>
        </w:tc>
        <w:tc>
          <w:tcPr>
            <w:tcW w:w="1533" w:type="dxa"/>
            <w:tcBorders>
              <w:top w:val="nil"/>
              <w:left w:val="nil"/>
              <w:bottom w:val="nil"/>
              <w:right w:val="nil"/>
            </w:tcBorders>
            <w:shd w:val="clear" w:color="000000" w:fill="FFFFFF"/>
            <w:noWrap/>
            <w:vAlign w:val="center"/>
            <w:hideMark/>
          </w:tcPr>
          <w:p w14:paraId="0A4D975E" w14:textId="03CE2727" w:rsidR="006A4C6A" w:rsidRPr="00FC2211" w:rsidRDefault="006A4C6A" w:rsidP="006A4C6A">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p>
        </w:tc>
        <w:tc>
          <w:tcPr>
            <w:tcW w:w="1701" w:type="dxa"/>
            <w:tcBorders>
              <w:top w:val="nil"/>
              <w:left w:val="nil"/>
              <w:bottom w:val="nil"/>
              <w:right w:val="nil"/>
            </w:tcBorders>
            <w:shd w:val="clear" w:color="000000" w:fill="FFFFFF"/>
            <w:noWrap/>
            <w:vAlign w:val="center"/>
            <w:hideMark/>
          </w:tcPr>
          <w:p w14:paraId="5DB4B93A" w14:textId="4AE5FB87" w:rsidR="006A4C6A" w:rsidRPr="00FC2211" w:rsidRDefault="006A4C6A" w:rsidP="006A4C6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923,721 </w:t>
            </w:r>
          </w:p>
        </w:tc>
        <w:tc>
          <w:tcPr>
            <w:tcW w:w="1427" w:type="dxa"/>
            <w:tcBorders>
              <w:top w:val="nil"/>
              <w:left w:val="nil"/>
              <w:bottom w:val="nil"/>
              <w:right w:val="nil"/>
            </w:tcBorders>
            <w:shd w:val="clear" w:color="000000" w:fill="FFFFFF"/>
            <w:noWrap/>
            <w:vAlign w:val="center"/>
            <w:hideMark/>
          </w:tcPr>
          <w:p w14:paraId="7932DC3B" w14:textId="7D9E9A19" w:rsidR="006A4C6A" w:rsidRPr="00FC2211" w:rsidRDefault="006A4C6A" w:rsidP="006A4C6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0.12 </w:t>
            </w:r>
          </w:p>
        </w:tc>
      </w:tr>
      <w:tr w:rsidR="006A4C6A" w:rsidRPr="00FC2211" w14:paraId="0EF82775" w14:textId="77777777" w:rsidTr="006A4C6A">
        <w:trPr>
          <w:trHeight w:val="276"/>
          <w:jc w:val="center"/>
        </w:trPr>
        <w:tc>
          <w:tcPr>
            <w:tcW w:w="2916" w:type="dxa"/>
            <w:tcBorders>
              <w:top w:val="nil"/>
              <w:left w:val="nil"/>
              <w:bottom w:val="nil"/>
              <w:right w:val="nil"/>
            </w:tcBorders>
            <w:shd w:val="clear" w:color="000000" w:fill="FFFFFF"/>
            <w:noWrap/>
            <w:vAlign w:val="center"/>
            <w:hideMark/>
          </w:tcPr>
          <w:p w14:paraId="062B9A7D" w14:textId="77777777" w:rsidR="006A4C6A" w:rsidRPr="00FC2211" w:rsidRDefault="006A4C6A" w:rsidP="006A4C6A">
            <w:pPr>
              <w:rPr>
                <w:rFonts w:ascii="Calibri" w:hAnsi="Calibri" w:cs="Calibri"/>
                <w:color w:val="000000"/>
                <w:szCs w:val="20"/>
                <w:lang w:val="en-CA" w:eastAsia="en-CA"/>
              </w:rPr>
            </w:pPr>
            <w:r w:rsidRPr="00FC2211">
              <w:rPr>
                <w:rFonts w:ascii="Calibri" w:hAnsi="Calibri" w:cs="Calibri"/>
                <w:color w:val="000000"/>
                <w:szCs w:val="20"/>
                <w:lang w:val="en-CA" w:eastAsia="en-CA"/>
              </w:rPr>
              <w:t>Warrants expired</w:t>
            </w:r>
          </w:p>
        </w:tc>
        <w:tc>
          <w:tcPr>
            <w:tcW w:w="1363" w:type="dxa"/>
            <w:tcBorders>
              <w:top w:val="nil"/>
              <w:left w:val="nil"/>
              <w:bottom w:val="nil"/>
              <w:right w:val="nil"/>
            </w:tcBorders>
            <w:shd w:val="clear" w:color="000000" w:fill="FFFFFF"/>
            <w:noWrap/>
            <w:vAlign w:val="center"/>
            <w:hideMark/>
          </w:tcPr>
          <w:p w14:paraId="51D26FCC" w14:textId="1576FCA9" w:rsidR="006A4C6A" w:rsidRPr="00FC2211" w:rsidRDefault="006A4C6A" w:rsidP="006A4C6A">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p>
        </w:tc>
        <w:tc>
          <w:tcPr>
            <w:tcW w:w="1533" w:type="dxa"/>
            <w:tcBorders>
              <w:top w:val="nil"/>
              <w:left w:val="nil"/>
              <w:bottom w:val="nil"/>
              <w:right w:val="nil"/>
            </w:tcBorders>
            <w:shd w:val="clear" w:color="000000" w:fill="FFFFFF"/>
            <w:noWrap/>
            <w:vAlign w:val="center"/>
            <w:hideMark/>
          </w:tcPr>
          <w:p w14:paraId="1117BC67" w14:textId="16C0AEB4" w:rsidR="006A4C6A" w:rsidRPr="00FC2211" w:rsidRDefault="006A4C6A" w:rsidP="006A4C6A">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p>
        </w:tc>
        <w:tc>
          <w:tcPr>
            <w:tcW w:w="1701" w:type="dxa"/>
            <w:tcBorders>
              <w:top w:val="nil"/>
              <w:left w:val="nil"/>
              <w:bottom w:val="nil"/>
              <w:right w:val="nil"/>
            </w:tcBorders>
            <w:shd w:val="clear" w:color="000000" w:fill="FFFFFF"/>
            <w:noWrap/>
            <w:vAlign w:val="center"/>
            <w:hideMark/>
          </w:tcPr>
          <w:p w14:paraId="56A38658" w14:textId="73EF39B0" w:rsidR="006A4C6A" w:rsidRPr="00FC2211" w:rsidRDefault="006A4C6A" w:rsidP="00744FA3">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(11,209,508)</w:t>
            </w:r>
          </w:p>
        </w:tc>
        <w:tc>
          <w:tcPr>
            <w:tcW w:w="1427" w:type="dxa"/>
            <w:tcBorders>
              <w:top w:val="nil"/>
              <w:left w:val="nil"/>
              <w:bottom w:val="nil"/>
              <w:right w:val="nil"/>
            </w:tcBorders>
            <w:shd w:val="clear" w:color="000000" w:fill="FFFFFF"/>
            <w:noWrap/>
            <w:vAlign w:val="center"/>
            <w:hideMark/>
          </w:tcPr>
          <w:p w14:paraId="5A65D062" w14:textId="488AB6FB" w:rsidR="006A4C6A" w:rsidRPr="00FC2211" w:rsidRDefault="006A4C6A" w:rsidP="006A4C6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0.52 </w:t>
            </w:r>
          </w:p>
        </w:tc>
      </w:tr>
      <w:tr w:rsidR="006A4C6A" w:rsidRPr="00FC2211" w14:paraId="50DD1B0E" w14:textId="77777777" w:rsidTr="006A4C6A">
        <w:trPr>
          <w:trHeight w:val="276"/>
          <w:jc w:val="center"/>
        </w:trPr>
        <w:tc>
          <w:tcPr>
            <w:tcW w:w="2916" w:type="dxa"/>
            <w:tcBorders>
              <w:top w:val="single" w:sz="4" w:space="0" w:color="auto"/>
              <w:left w:val="nil"/>
              <w:bottom w:val="single" w:sz="4" w:space="0" w:color="auto"/>
              <w:right w:val="nil"/>
            </w:tcBorders>
            <w:shd w:val="clear" w:color="000000" w:fill="FFFFFF"/>
            <w:noWrap/>
            <w:vAlign w:val="center"/>
            <w:hideMark/>
          </w:tcPr>
          <w:p w14:paraId="610E5D89" w14:textId="77777777" w:rsidR="006A4C6A" w:rsidRPr="00FC2211" w:rsidRDefault="006A4C6A" w:rsidP="006A4C6A">
            <w:pPr>
              <w:rPr>
                <w:rFonts w:ascii="Calibri" w:hAnsi="Calibri" w:cs="Calibri"/>
                <w:color w:val="000000"/>
                <w:szCs w:val="20"/>
                <w:lang w:val="en-CA" w:eastAsia="en-CA"/>
              </w:rPr>
            </w:pPr>
            <w:r w:rsidRPr="00FC2211">
              <w:rPr>
                <w:rFonts w:ascii="Calibri" w:hAnsi="Calibri" w:cs="Calibri"/>
                <w:color w:val="000000"/>
                <w:szCs w:val="20"/>
                <w:lang w:val="en-CA" w:eastAsia="en-CA"/>
              </w:rPr>
              <w:t>Warrants outstanding, ending</w:t>
            </w:r>
          </w:p>
        </w:tc>
        <w:tc>
          <w:tcPr>
            <w:tcW w:w="1363" w:type="dxa"/>
            <w:tcBorders>
              <w:top w:val="single" w:sz="4" w:space="0" w:color="auto"/>
              <w:left w:val="nil"/>
              <w:bottom w:val="single" w:sz="4" w:space="0" w:color="auto"/>
              <w:right w:val="nil"/>
            </w:tcBorders>
            <w:shd w:val="clear" w:color="000000" w:fill="FFFFFF"/>
            <w:noWrap/>
            <w:vAlign w:val="center"/>
            <w:hideMark/>
          </w:tcPr>
          <w:p w14:paraId="7F274D26" w14:textId="645C2AB5" w:rsidR="006A4C6A" w:rsidRPr="00FC2211" w:rsidRDefault="006A4C6A" w:rsidP="006A4C6A">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8,186,221 </w:t>
            </w:r>
          </w:p>
        </w:tc>
        <w:tc>
          <w:tcPr>
            <w:tcW w:w="1533" w:type="dxa"/>
            <w:tcBorders>
              <w:top w:val="single" w:sz="4" w:space="0" w:color="auto"/>
              <w:left w:val="nil"/>
              <w:bottom w:val="single" w:sz="4" w:space="0" w:color="auto"/>
              <w:right w:val="nil"/>
            </w:tcBorders>
            <w:shd w:val="clear" w:color="000000" w:fill="FFFFFF"/>
            <w:noWrap/>
            <w:vAlign w:val="center"/>
            <w:hideMark/>
          </w:tcPr>
          <w:p w14:paraId="21C798BA" w14:textId="7E2B1118" w:rsidR="006A4C6A" w:rsidRPr="00FC2211" w:rsidRDefault="006A4C6A" w:rsidP="006A4C6A">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0.</w:t>
            </w:r>
            <w:r w:rsidR="00213BA3" w:rsidRPr="00FC2211">
              <w:rPr>
                <w:rFonts w:ascii="Calibri" w:hAnsi="Calibri" w:cs="Calibri"/>
                <w:b/>
                <w:bCs/>
                <w:color w:val="000000"/>
                <w:szCs w:val="20"/>
                <w:lang w:val="en-CA" w:eastAsia="en-CA"/>
              </w:rPr>
              <w:t>18</w:t>
            </w:r>
            <w:r w:rsidRPr="00FC2211">
              <w:rPr>
                <w:rFonts w:ascii="Calibri" w:hAnsi="Calibri" w:cs="Calibri"/>
                <w:b/>
                <w:bCs/>
                <w:color w:val="000000"/>
                <w:szCs w:val="20"/>
                <w:lang w:val="en-CA" w:eastAsia="en-CA"/>
              </w:rPr>
              <w:t xml:space="preserve"> </w:t>
            </w:r>
          </w:p>
        </w:tc>
        <w:tc>
          <w:tcPr>
            <w:tcW w:w="1701" w:type="dxa"/>
            <w:tcBorders>
              <w:top w:val="single" w:sz="4" w:space="0" w:color="auto"/>
              <w:left w:val="nil"/>
              <w:bottom w:val="single" w:sz="4" w:space="0" w:color="auto"/>
              <w:right w:val="nil"/>
            </w:tcBorders>
            <w:shd w:val="clear" w:color="000000" w:fill="FFFFFF"/>
            <w:noWrap/>
            <w:vAlign w:val="center"/>
            <w:hideMark/>
          </w:tcPr>
          <w:p w14:paraId="013ADD08" w14:textId="3B85185D" w:rsidR="006A4C6A" w:rsidRPr="00FC2211" w:rsidRDefault="006A4C6A" w:rsidP="006A4C6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8,186,221 </w:t>
            </w:r>
          </w:p>
        </w:tc>
        <w:tc>
          <w:tcPr>
            <w:tcW w:w="1427" w:type="dxa"/>
            <w:tcBorders>
              <w:top w:val="single" w:sz="4" w:space="0" w:color="auto"/>
              <w:left w:val="nil"/>
              <w:bottom w:val="single" w:sz="4" w:space="0" w:color="auto"/>
              <w:right w:val="nil"/>
            </w:tcBorders>
            <w:shd w:val="clear" w:color="000000" w:fill="FFFFFF"/>
            <w:noWrap/>
            <w:vAlign w:val="center"/>
            <w:hideMark/>
          </w:tcPr>
          <w:p w14:paraId="4A3E3DFE" w14:textId="54798FA2" w:rsidR="006A4C6A" w:rsidRPr="00FC2211" w:rsidRDefault="006A4C6A" w:rsidP="006A4C6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w:t>
            </w:r>
            <w:r w:rsidR="00213BA3" w:rsidRPr="00FC2211">
              <w:rPr>
                <w:rFonts w:ascii="Calibri" w:hAnsi="Calibri" w:cs="Calibri"/>
                <w:color w:val="000000"/>
                <w:szCs w:val="20"/>
                <w:lang w:val="en-CA" w:eastAsia="en-CA"/>
              </w:rPr>
              <w:t>18</w:t>
            </w:r>
            <w:r w:rsidRPr="00FC2211">
              <w:rPr>
                <w:rFonts w:ascii="Calibri" w:hAnsi="Calibri" w:cs="Calibri"/>
                <w:color w:val="000000"/>
                <w:szCs w:val="20"/>
                <w:lang w:val="en-CA" w:eastAsia="en-CA"/>
              </w:rPr>
              <w:t xml:space="preserve"> </w:t>
            </w:r>
          </w:p>
        </w:tc>
      </w:tr>
      <w:tr w:rsidR="006A4C6A" w:rsidRPr="00FC2211" w14:paraId="76B80335" w14:textId="77777777" w:rsidTr="006A4C6A">
        <w:trPr>
          <w:trHeight w:val="288"/>
          <w:jc w:val="center"/>
        </w:trPr>
        <w:tc>
          <w:tcPr>
            <w:tcW w:w="2916" w:type="dxa"/>
            <w:tcBorders>
              <w:top w:val="nil"/>
              <w:left w:val="nil"/>
              <w:bottom w:val="single" w:sz="8" w:space="0" w:color="auto"/>
              <w:right w:val="nil"/>
            </w:tcBorders>
            <w:shd w:val="clear" w:color="000000" w:fill="FFFFFF"/>
            <w:noWrap/>
            <w:vAlign w:val="center"/>
            <w:hideMark/>
          </w:tcPr>
          <w:p w14:paraId="4D63CEF6" w14:textId="77777777" w:rsidR="006A4C6A" w:rsidRPr="00FC2211" w:rsidRDefault="006A4C6A" w:rsidP="006A4C6A">
            <w:pPr>
              <w:rPr>
                <w:rFonts w:ascii="Calibri" w:hAnsi="Calibri" w:cs="Calibri"/>
                <w:color w:val="000000"/>
                <w:szCs w:val="20"/>
                <w:lang w:val="en-CA" w:eastAsia="en-CA"/>
              </w:rPr>
            </w:pPr>
            <w:r w:rsidRPr="00FC2211">
              <w:rPr>
                <w:rFonts w:ascii="Calibri" w:hAnsi="Calibri" w:cs="Calibri"/>
                <w:color w:val="000000"/>
                <w:szCs w:val="20"/>
                <w:lang w:val="en-CA" w:eastAsia="en-CA"/>
              </w:rPr>
              <w:t>Warrants exercisable, ending</w:t>
            </w:r>
          </w:p>
        </w:tc>
        <w:tc>
          <w:tcPr>
            <w:tcW w:w="1363" w:type="dxa"/>
            <w:tcBorders>
              <w:top w:val="nil"/>
              <w:left w:val="nil"/>
              <w:bottom w:val="single" w:sz="8" w:space="0" w:color="auto"/>
              <w:right w:val="nil"/>
            </w:tcBorders>
            <w:shd w:val="clear" w:color="000000" w:fill="FFFFFF"/>
            <w:noWrap/>
            <w:vAlign w:val="center"/>
            <w:hideMark/>
          </w:tcPr>
          <w:p w14:paraId="09079C45" w14:textId="330657A1" w:rsidR="006A4C6A" w:rsidRPr="00FC2211" w:rsidRDefault="006A4C6A" w:rsidP="006A4C6A">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8,186,221 </w:t>
            </w:r>
          </w:p>
        </w:tc>
        <w:tc>
          <w:tcPr>
            <w:tcW w:w="1533" w:type="dxa"/>
            <w:tcBorders>
              <w:top w:val="nil"/>
              <w:left w:val="nil"/>
              <w:bottom w:val="single" w:sz="8" w:space="0" w:color="auto"/>
              <w:right w:val="nil"/>
            </w:tcBorders>
            <w:shd w:val="clear" w:color="000000" w:fill="FFFFFF"/>
            <w:noWrap/>
            <w:vAlign w:val="center"/>
            <w:hideMark/>
          </w:tcPr>
          <w:p w14:paraId="0402C1EF" w14:textId="19EB02A8" w:rsidR="006A4C6A" w:rsidRPr="00FC2211" w:rsidRDefault="006A4C6A" w:rsidP="006A4C6A">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0.</w:t>
            </w:r>
            <w:r w:rsidR="00213BA3" w:rsidRPr="00FC2211">
              <w:rPr>
                <w:rFonts w:ascii="Calibri" w:hAnsi="Calibri" w:cs="Calibri"/>
                <w:b/>
                <w:bCs/>
                <w:color w:val="000000"/>
                <w:szCs w:val="20"/>
                <w:lang w:val="en-CA" w:eastAsia="en-CA"/>
              </w:rPr>
              <w:t>18</w:t>
            </w:r>
            <w:r w:rsidRPr="00FC2211">
              <w:rPr>
                <w:rFonts w:ascii="Calibri" w:hAnsi="Calibri" w:cs="Calibri"/>
                <w:b/>
                <w:bCs/>
                <w:color w:val="000000"/>
                <w:szCs w:val="20"/>
                <w:lang w:val="en-CA" w:eastAsia="en-CA"/>
              </w:rPr>
              <w:t xml:space="preserve"> </w:t>
            </w:r>
          </w:p>
        </w:tc>
        <w:tc>
          <w:tcPr>
            <w:tcW w:w="1701" w:type="dxa"/>
            <w:tcBorders>
              <w:top w:val="nil"/>
              <w:left w:val="nil"/>
              <w:bottom w:val="single" w:sz="8" w:space="0" w:color="auto"/>
              <w:right w:val="nil"/>
            </w:tcBorders>
            <w:shd w:val="clear" w:color="000000" w:fill="FFFFFF"/>
            <w:noWrap/>
            <w:vAlign w:val="center"/>
            <w:hideMark/>
          </w:tcPr>
          <w:p w14:paraId="78D6B082" w14:textId="7C047256" w:rsidR="006A4C6A" w:rsidRPr="00FC2211" w:rsidRDefault="006A4C6A" w:rsidP="006A4C6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8,186,221 </w:t>
            </w:r>
          </w:p>
        </w:tc>
        <w:tc>
          <w:tcPr>
            <w:tcW w:w="1427" w:type="dxa"/>
            <w:tcBorders>
              <w:top w:val="nil"/>
              <w:left w:val="nil"/>
              <w:bottom w:val="single" w:sz="8" w:space="0" w:color="auto"/>
              <w:right w:val="nil"/>
            </w:tcBorders>
            <w:shd w:val="clear" w:color="000000" w:fill="FFFFFF"/>
            <w:noWrap/>
            <w:vAlign w:val="center"/>
            <w:hideMark/>
          </w:tcPr>
          <w:p w14:paraId="5F3E5E64" w14:textId="41F7A862" w:rsidR="006A4C6A" w:rsidRPr="00FC2211" w:rsidRDefault="006A4C6A" w:rsidP="006A4C6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0.</w:t>
            </w:r>
            <w:r w:rsidR="00213BA3" w:rsidRPr="00FC2211">
              <w:rPr>
                <w:rFonts w:ascii="Calibri" w:hAnsi="Calibri" w:cs="Calibri"/>
                <w:color w:val="000000"/>
                <w:szCs w:val="20"/>
                <w:lang w:val="en-CA" w:eastAsia="en-CA"/>
              </w:rPr>
              <w:t>18</w:t>
            </w:r>
            <w:r w:rsidRPr="00FC2211">
              <w:rPr>
                <w:rFonts w:ascii="Calibri" w:hAnsi="Calibri" w:cs="Calibri"/>
                <w:color w:val="000000"/>
                <w:szCs w:val="20"/>
                <w:lang w:val="en-CA" w:eastAsia="en-CA"/>
              </w:rPr>
              <w:t xml:space="preserve"> </w:t>
            </w:r>
          </w:p>
        </w:tc>
      </w:tr>
    </w:tbl>
    <w:p w14:paraId="6CE0D642" w14:textId="77777777" w:rsidR="009048D1" w:rsidRPr="00FC2211" w:rsidRDefault="009048D1" w:rsidP="009048D1">
      <w:pPr>
        <w:pStyle w:val="Heading1"/>
        <w:rPr>
          <w:rFonts w:cstheme="minorHAnsi"/>
          <w:szCs w:val="20"/>
          <w:lang w:val="en-GB"/>
        </w:rPr>
      </w:pPr>
      <w:r w:rsidRPr="00FC2211">
        <w:rPr>
          <w:rFonts w:cstheme="minorHAnsi"/>
          <w:szCs w:val="20"/>
          <w:lang w:val="en-GB"/>
        </w:rPr>
        <w:lastRenderedPageBreak/>
        <w:t>15.   SHARE CAPITAL AND RESERVES (CONTINUED)</w:t>
      </w:r>
    </w:p>
    <w:p w14:paraId="168F85BB" w14:textId="295C92CF" w:rsidR="009048D1" w:rsidRPr="00FC2211" w:rsidRDefault="009048D1" w:rsidP="009048D1">
      <w:pPr>
        <w:widowControl w:val="0"/>
        <w:autoSpaceDE w:val="0"/>
        <w:autoSpaceDN w:val="0"/>
        <w:ind w:left="360" w:firstLine="14"/>
        <w:outlineLvl w:val="1"/>
        <w:rPr>
          <w:rFonts w:eastAsia="Calibri" w:cstheme="minorHAnsi"/>
          <w:b/>
          <w:bCs/>
          <w:szCs w:val="20"/>
        </w:rPr>
      </w:pPr>
      <w:r w:rsidRPr="00FC2211">
        <w:rPr>
          <w:rFonts w:eastAsia="Calibri" w:cstheme="minorHAnsi"/>
          <w:b/>
          <w:bCs/>
          <w:szCs w:val="20"/>
        </w:rPr>
        <w:t>Warrants (continued)</w:t>
      </w:r>
    </w:p>
    <w:p w14:paraId="16B57CDE" w14:textId="77777777" w:rsidR="006E092B" w:rsidRPr="00FC2211" w:rsidRDefault="006E092B" w:rsidP="006E092B">
      <w:pPr>
        <w:widowControl w:val="0"/>
        <w:autoSpaceDE w:val="0"/>
        <w:autoSpaceDN w:val="0"/>
        <w:ind w:left="360" w:firstLine="14"/>
        <w:outlineLvl w:val="1"/>
        <w:rPr>
          <w:rFonts w:eastAsia="Calibri" w:cstheme="minorHAnsi"/>
          <w:b/>
          <w:bCs/>
          <w:szCs w:val="20"/>
        </w:rPr>
      </w:pPr>
    </w:p>
    <w:p w14:paraId="24AF00C7" w14:textId="4990E31D" w:rsidR="0094014E" w:rsidRPr="00FC2211" w:rsidRDefault="000B1C84" w:rsidP="002B36BD">
      <w:pPr>
        <w:tabs>
          <w:tab w:val="left" w:pos="357"/>
        </w:tabs>
        <w:ind w:left="426"/>
        <w:rPr>
          <w:rFonts w:cstheme="minorHAnsi"/>
          <w:szCs w:val="20"/>
        </w:rPr>
      </w:pPr>
      <w:r w:rsidRPr="00FC2211">
        <w:rPr>
          <w:rFonts w:cstheme="minorHAnsi"/>
          <w:szCs w:val="20"/>
        </w:rPr>
        <w:t>D</w:t>
      </w:r>
      <w:r w:rsidR="0094014E" w:rsidRPr="00FC2211">
        <w:rPr>
          <w:rFonts w:cstheme="minorHAnsi"/>
          <w:szCs w:val="20"/>
        </w:rPr>
        <w:t xml:space="preserve">etails of warrants outstanding as at </w:t>
      </w:r>
      <w:r w:rsidR="00D60DF5" w:rsidRPr="00FC2211">
        <w:rPr>
          <w:rFonts w:cstheme="minorHAnsi"/>
          <w:szCs w:val="20"/>
        </w:rPr>
        <w:t>December 31,</w:t>
      </w:r>
      <w:r w:rsidR="00417438" w:rsidRPr="00FC2211">
        <w:rPr>
          <w:rFonts w:cstheme="minorHAnsi"/>
          <w:szCs w:val="20"/>
        </w:rPr>
        <w:t xml:space="preserve"> 202</w:t>
      </w:r>
      <w:r w:rsidR="002A0344" w:rsidRPr="00FC2211">
        <w:rPr>
          <w:rFonts w:cstheme="minorHAnsi"/>
          <w:szCs w:val="20"/>
        </w:rPr>
        <w:t>3</w:t>
      </w:r>
      <w:r w:rsidR="005B21FF" w:rsidRPr="00FC2211">
        <w:rPr>
          <w:rFonts w:cstheme="minorHAnsi"/>
          <w:szCs w:val="20"/>
        </w:rPr>
        <w:t>,</w:t>
      </w:r>
      <w:r w:rsidR="00FB780D" w:rsidRPr="00FC2211">
        <w:rPr>
          <w:rFonts w:cstheme="minorHAnsi"/>
          <w:szCs w:val="20"/>
        </w:rPr>
        <w:t xml:space="preserve"> </w:t>
      </w:r>
      <w:r w:rsidR="0094014E" w:rsidRPr="00FC2211">
        <w:rPr>
          <w:rFonts w:cstheme="minorHAnsi"/>
          <w:szCs w:val="20"/>
        </w:rPr>
        <w:t>are as follows:</w:t>
      </w:r>
    </w:p>
    <w:p w14:paraId="494657FE" w14:textId="77777777" w:rsidR="00143CCC" w:rsidRPr="00FC2211" w:rsidRDefault="00143CCC" w:rsidP="002B36BD">
      <w:pPr>
        <w:tabs>
          <w:tab w:val="left" w:pos="357"/>
        </w:tabs>
        <w:ind w:left="426"/>
        <w:rPr>
          <w:rFonts w:cstheme="minorHAnsi"/>
          <w:szCs w:val="20"/>
        </w:rPr>
      </w:pPr>
    </w:p>
    <w:tbl>
      <w:tblPr>
        <w:tblW w:w="8300" w:type="dxa"/>
        <w:jc w:val="center"/>
        <w:tblLook w:val="04A0" w:firstRow="1" w:lastRow="0" w:firstColumn="1" w:lastColumn="0" w:noHBand="0" w:noVBand="1"/>
      </w:tblPr>
      <w:tblGrid>
        <w:gridCol w:w="2900"/>
        <w:gridCol w:w="1360"/>
        <w:gridCol w:w="1980"/>
        <w:gridCol w:w="2060"/>
      </w:tblGrid>
      <w:tr w:rsidR="00D50A1E" w:rsidRPr="00FC2211" w14:paraId="35139FBD" w14:textId="77777777" w:rsidTr="00D50A1E">
        <w:trPr>
          <w:trHeight w:val="564"/>
          <w:jc w:val="center"/>
        </w:trPr>
        <w:tc>
          <w:tcPr>
            <w:tcW w:w="2900" w:type="dxa"/>
            <w:tcBorders>
              <w:top w:val="nil"/>
              <w:left w:val="nil"/>
              <w:bottom w:val="single" w:sz="8" w:space="0" w:color="auto"/>
              <w:right w:val="nil"/>
            </w:tcBorders>
            <w:shd w:val="clear" w:color="000000" w:fill="FFFFFF"/>
            <w:vAlign w:val="center"/>
            <w:hideMark/>
          </w:tcPr>
          <w:p w14:paraId="4D4759FC" w14:textId="77777777" w:rsidR="00D50A1E" w:rsidRPr="00FC2211" w:rsidRDefault="00D50A1E" w:rsidP="00D50A1E">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Expiry date</w:t>
            </w:r>
          </w:p>
        </w:tc>
        <w:tc>
          <w:tcPr>
            <w:tcW w:w="1360" w:type="dxa"/>
            <w:tcBorders>
              <w:top w:val="nil"/>
              <w:left w:val="nil"/>
              <w:bottom w:val="single" w:sz="8" w:space="0" w:color="auto"/>
              <w:right w:val="nil"/>
            </w:tcBorders>
            <w:shd w:val="clear" w:color="000000" w:fill="FFFFFF"/>
            <w:vAlign w:val="center"/>
            <w:hideMark/>
          </w:tcPr>
          <w:p w14:paraId="4553F276" w14:textId="77777777" w:rsidR="00D50A1E" w:rsidRPr="00FC2211" w:rsidRDefault="00D50A1E" w:rsidP="00D50A1E">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Number of warrants</w:t>
            </w:r>
          </w:p>
        </w:tc>
        <w:tc>
          <w:tcPr>
            <w:tcW w:w="1980" w:type="dxa"/>
            <w:tcBorders>
              <w:top w:val="nil"/>
              <w:left w:val="nil"/>
              <w:bottom w:val="single" w:sz="8" w:space="0" w:color="auto"/>
              <w:right w:val="nil"/>
            </w:tcBorders>
            <w:shd w:val="clear" w:color="000000" w:fill="FFFFFF"/>
            <w:vAlign w:val="center"/>
            <w:hideMark/>
          </w:tcPr>
          <w:p w14:paraId="40897182" w14:textId="77777777" w:rsidR="00D50A1E" w:rsidRPr="00FC2211" w:rsidRDefault="00D50A1E" w:rsidP="00D50A1E">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Exercise price</w:t>
            </w:r>
          </w:p>
        </w:tc>
        <w:tc>
          <w:tcPr>
            <w:tcW w:w="2060" w:type="dxa"/>
            <w:tcBorders>
              <w:top w:val="nil"/>
              <w:left w:val="nil"/>
              <w:bottom w:val="single" w:sz="8" w:space="0" w:color="auto"/>
              <w:right w:val="nil"/>
            </w:tcBorders>
            <w:shd w:val="clear" w:color="000000" w:fill="FFFFFF"/>
            <w:vAlign w:val="center"/>
            <w:hideMark/>
          </w:tcPr>
          <w:p w14:paraId="73D45D7E" w14:textId="77777777" w:rsidR="00D50A1E" w:rsidRPr="00FC2211" w:rsidRDefault="00D50A1E" w:rsidP="00D50A1E">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Number of warrants exercisable</w:t>
            </w:r>
          </w:p>
        </w:tc>
      </w:tr>
      <w:tr w:rsidR="00D50A1E" w:rsidRPr="00FC2211" w14:paraId="3CC279DA" w14:textId="77777777" w:rsidTr="00D50A1E">
        <w:trPr>
          <w:trHeight w:val="276"/>
          <w:jc w:val="center"/>
        </w:trPr>
        <w:tc>
          <w:tcPr>
            <w:tcW w:w="2900" w:type="dxa"/>
            <w:tcBorders>
              <w:top w:val="nil"/>
              <w:left w:val="nil"/>
              <w:bottom w:val="nil"/>
              <w:right w:val="nil"/>
            </w:tcBorders>
            <w:shd w:val="clear" w:color="000000" w:fill="FFFFFF"/>
            <w:noWrap/>
            <w:vAlign w:val="center"/>
            <w:hideMark/>
          </w:tcPr>
          <w:p w14:paraId="4CE3DDF7" w14:textId="0F395B7F" w:rsidR="00D50A1E" w:rsidRPr="00FC2211" w:rsidRDefault="00D50A1E" w:rsidP="00D50A1E">
            <w:pPr>
              <w:jc w:val="center"/>
              <w:rPr>
                <w:rFonts w:ascii="Calibri" w:hAnsi="Calibri" w:cs="Calibri"/>
                <w:color w:val="000000"/>
                <w:szCs w:val="20"/>
                <w:lang w:val="en-CA" w:eastAsia="en-CA"/>
              </w:rPr>
            </w:pPr>
            <w:r w:rsidRPr="00FC2211">
              <w:rPr>
                <w:rFonts w:ascii="Calibri" w:hAnsi="Calibri" w:cs="Calibri"/>
                <w:color w:val="000000"/>
                <w:szCs w:val="20"/>
                <w:lang w:val="en-CA" w:eastAsia="en-CA"/>
              </w:rPr>
              <w:t>November 17,</w:t>
            </w:r>
            <w:r w:rsidR="006D70C4" w:rsidRPr="00FC2211">
              <w:rPr>
                <w:rFonts w:ascii="Calibri" w:hAnsi="Calibri" w:cs="Calibri"/>
                <w:color w:val="000000"/>
                <w:szCs w:val="20"/>
                <w:lang w:val="en-CA" w:eastAsia="en-CA"/>
              </w:rPr>
              <w:t xml:space="preserve"> </w:t>
            </w:r>
            <w:r w:rsidRPr="00FC2211">
              <w:rPr>
                <w:rFonts w:ascii="Calibri" w:hAnsi="Calibri" w:cs="Calibri"/>
                <w:color w:val="000000"/>
                <w:szCs w:val="20"/>
                <w:lang w:val="en-CA" w:eastAsia="en-CA"/>
              </w:rPr>
              <w:t>2025</w:t>
            </w:r>
          </w:p>
        </w:tc>
        <w:tc>
          <w:tcPr>
            <w:tcW w:w="1360" w:type="dxa"/>
            <w:tcBorders>
              <w:top w:val="nil"/>
              <w:left w:val="nil"/>
              <w:bottom w:val="nil"/>
              <w:right w:val="nil"/>
            </w:tcBorders>
            <w:shd w:val="clear" w:color="000000" w:fill="FFFFFF"/>
            <w:noWrap/>
            <w:vAlign w:val="center"/>
            <w:hideMark/>
          </w:tcPr>
          <w:p w14:paraId="5CC7316F" w14:textId="77777777" w:rsidR="00D50A1E" w:rsidRPr="00FC2211" w:rsidRDefault="00D50A1E" w:rsidP="00D50A1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7,262,500</w:t>
            </w:r>
          </w:p>
        </w:tc>
        <w:tc>
          <w:tcPr>
            <w:tcW w:w="1980" w:type="dxa"/>
            <w:tcBorders>
              <w:top w:val="nil"/>
              <w:left w:val="nil"/>
              <w:bottom w:val="nil"/>
              <w:right w:val="nil"/>
            </w:tcBorders>
            <w:shd w:val="clear" w:color="000000" w:fill="FFFFFF"/>
            <w:noWrap/>
            <w:vAlign w:val="center"/>
            <w:hideMark/>
          </w:tcPr>
          <w:p w14:paraId="60C04DF5" w14:textId="51B7227A" w:rsidR="00D50A1E" w:rsidRPr="00FC2211" w:rsidRDefault="00D50A1E" w:rsidP="002B484B">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$ 0.19 </w:t>
            </w:r>
          </w:p>
        </w:tc>
        <w:tc>
          <w:tcPr>
            <w:tcW w:w="2060" w:type="dxa"/>
            <w:tcBorders>
              <w:top w:val="nil"/>
              <w:left w:val="nil"/>
              <w:bottom w:val="nil"/>
              <w:right w:val="nil"/>
            </w:tcBorders>
            <w:shd w:val="clear" w:color="000000" w:fill="FFFFFF"/>
            <w:vAlign w:val="center"/>
            <w:hideMark/>
          </w:tcPr>
          <w:p w14:paraId="4C7B99A7" w14:textId="77777777" w:rsidR="00D50A1E" w:rsidRPr="00FC2211" w:rsidRDefault="00D50A1E" w:rsidP="00D50A1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7,262,500</w:t>
            </w:r>
          </w:p>
        </w:tc>
      </w:tr>
      <w:tr w:rsidR="00D50A1E" w:rsidRPr="00FC2211" w14:paraId="33355EEE" w14:textId="77777777" w:rsidTr="00D50A1E">
        <w:trPr>
          <w:trHeight w:val="276"/>
          <w:jc w:val="center"/>
        </w:trPr>
        <w:tc>
          <w:tcPr>
            <w:tcW w:w="2900" w:type="dxa"/>
            <w:tcBorders>
              <w:top w:val="nil"/>
              <w:left w:val="nil"/>
              <w:bottom w:val="nil"/>
              <w:right w:val="nil"/>
            </w:tcBorders>
            <w:shd w:val="clear" w:color="000000" w:fill="FFFFFF"/>
            <w:noWrap/>
            <w:vAlign w:val="center"/>
            <w:hideMark/>
          </w:tcPr>
          <w:p w14:paraId="0BC98667" w14:textId="63109666" w:rsidR="00D50A1E" w:rsidRPr="00FC2211" w:rsidRDefault="00D50A1E" w:rsidP="00D50A1E">
            <w:pPr>
              <w:jc w:val="center"/>
              <w:rPr>
                <w:rFonts w:ascii="Calibri" w:hAnsi="Calibri" w:cs="Calibri"/>
                <w:color w:val="000000"/>
                <w:szCs w:val="20"/>
                <w:lang w:val="en-CA" w:eastAsia="en-CA"/>
              </w:rPr>
            </w:pPr>
            <w:r w:rsidRPr="00FC2211">
              <w:rPr>
                <w:rFonts w:ascii="Calibri" w:hAnsi="Calibri" w:cs="Calibri"/>
                <w:color w:val="000000"/>
                <w:szCs w:val="20"/>
                <w:lang w:val="en-CA" w:eastAsia="en-CA"/>
              </w:rPr>
              <w:t>November 17, 2025</w:t>
            </w:r>
          </w:p>
        </w:tc>
        <w:tc>
          <w:tcPr>
            <w:tcW w:w="1360" w:type="dxa"/>
            <w:tcBorders>
              <w:top w:val="nil"/>
              <w:left w:val="nil"/>
              <w:bottom w:val="nil"/>
              <w:right w:val="nil"/>
            </w:tcBorders>
            <w:shd w:val="clear" w:color="000000" w:fill="FFFFFF"/>
            <w:noWrap/>
            <w:vAlign w:val="center"/>
            <w:hideMark/>
          </w:tcPr>
          <w:p w14:paraId="4D35C79A" w14:textId="77777777" w:rsidR="00D50A1E" w:rsidRPr="00FC2211" w:rsidRDefault="00D50A1E" w:rsidP="00D50A1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923,721</w:t>
            </w:r>
          </w:p>
        </w:tc>
        <w:tc>
          <w:tcPr>
            <w:tcW w:w="1980" w:type="dxa"/>
            <w:tcBorders>
              <w:top w:val="nil"/>
              <w:left w:val="nil"/>
              <w:bottom w:val="nil"/>
              <w:right w:val="nil"/>
            </w:tcBorders>
            <w:shd w:val="clear" w:color="000000" w:fill="FFFFFF"/>
            <w:noWrap/>
            <w:vAlign w:val="center"/>
            <w:hideMark/>
          </w:tcPr>
          <w:p w14:paraId="233742E7" w14:textId="29BCFBF3" w:rsidR="00D50A1E" w:rsidRPr="00FC2211" w:rsidRDefault="00D50A1E" w:rsidP="002B484B">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0.12 </w:t>
            </w:r>
          </w:p>
        </w:tc>
        <w:tc>
          <w:tcPr>
            <w:tcW w:w="2060" w:type="dxa"/>
            <w:tcBorders>
              <w:top w:val="nil"/>
              <w:left w:val="nil"/>
              <w:bottom w:val="nil"/>
              <w:right w:val="nil"/>
            </w:tcBorders>
            <w:shd w:val="clear" w:color="000000" w:fill="FFFFFF"/>
            <w:vAlign w:val="center"/>
            <w:hideMark/>
          </w:tcPr>
          <w:p w14:paraId="1A0E573C" w14:textId="77777777" w:rsidR="00D50A1E" w:rsidRPr="00FC2211" w:rsidRDefault="00D50A1E" w:rsidP="00D50A1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923,721</w:t>
            </w:r>
          </w:p>
        </w:tc>
      </w:tr>
      <w:tr w:rsidR="00D50A1E" w:rsidRPr="00FC2211" w14:paraId="72C4ED62" w14:textId="77777777" w:rsidTr="00D50A1E">
        <w:trPr>
          <w:trHeight w:val="288"/>
          <w:jc w:val="center"/>
        </w:trPr>
        <w:tc>
          <w:tcPr>
            <w:tcW w:w="2900" w:type="dxa"/>
            <w:tcBorders>
              <w:top w:val="single" w:sz="4" w:space="0" w:color="auto"/>
              <w:left w:val="nil"/>
              <w:bottom w:val="single" w:sz="8" w:space="0" w:color="auto"/>
              <w:right w:val="nil"/>
            </w:tcBorders>
            <w:shd w:val="clear" w:color="000000" w:fill="FFFFFF"/>
            <w:noWrap/>
            <w:vAlign w:val="center"/>
            <w:hideMark/>
          </w:tcPr>
          <w:p w14:paraId="2187AAE7" w14:textId="77777777" w:rsidR="00D50A1E" w:rsidRPr="00FC2211" w:rsidRDefault="00D50A1E" w:rsidP="00D50A1E">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1360" w:type="dxa"/>
            <w:tcBorders>
              <w:top w:val="single" w:sz="4" w:space="0" w:color="auto"/>
              <w:left w:val="nil"/>
              <w:bottom w:val="single" w:sz="8" w:space="0" w:color="auto"/>
              <w:right w:val="nil"/>
            </w:tcBorders>
            <w:shd w:val="clear" w:color="000000" w:fill="FFFFFF"/>
            <w:noWrap/>
            <w:vAlign w:val="center"/>
            <w:hideMark/>
          </w:tcPr>
          <w:p w14:paraId="6CB41C9C" w14:textId="77777777" w:rsidR="00D50A1E" w:rsidRPr="00FC2211" w:rsidRDefault="00D50A1E" w:rsidP="00D50A1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8,186,221</w:t>
            </w:r>
          </w:p>
        </w:tc>
        <w:tc>
          <w:tcPr>
            <w:tcW w:w="1980" w:type="dxa"/>
            <w:tcBorders>
              <w:top w:val="single" w:sz="4" w:space="0" w:color="auto"/>
              <w:left w:val="nil"/>
              <w:bottom w:val="single" w:sz="8" w:space="0" w:color="auto"/>
              <w:right w:val="nil"/>
            </w:tcBorders>
            <w:shd w:val="clear" w:color="000000" w:fill="FFFFFF"/>
            <w:noWrap/>
            <w:vAlign w:val="center"/>
            <w:hideMark/>
          </w:tcPr>
          <w:p w14:paraId="54BA6B75" w14:textId="77777777" w:rsidR="00D50A1E" w:rsidRPr="00FC2211" w:rsidRDefault="00D50A1E" w:rsidP="00D50A1E">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2060" w:type="dxa"/>
            <w:tcBorders>
              <w:top w:val="single" w:sz="4" w:space="0" w:color="auto"/>
              <w:left w:val="nil"/>
              <w:bottom w:val="single" w:sz="8" w:space="0" w:color="auto"/>
              <w:right w:val="nil"/>
            </w:tcBorders>
            <w:shd w:val="clear" w:color="auto" w:fill="auto"/>
            <w:noWrap/>
            <w:vAlign w:val="center"/>
            <w:hideMark/>
          </w:tcPr>
          <w:p w14:paraId="0EB938CE" w14:textId="77777777" w:rsidR="00D50A1E" w:rsidRPr="00FC2211" w:rsidRDefault="00D50A1E" w:rsidP="00D50A1E">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8,186,221</w:t>
            </w:r>
          </w:p>
        </w:tc>
      </w:tr>
    </w:tbl>
    <w:p w14:paraId="12CE0498" w14:textId="0C4B7373" w:rsidR="004F5249" w:rsidRPr="00FC2211" w:rsidRDefault="004F5249" w:rsidP="004F5249">
      <w:pPr>
        <w:pStyle w:val="Heading1"/>
        <w:rPr>
          <w:rFonts w:cstheme="minorHAnsi"/>
          <w:szCs w:val="20"/>
          <w:lang w:val="en-GB"/>
        </w:rPr>
      </w:pPr>
      <w:r w:rsidRPr="00FC2211">
        <w:rPr>
          <w:rFonts w:cstheme="minorHAnsi"/>
          <w:szCs w:val="20"/>
          <w:lang w:val="en-GB"/>
        </w:rPr>
        <w:t>1</w:t>
      </w:r>
      <w:r w:rsidR="004519E9" w:rsidRPr="00FC2211">
        <w:rPr>
          <w:rFonts w:cstheme="minorHAnsi"/>
          <w:szCs w:val="20"/>
          <w:lang w:val="en-GB"/>
        </w:rPr>
        <w:t>6</w:t>
      </w:r>
      <w:r w:rsidRPr="00FC2211">
        <w:rPr>
          <w:rFonts w:cstheme="minorHAnsi"/>
          <w:szCs w:val="20"/>
          <w:lang w:val="en-GB"/>
        </w:rPr>
        <w:t xml:space="preserve">. </w:t>
      </w:r>
      <w:r w:rsidR="00792C01" w:rsidRPr="00FC2211">
        <w:rPr>
          <w:rFonts w:cstheme="minorHAnsi"/>
          <w:szCs w:val="20"/>
          <w:lang w:val="en-GB"/>
        </w:rPr>
        <w:t xml:space="preserve"> </w:t>
      </w:r>
      <w:r w:rsidRPr="00FC2211">
        <w:rPr>
          <w:rFonts w:cstheme="minorHAnsi"/>
          <w:szCs w:val="20"/>
          <w:lang w:val="en-GB"/>
        </w:rPr>
        <w:t xml:space="preserve"> BREAKDOWN OF EXPENSES </w:t>
      </w:r>
    </w:p>
    <w:p w14:paraId="049303D4" w14:textId="77777777" w:rsidR="00A16401" w:rsidRPr="00FC2211" w:rsidRDefault="00A16401" w:rsidP="00A16401">
      <w:pPr>
        <w:rPr>
          <w:lang w:val="en-GB"/>
        </w:rPr>
      </w:pPr>
    </w:p>
    <w:p w14:paraId="17068FDE" w14:textId="77777777" w:rsidR="005F0975" w:rsidRPr="00FC2211" w:rsidRDefault="005A5ED1" w:rsidP="002B36BD">
      <w:pPr>
        <w:ind w:left="426"/>
        <w:rPr>
          <w:rFonts w:cstheme="minorHAnsi"/>
          <w:szCs w:val="20"/>
        </w:rPr>
      </w:pPr>
      <w:r w:rsidRPr="00FC2211">
        <w:rPr>
          <w:rFonts w:cstheme="minorHAnsi"/>
          <w:szCs w:val="20"/>
        </w:rPr>
        <w:t>General and administrative expenses are composed of the following</w:t>
      </w:r>
      <w:r w:rsidR="00F36EA7" w:rsidRPr="00FC2211">
        <w:rPr>
          <w:rFonts w:cstheme="minorHAnsi"/>
          <w:szCs w:val="20"/>
        </w:rPr>
        <w:t>:</w:t>
      </w:r>
    </w:p>
    <w:p w14:paraId="55695F36" w14:textId="77777777" w:rsidR="00210933" w:rsidRPr="00FC2211" w:rsidRDefault="00210933" w:rsidP="002B36BD">
      <w:pPr>
        <w:ind w:left="426"/>
        <w:rPr>
          <w:rFonts w:cstheme="minorHAnsi"/>
          <w:szCs w:val="20"/>
        </w:rPr>
      </w:pPr>
    </w:p>
    <w:tbl>
      <w:tblPr>
        <w:tblW w:w="9061" w:type="dxa"/>
        <w:tblLook w:val="04A0" w:firstRow="1" w:lastRow="0" w:firstColumn="1" w:lastColumn="0" w:noHBand="0" w:noVBand="1"/>
      </w:tblPr>
      <w:tblGrid>
        <w:gridCol w:w="3836"/>
        <w:gridCol w:w="1348"/>
        <w:gridCol w:w="1346"/>
        <w:gridCol w:w="1266"/>
        <w:gridCol w:w="1265"/>
      </w:tblGrid>
      <w:tr w:rsidR="00FC2BEC" w:rsidRPr="00FC2211" w14:paraId="2810003D" w14:textId="77777777" w:rsidTr="00FC2BEC">
        <w:trPr>
          <w:trHeight w:val="528"/>
        </w:trPr>
        <w:tc>
          <w:tcPr>
            <w:tcW w:w="3836" w:type="dxa"/>
            <w:tcBorders>
              <w:top w:val="nil"/>
              <w:left w:val="nil"/>
              <w:bottom w:val="single" w:sz="4" w:space="0" w:color="auto"/>
              <w:right w:val="nil"/>
            </w:tcBorders>
            <w:shd w:val="clear" w:color="auto" w:fill="auto"/>
            <w:noWrap/>
            <w:vAlign w:val="center"/>
            <w:hideMark/>
          </w:tcPr>
          <w:p w14:paraId="035F1ECC" w14:textId="77777777" w:rsidR="00FC2BEC" w:rsidRPr="00FC2211" w:rsidRDefault="00FC2BEC" w:rsidP="00FC2BEC">
            <w:pPr>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w:t>
            </w:r>
          </w:p>
        </w:tc>
        <w:tc>
          <w:tcPr>
            <w:tcW w:w="2694" w:type="dxa"/>
            <w:gridSpan w:val="2"/>
            <w:tcBorders>
              <w:top w:val="nil"/>
              <w:left w:val="nil"/>
              <w:bottom w:val="single" w:sz="4" w:space="0" w:color="auto"/>
              <w:right w:val="nil"/>
            </w:tcBorders>
            <w:shd w:val="clear" w:color="auto" w:fill="auto"/>
            <w:vAlign w:val="center"/>
            <w:hideMark/>
          </w:tcPr>
          <w:p w14:paraId="732D29DC" w14:textId="77777777" w:rsidR="00FC2BEC" w:rsidRPr="00FC2211" w:rsidRDefault="00FC2BEC" w:rsidP="00FC2BEC">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For the three months ended December 31</w:t>
            </w:r>
          </w:p>
        </w:tc>
        <w:tc>
          <w:tcPr>
            <w:tcW w:w="2531" w:type="dxa"/>
            <w:gridSpan w:val="2"/>
            <w:tcBorders>
              <w:top w:val="nil"/>
              <w:left w:val="nil"/>
              <w:bottom w:val="single" w:sz="4" w:space="0" w:color="auto"/>
              <w:right w:val="nil"/>
            </w:tcBorders>
            <w:shd w:val="clear" w:color="auto" w:fill="auto"/>
            <w:vAlign w:val="center"/>
            <w:hideMark/>
          </w:tcPr>
          <w:p w14:paraId="26ABCE24" w14:textId="77777777" w:rsidR="00FC2BEC" w:rsidRPr="00FC2211" w:rsidRDefault="00FC2BEC" w:rsidP="00FC2BEC">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For the six months ended December 31</w:t>
            </w:r>
          </w:p>
        </w:tc>
      </w:tr>
      <w:tr w:rsidR="00FC2BEC" w:rsidRPr="00FC2211" w14:paraId="161BD891" w14:textId="77777777" w:rsidTr="00FC2BEC">
        <w:trPr>
          <w:trHeight w:val="252"/>
        </w:trPr>
        <w:tc>
          <w:tcPr>
            <w:tcW w:w="3836" w:type="dxa"/>
            <w:tcBorders>
              <w:top w:val="nil"/>
              <w:left w:val="nil"/>
              <w:bottom w:val="single" w:sz="8" w:space="0" w:color="auto"/>
              <w:right w:val="nil"/>
            </w:tcBorders>
            <w:shd w:val="clear" w:color="auto" w:fill="auto"/>
            <w:noWrap/>
            <w:vAlign w:val="center"/>
            <w:hideMark/>
          </w:tcPr>
          <w:p w14:paraId="08E5F0BE" w14:textId="77777777" w:rsidR="00FC2BEC" w:rsidRPr="00FC2211" w:rsidRDefault="00FC2BEC" w:rsidP="00FC2BEC">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w:t>
            </w:r>
          </w:p>
        </w:tc>
        <w:tc>
          <w:tcPr>
            <w:tcW w:w="1348" w:type="dxa"/>
            <w:tcBorders>
              <w:top w:val="nil"/>
              <w:left w:val="nil"/>
              <w:bottom w:val="single" w:sz="8" w:space="0" w:color="auto"/>
              <w:right w:val="nil"/>
            </w:tcBorders>
            <w:shd w:val="clear" w:color="auto" w:fill="auto"/>
            <w:vAlign w:val="center"/>
            <w:hideMark/>
          </w:tcPr>
          <w:p w14:paraId="78514E8F" w14:textId="77777777" w:rsidR="00FC2BEC" w:rsidRPr="00FC2211" w:rsidRDefault="00FC2BEC" w:rsidP="00FC2BEC">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2023</w:t>
            </w:r>
          </w:p>
        </w:tc>
        <w:tc>
          <w:tcPr>
            <w:tcW w:w="1346" w:type="dxa"/>
            <w:tcBorders>
              <w:top w:val="nil"/>
              <w:left w:val="nil"/>
              <w:bottom w:val="single" w:sz="8" w:space="0" w:color="auto"/>
              <w:right w:val="nil"/>
            </w:tcBorders>
            <w:shd w:val="clear" w:color="auto" w:fill="auto"/>
            <w:vAlign w:val="center"/>
            <w:hideMark/>
          </w:tcPr>
          <w:p w14:paraId="623FC43A" w14:textId="77777777" w:rsidR="00FC2BEC" w:rsidRPr="00FC2211" w:rsidRDefault="00FC2BEC" w:rsidP="00FC2BEC">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2022</w:t>
            </w:r>
          </w:p>
        </w:tc>
        <w:tc>
          <w:tcPr>
            <w:tcW w:w="1266" w:type="dxa"/>
            <w:tcBorders>
              <w:top w:val="nil"/>
              <w:left w:val="nil"/>
              <w:bottom w:val="single" w:sz="8" w:space="0" w:color="auto"/>
              <w:right w:val="nil"/>
            </w:tcBorders>
            <w:shd w:val="clear" w:color="auto" w:fill="auto"/>
            <w:vAlign w:val="center"/>
            <w:hideMark/>
          </w:tcPr>
          <w:p w14:paraId="4357BDB6" w14:textId="77777777" w:rsidR="00FC2BEC" w:rsidRPr="00FC2211" w:rsidRDefault="00FC2BEC" w:rsidP="00FC2BEC">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2023</w:t>
            </w:r>
          </w:p>
        </w:tc>
        <w:tc>
          <w:tcPr>
            <w:tcW w:w="1265" w:type="dxa"/>
            <w:tcBorders>
              <w:top w:val="nil"/>
              <w:left w:val="nil"/>
              <w:bottom w:val="single" w:sz="8" w:space="0" w:color="auto"/>
              <w:right w:val="nil"/>
            </w:tcBorders>
            <w:shd w:val="clear" w:color="auto" w:fill="auto"/>
            <w:vAlign w:val="center"/>
            <w:hideMark/>
          </w:tcPr>
          <w:p w14:paraId="1815C463" w14:textId="77777777" w:rsidR="00FC2BEC" w:rsidRPr="00FC2211" w:rsidRDefault="00FC2BEC" w:rsidP="00FC2BEC">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2022</w:t>
            </w:r>
          </w:p>
        </w:tc>
      </w:tr>
      <w:tr w:rsidR="00FC2BEC" w:rsidRPr="00FC2211" w14:paraId="61811031" w14:textId="77777777" w:rsidTr="00FC2BEC">
        <w:trPr>
          <w:trHeight w:val="240"/>
        </w:trPr>
        <w:tc>
          <w:tcPr>
            <w:tcW w:w="3836" w:type="dxa"/>
            <w:tcBorders>
              <w:top w:val="nil"/>
              <w:left w:val="nil"/>
              <w:bottom w:val="nil"/>
              <w:right w:val="nil"/>
            </w:tcBorders>
            <w:shd w:val="clear" w:color="auto" w:fill="auto"/>
            <w:noWrap/>
            <w:vAlign w:val="center"/>
            <w:hideMark/>
          </w:tcPr>
          <w:p w14:paraId="454FFAE8" w14:textId="77777777" w:rsidR="00FC2BEC" w:rsidRPr="00FC2211" w:rsidRDefault="00FC2BEC" w:rsidP="00FC2BEC">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Remuneration and benefits (Note 17)</w:t>
            </w:r>
          </w:p>
        </w:tc>
        <w:tc>
          <w:tcPr>
            <w:tcW w:w="1348" w:type="dxa"/>
            <w:tcBorders>
              <w:top w:val="nil"/>
              <w:left w:val="nil"/>
              <w:bottom w:val="nil"/>
              <w:right w:val="nil"/>
            </w:tcBorders>
            <w:shd w:val="clear" w:color="auto" w:fill="auto"/>
            <w:noWrap/>
            <w:vAlign w:val="center"/>
            <w:hideMark/>
          </w:tcPr>
          <w:p w14:paraId="28597405" w14:textId="72300A5B" w:rsidR="00FC2BEC" w:rsidRPr="00FC2211" w:rsidRDefault="00FC2BEC" w:rsidP="00FC2BEC">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146,905 </w:t>
            </w:r>
          </w:p>
        </w:tc>
        <w:tc>
          <w:tcPr>
            <w:tcW w:w="1346" w:type="dxa"/>
            <w:tcBorders>
              <w:top w:val="nil"/>
              <w:left w:val="nil"/>
              <w:bottom w:val="nil"/>
              <w:right w:val="nil"/>
            </w:tcBorders>
            <w:shd w:val="clear" w:color="auto" w:fill="auto"/>
            <w:noWrap/>
            <w:vAlign w:val="center"/>
            <w:hideMark/>
          </w:tcPr>
          <w:p w14:paraId="0AC4A036" w14:textId="7AA8C8C2" w:rsidR="00FC2BEC" w:rsidRPr="00FC2211" w:rsidRDefault="00FC2BEC" w:rsidP="00FC2BEC">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277,352 </w:t>
            </w:r>
          </w:p>
        </w:tc>
        <w:tc>
          <w:tcPr>
            <w:tcW w:w="1266" w:type="dxa"/>
            <w:tcBorders>
              <w:top w:val="nil"/>
              <w:left w:val="nil"/>
              <w:bottom w:val="nil"/>
              <w:right w:val="nil"/>
            </w:tcBorders>
            <w:shd w:val="clear" w:color="auto" w:fill="auto"/>
            <w:noWrap/>
            <w:vAlign w:val="center"/>
            <w:hideMark/>
          </w:tcPr>
          <w:p w14:paraId="3442FA87" w14:textId="6F3AA158" w:rsidR="00FC2BEC" w:rsidRPr="00FC2211" w:rsidRDefault="00FC2BEC" w:rsidP="00FC2BEC">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305,299 </w:t>
            </w:r>
          </w:p>
        </w:tc>
        <w:tc>
          <w:tcPr>
            <w:tcW w:w="1265" w:type="dxa"/>
            <w:tcBorders>
              <w:top w:val="nil"/>
              <w:left w:val="nil"/>
              <w:bottom w:val="nil"/>
              <w:right w:val="nil"/>
            </w:tcBorders>
            <w:shd w:val="clear" w:color="auto" w:fill="auto"/>
            <w:noWrap/>
            <w:vAlign w:val="center"/>
            <w:hideMark/>
          </w:tcPr>
          <w:p w14:paraId="0891EEC1" w14:textId="3520BA39" w:rsidR="00FC2BEC" w:rsidRPr="00FC2211" w:rsidRDefault="00FC2BEC" w:rsidP="00FC2BEC">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$ 431,288 </w:t>
            </w:r>
          </w:p>
        </w:tc>
      </w:tr>
      <w:tr w:rsidR="00B55560" w:rsidRPr="00FC2211" w14:paraId="33C694E2" w14:textId="77777777" w:rsidTr="002721C3">
        <w:trPr>
          <w:trHeight w:val="288"/>
        </w:trPr>
        <w:tc>
          <w:tcPr>
            <w:tcW w:w="3836" w:type="dxa"/>
            <w:tcBorders>
              <w:top w:val="nil"/>
              <w:left w:val="nil"/>
              <w:bottom w:val="nil"/>
              <w:right w:val="nil"/>
            </w:tcBorders>
            <w:shd w:val="clear" w:color="auto" w:fill="auto"/>
            <w:noWrap/>
            <w:vAlign w:val="center"/>
            <w:hideMark/>
          </w:tcPr>
          <w:p w14:paraId="32709A95" w14:textId="77777777" w:rsidR="00B55560" w:rsidRPr="00FC2211" w:rsidRDefault="00B55560" w:rsidP="002721C3">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Amortization and depreciation (Note 9,20)</w:t>
            </w:r>
          </w:p>
        </w:tc>
        <w:tc>
          <w:tcPr>
            <w:tcW w:w="1348" w:type="dxa"/>
            <w:tcBorders>
              <w:top w:val="nil"/>
              <w:left w:val="nil"/>
              <w:bottom w:val="nil"/>
              <w:right w:val="nil"/>
            </w:tcBorders>
            <w:shd w:val="clear" w:color="auto" w:fill="auto"/>
            <w:noWrap/>
            <w:vAlign w:val="center"/>
            <w:hideMark/>
          </w:tcPr>
          <w:p w14:paraId="24E70F43" w14:textId="77777777" w:rsidR="00B55560" w:rsidRPr="00FC2211" w:rsidRDefault="00B55560" w:rsidP="002721C3">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104,363 </w:t>
            </w:r>
          </w:p>
        </w:tc>
        <w:tc>
          <w:tcPr>
            <w:tcW w:w="1346" w:type="dxa"/>
            <w:tcBorders>
              <w:top w:val="nil"/>
              <w:left w:val="nil"/>
              <w:bottom w:val="nil"/>
              <w:right w:val="nil"/>
            </w:tcBorders>
            <w:shd w:val="clear" w:color="auto" w:fill="auto"/>
            <w:noWrap/>
            <w:vAlign w:val="center"/>
            <w:hideMark/>
          </w:tcPr>
          <w:p w14:paraId="4F413B9B" w14:textId="77777777" w:rsidR="00B55560" w:rsidRPr="00FC2211" w:rsidRDefault="00B55560" w:rsidP="002721C3">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56,211 </w:t>
            </w:r>
          </w:p>
        </w:tc>
        <w:tc>
          <w:tcPr>
            <w:tcW w:w="1266" w:type="dxa"/>
            <w:tcBorders>
              <w:top w:val="nil"/>
              <w:left w:val="nil"/>
              <w:bottom w:val="nil"/>
              <w:right w:val="nil"/>
            </w:tcBorders>
            <w:shd w:val="clear" w:color="auto" w:fill="auto"/>
            <w:noWrap/>
            <w:vAlign w:val="center"/>
            <w:hideMark/>
          </w:tcPr>
          <w:p w14:paraId="149880FA" w14:textId="77777777" w:rsidR="00B55560" w:rsidRPr="00FC2211" w:rsidRDefault="00B55560" w:rsidP="002721C3">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202,632 </w:t>
            </w:r>
          </w:p>
        </w:tc>
        <w:tc>
          <w:tcPr>
            <w:tcW w:w="1265" w:type="dxa"/>
            <w:tcBorders>
              <w:top w:val="nil"/>
              <w:left w:val="nil"/>
              <w:bottom w:val="nil"/>
              <w:right w:val="nil"/>
            </w:tcBorders>
            <w:shd w:val="clear" w:color="auto" w:fill="auto"/>
            <w:noWrap/>
            <w:vAlign w:val="center"/>
            <w:hideMark/>
          </w:tcPr>
          <w:p w14:paraId="3998BE3A" w14:textId="77777777" w:rsidR="00B55560" w:rsidRPr="00FC2211" w:rsidRDefault="00B55560" w:rsidP="002721C3">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99,941 </w:t>
            </w:r>
          </w:p>
        </w:tc>
      </w:tr>
      <w:tr w:rsidR="00FC2BEC" w:rsidRPr="00FC2211" w14:paraId="0095C906" w14:textId="77777777" w:rsidTr="00FC2BEC">
        <w:trPr>
          <w:trHeight w:val="240"/>
        </w:trPr>
        <w:tc>
          <w:tcPr>
            <w:tcW w:w="3836" w:type="dxa"/>
            <w:tcBorders>
              <w:top w:val="nil"/>
              <w:left w:val="nil"/>
              <w:bottom w:val="nil"/>
              <w:right w:val="nil"/>
            </w:tcBorders>
            <w:shd w:val="clear" w:color="auto" w:fill="auto"/>
            <w:noWrap/>
            <w:vAlign w:val="center"/>
            <w:hideMark/>
          </w:tcPr>
          <w:p w14:paraId="2F571CD7" w14:textId="77777777" w:rsidR="00FC2BEC" w:rsidRPr="00FC2211" w:rsidRDefault="00FC2BEC" w:rsidP="00FC2BEC">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Office expenses</w:t>
            </w:r>
          </w:p>
        </w:tc>
        <w:tc>
          <w:tcPr>
            <w:tcW w:w="1348" w:type="dxa"/>
            <w:tcBorders>
              <w:top w:val="nil"/>
              <w:left w:val="nil"/>
              <w:bottom w:val="nil"/>
              <w:right w:val="nil"/>
            </w:tcBorders>
            <w:shd w:val="clear" w:color="auto" w:fill="auto"/>
            <w:noWrap/>
            <w:vAlign w:val="center"/>
            <w:hideMark/>
          </w:tcPr>
          <w:p w14:paraId="3BFA334E" w14:textId="6AAA6951" w:rsidR="00FC2BEC" w:rsidRPr="00FC2211" w:rsidRDefault="00FC2BEC" w:rsidP="00FC2BEC">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80,</w:t>
            </w:r>
            <w:r w:rsidR="00B55560" w:rsidRPr="00FC2211">
              <w:rPr>
                <w:rFonts w:ascii="Calibri" w:hAnsi="Calibri" w:cs="Calibri"/>
                <w:b/>
                <w:bCs/>
                <w:color w:val="000000"/>
                <w:sz w:val="18"/>
                <w:szCs w:val="18"/>
                <w:lang w:val="en-CA" w:eastAsia="en-CA"/>
              </w:rPr>
              <w:t>108</w:t>
            </w:r>
            <w:r w:rsidRPr="00FC2211">
              <w:rPr>
                <w:rFonts w:ascii="Calibri" w:hAnsi="Calibri" w:cs="Calibri"/>
                <w:b/>
                <w:bCs/>
                <w:color w:val="000000"/>
                <w:sz w:val="18"/>
                <w:szCs w:val="18"/>
                <w:lang w:val="en-CA" w:eastAsia="en-CA"/>
              </w:rPr>
              <w:t xml:space="preserve"> </w:t>
            </w:r>
          </w:p>
        </w:tc>
        <w:tc>
          <w:tcPr>
            <w:tcW w:w="1346" w:type="dxa"/>
            <w:tcBorders>
              <w:top w:val="nil"/>
              <w:left w:val="nil"/>
              <w:bottom w:val="nil"/>
              <w:right w:val="nil"/>
            </w:tcBorders>
            <w:shd w:val="clear" w:color="auto" w:fill="auto"/>
            <w:noWrap/>
            <w:vAlign w:val="center"/>
            <w:hideMark/>
          </w:tcPr>
          <w:p w14:paraId="088F10F4" w14:textId="22F23B4B" w:rsidR="00FC2BEC" w:rsidRPr="00FC2211" w:rsidRDefault="00FC2BEC" w:rsidP="00FC2BEC">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72,618 </w:t>
            </w:r>
          </w:p>
        </w:tc>
        <w:tc>
          <w:tcPr>
            <w:tcW w:w="1266" w:type="dxa"/>
            <w:tcBorders>
              <w:top w:val="nil"/>
              <w:left w:val="nil"/>
              <w:bottom w:val="nil"/>
              <w:right w:val="nil"/>
            </w:tcBorders>
            <w:shd w:val="clear" w:color="auto" w:fill="auto"/>
            <w:noWrap/>
            <w:vAlign w:val="center"/>
            <w:hideMark/>
          </w:tcPr>
          <w:p w14:paraId="738A1D68" w14:textId="16EE75EA" w:rsidR="00FC2BEC" w:rsidRPr="00FC2211" w:rsidRDefault="00FC2BEC" w:rsidP="00FC2BEC">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163,8</w:t>
            </w:r>
            <w:r w:rsidR="00B55560" w:rsidRPr="00FC2211">
              <w:rPr>
                <w:rFonts w:ascii="Calibri" w:hAnsi="Calibri" w:cs="Calibri"/>
                <w:b/>
                <w:bCs/>
                <w:color w:val="000000"/>
                <w:sz w:val="18"/>
                <w:szCs w:val="18"/>
                <w:lang w:val="en-CA" w:eastAsia="en-CA"/>
              </w:rPr>
              <w:t>69</w:t>
            </w:r>
            <w:r w:rsidRPr="00FC2211">
              <w:rPr>
                <w:rFonts w:ascii="Calibri" w:hAnsi="Calibri" w:cs="Calibri"/>
                <w:b/>
                <w:bCs/>
                <w:color w:val="000000"/>
                <w:sz w:val="18"/>
                <w:szCs w:val="18"/>
                <w:lang w:val="en-CA" w:eastAsia="en-CA"/>
              </w:rPr>
              <w:t xml:space="preserve"> </w:t>
            </w:r>
          </w:p>
        </w:tc>
        <w:tc>
          <w:tcPr>
            <w:tcW w:w="1265" w:type="dxa"/>
            <w:tcBorders>
              <w:top w:val="nil"/>
              <w:left w:val="nil"/>
              <w:bottom w:val="nil"/>
              <w:right w:val="nil"/>
            </w:tcBorders>
            <w:shd w:val="clear" w:color="auto" w:fill="auto"/>
            <w:noWrap/>
            <w:vAlign w:val="center"/>
            <w:hideMark/>
          </w:tcPr>
          <w:p w14:paraId="14970489" w14:textId="244A9442" w:rsidR="00FC2BEC" w:rsidRPr="00FC2211" w:rsidRDefault="00FC2BEC" w:rsidP="00FC2BEC">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137,593 </w:t>
            </w:r>
          </w:p>
        </w:tc>
      </w:tr>
      <w:tr w:rsidR="00B55560" w:rsidRPr="00FC2211" w14:paraId="28044B60" w14:textId="77777777" w:rsidTr="002721C3">
        <w:trPr>
          <w:trHeight w:val="240"/>
        </w:trPr>
        <w:tc>
          <w:tcPr>
            <w:tcW w:w="3836" w:type="dxa"/>
            <w:tcBorders>
              <w:top w:val="nil"/>
              <w:left w:val="nil"/>
              <w:bottom w:val="nil"/>
              <w:right w:val="nil"/>
            </w:tcBorders>
            <w:shd w:val="clear" w:color="auto" w:fill="auto"/>
            <w:noWrap/>
            <w:vAlign w:val="bottom"/>
            <w:hideMark/>
          </w:tcPr>
          <w:p w14:paraId="759D9E3C" w14:textId="77777777" w:rsidR="00B55560" w:rsidRPr="00FC2211" w:rsidRDefault="00B55560" w:rsidP="002721C3">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Stock-based compensation (Note 15,17)</w:t>
            </w:r>
          </w:p>
        </w:tc>
        <w:tc>
          <w:tcPr>
            <w:tcW w:w="1348" w:type="dxa"/>
            <w:tcBorders>
              <w:top w:val="nil"/>
              <w:left w:val="nil"/>
              <w:bottom w:val="nil"/>
              <w:right w:val="nil"/>
            </w:tcBorders>
            <w:shd w:val="clear" w:color="auto" w:fill="auto"/>
            <w:noWrap/>
            <w:vAlign w:val="bottom"/>
            <w:hideMark/>
          </w:tcPr>
          <w:p w14:paraId="3ACC6A98" w14:textId="77777777" w:rsidR="00B55560" w:rsidRPr="00FC2211" w:rsidRDefault="00B55560" w:rsidP="002721C3">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51,472 </w:t>
            </w:r>
          </w:p>
        </w:tc>
        <w:tc>
          <w:tcPr>
            <w:tcW w:w="1346" w:type="dxa"/>
            <w:tcBorders>
              <w:top w:val="nil"/>
              <w:left w:val="nil"/>
              <w:bottom w:val="nil"/>
              <w:right w:val="nil"/>
            </w:tcBorders>
            <w:shd w:val="clear" w:color="auto" w:fill="auto"/>
            <w:noWrap/>
            <w:vAlign w:val="bottom"/>
            <w:hideMark/>
          </w:tcPr>
          <w:p w14:paraId="4F221A5E" w14:textId="77777777" w:rsidR="00B55560" w:rsidRPr="00FC2211" w:rsidRDefault="00B55560" w:rsidP="002721C3">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17,453 </w:t>
            </w:r>
          </w:p>
        </w:tc>
        <w:tc>
          <w:tcPr>
            <w:tcW w:w="1266" w:type="dxa"/>
            <w:tcBorders>
              <w:top w:val="nil"/>
              <w:left w:val="nil"/>
              <w:bottom w:val="nil"/>
              <w:right w:val="nil"/>
            </w:tcBorders>
            <w:shd w:val="clear" w:color="auto" w:fill="auto"/>
            <w:noWrap/>
            <w:vAlign w:val="center"/>
            <w:hideMark/>
          </w:tcPr>
          <w:p w14:paraId="6A5A571F" w14:textId="77777777" w:rsidR="00B55560" w:rsidRPr="00FC2211" w:rsidRDefault="00B55560" w:rsidP="002721C3">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85,525 </w:t>
            </w:r>
          </w:p>
        </w:tc>
        <w:tc>
          <w:tcPr>
            <w:tcW w:w="1265" w:type="dxa"/>
            <w:tcBorders>
              <w:top w:val="nil"/>
              <w:left w:val="nil"/>
              <w:bottom w:val="nil"/>
              <w:right w:val="nil"/>
            </w:tcBorders>
            <w:shd w:val="clear" w:color="auto" w:fill="auto"/>
            <w:noWrap/>
            <w:vAlign w:val="center"/>
            <w:hideMark/>
          </w:tcPr>
          <w:p w14:paraId="26CD2B56" w14:textId="77777777" w:rsidR="00B55560" w:rsidRPr="00FC2211" w:rsidRDefault="00B55560" w:rsidP="002721C3">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32,516 </w:t>
            </w:r>
          </w:p>
        </w:tc>
      </w:tr>
      <w:tr w:rsidR="00FC2BEC" w:rsidRPr="00FC2211" w14:paraId="6DD6D699" w14:textId="77777777" w:rsidTr="00FC2BEC">
        <w:trPr>
          <w:trHeight w:val="240"/>
        </w:trPr>
        <w:tc>
          <w:tcPr>
            <w:tcW w:w="3836" w:type="dxa"/>
            <w:tcBorders>
              <w:top w:val="nil"/>
              <w:left w:val="nil"/>
              <w:bottom w:val="nil"/>
              <w:right w:val="nil"/>
            </w:tcBorders>
            <w:shd w:val="clear" w:color="auto" w:fill="auto"/>
            <w:noWrap/>
            <w:vAlign w:val="center"/>
            <w:hideMark/>
          </w:tcPr>
          <w:p w14:paraId="0D4DA913" w14:textId="77777777" w:rsidR="00FC2BEC" w:rsidRPr="00FC2211" w:rsidRDefault="00FC2BEC" w:rsidP="00FC2BEC">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Accounting and legal</w:t>
            </w:r>
          </w:p>
        </w:tc>
        <w:tc>
          <w:tcPr>
            <w:tcW w:w="1348" w:type="dxa"/>
            <w:tcBorders>
              <w:top w:val="nil"/>
              <w:left w:val="nil"/>
              <w:bottom w:val="nil"/>
              <w:right w:val="nil"/>
            </w:tcBorders>
            <w:shd w:val="clear" w:color="auto" w:fill="auto"/>
            <w:noWrap/>
            <w:vAlign w:val="center"/>
            <w:hideMark/>
          </w:tcPr>
          <w:p w14:paraId="775BF2BA" w14:textId="3CFDAFFE" w:rsidR="00FC2BEC" w:rsidRPr="00FC2211" w:rsidRDefault="00FC2BEC" w:rsidP="00FC2BEC">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13,391 </w:t>
            </w:r>
          </w:p>
        </w:tc>
        <w:tc>
          <w:tcPr>
            <w:tcW w:w="1346" w:type="dxa"/>
            <w:tcBorders>
              <w:top w:val="nil"/>
              <w:left w:val="nil"/>
              <w:bottom w:val="nil"/>
              <w:right w:val="nil"/>
            </w:tcBorders>
            <w:shd w:val="clear" w:color="auto" w:fill="auto"/>
            <w:noWrap/>
            <w:vAlign w:val="center"/>
            <w:hideMark/>
          </w:tcPr>
          <w:p w14:paraId="1D7BB116" w14:textId="38AAEC80" w:rsidR="00FC2BEC" w:rsidRPr="00FC2211" w:rsidRDefault="00FC2BEC" w:rsidP="00FC2BEC">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46,557 </w:t>
            </w:r>
          </w:p>
        </w:tc>
        <w:tc>
          <w:tcPr>
            <w:tcW w:w="1266" w:type="dxa"/>
            <w:tcBorders>
              <w:top w:val="nil"/>
              <w:left w:val="nil"/>
              <w:bottom w:val="nil"/>
              <w:right w:val="nil"/>
            </w:tcBorders>
            <w:shd w:val="clear" w:color="auto" w:fill="auto"/>
            <w:noWrap/>
            <w:vAlign w:val="center"/>
            <w:hideMark/>
          </w:tcPr>
          <w:p w14:paraId="2D455D41" w14:textId="129505FA" w:rsidR="00FC2BEC" w:rsidRPr="00FC2211" w:rsidRDefault="00FC2BEC" w:rsidP="00FC2BEC">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39,506 </w:t>
            </w:r>
          </w:p>
        </w:tc>
        <w:tc>
          <w:tcPr>
            <w:tcW w:w="1265" w:type="dxa"/>
            <w:tcBorders>
              <w:top w:val="nil"/>
              <w:left w:val="nil"/>
              <w:bottom w:val="nil"/>
              <w:right w:val="nil"/>
            </w:tcBorders>
            <w:shd w:val="clear" w:color="auto" w:fill="auto"/>
            <w:noWrap/>
            <w:vAlign w:val="center"/>
            <w:hideMark/>
          </w:tcPr>
          <w:p w14:paraId="59174C4C" w14:textId="658F4DF1" w:rsidR="00FC2BEC" w:rsidRPr="00FC2211" w:rsidRDefault="00FC2BEC" w:rsidP="00FC2BEC">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87,682 </w:t>
            </w:r>
          </w:p>
        </w:tc>
      </w:tr>
      <w:tr w:rsidR="00B55560" w:rsidRPr="00FC2211" w14:paraId="6DAF8DC3" w14:textId="77777777" w:rsidTr="002721C3">
        <w:trPr>
          <w:trHeight w:val="240"/>
        </w:trPr>
        <w:tc>
          <w:tcPr>
            <w:tcW w:w="3836" w:type="dxa"/>
            <w:tcBorders>
              <w:top w:val="nil"/>
              <w:left w:val="nil"/>
              <w:bottom w:val="nil"/>
              <w:right w:val="nil"/>
            </w:tcBorders>
            <w:shd w:val="clear" w:color="auto" w:fill="auto"/>
            <w:noWrap/>
            <w:vAlign w:val="center"/>
            <w:hideMark/>
          </w:tcPr>
          <w:p w14:paraId="6F58ACE9" w14:textId="77777777" w:rsidR="00B55560" w:rsidRPr="00FC2211" w:rsidRDefault="00B55560" w:rsidP="002721C3">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Rent (Note 21)</w:t>
            </w:r>
          </w:p>
        </w:tc>
        <w:tc>
          <w:tcPr>
            <w:tcW w:w="1348" w:type="dxa"/>
            <w:tcBorders>
              <w:top w:val="nil"/>
              <w:left w:val="nil"/>
              <w:bottom w:val="nil"/>
              <w:right w:val="nil"/>
            </w:tcBorders>
            <w:shd w:val="clear" w:color="auto" w:fill="auto"/>
            <w:noWrap/>
            <w:vAlign w:val="center"/>
            <w:hideMark/>
          </w:tcPr>
          <w:p w14:paraId="37EE55B0" w14:textId="77777777" w:rsidR="00B55560" w:rsidRPr="00FC2211" w:rsidRDefault="00B55560" w:rsidP="002721C3">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9,826 </w:t>
            </w:r>
          </w:p>
        </w:tc>
        <w:tc>
          <w:tcPr>
            <w:tcW w:w="1346" w:type="dxa"/>
            <w:tcBorders>
              <w:top w:val="nil"/>
              <w:left w:val="nil"/>
              <w:bottom w:val="nil"/>
              <w:right w:val="nil"/>
            </w:tcBorders>
            <w:shd w:val="clear" w:color="auto" w:fill="auto"/>
            <w:noWrap/>
            <w:vAlign w:val="center"/>
            <w:hideMark/>
          </w:tcPr>
          <w:p w14:paraId="4D5A2245" w14:textId="77777777" w:rsidR="00B55560" w:rsidRPr="00FC2211" w:rsidRDefault="00B55560" w:rsidP="002721C3">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9,325 </w:t>
            </w:r>
          </w:p>
        </w:tc>
        <w:tc>
          <w:tcPr>
            <w:tcW w:w="1266" w:type="dxa"/>
            <w:tcBorders>
              <w:top w:val="nil"/>
              <w:left w:val="nil"/>
              <w:bottom w:val="nil"/>
              <w:right w:val="nil"/>
            </w:tcBorders>
            <w:shd w:val="clear" w:color="auto" w:fill="auto"/>
            <w:noWrap/>
            <w:vAlign w:val="center"/>
            <w:hideMark/>
          </w:tcPr>
          <w:p w14:paraId="15E18909" w14:textId="77777777" w:rsidR="00B55560" w:rsidRPr="00FC2211" w:rsidRDefault="00B55560" w:rsidP="002721C3">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21,800 </w:t>
            </w:r>
          </w:p>
        </w:tc>
        <w:tc>
          <w:tcPr>
            <w:tcW w:w="1265" w:type="dxa"/>
            <w:tcBorders>
              <w:top w:val="nil"/>
              <w:left w:val="nil"/>
              <w:bottom w:val="nil"/>
              <w:right w:val="nil"/>
            </w:tcBorders>
            <w:shd w:val="clear" w:color="auto" w:fill="auto"/>
            <w:noWrap/>
            <w:vAlign w:val="center"/>
            <w:hideMark/>
          </w:tcPr>
          <w:p w14:paraId="0852DB31" w14:textId="77777777" w:rsidR="00B55560" w:rsidRPr="00FC2211" w:rsidRDefault="00B55560" w:rsidP="002721C3">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19,056 </w:t>
            </w:r>
          </w:p>
        </w:tc>
      </w:tr>
      <w:tr w:rsidR="00B55560" w:rsidRPr="00FC2211" w14:paraId="5CBB960B" w14:textId="77777777" w:rsidTr="002721C3">
        <w:trPr>
          <w:trHeight w:val="240"/>
        </w:trPr>
        <w:tc>
          <w:tcPr>
            <w:tcW w:w="3836" w:type="dxa"/>
            <w:tcBorders>
              <w:top w:val="nil"/>
              <w:left w:val="nil"/>
              <w:bottom w:val="nil"/>
              <w:right w:val="nil"/>
            </w:tcBorders>
            <w:shd w:val="clear" w:color="auto" w:fill="auto"/>
            <w:noWrap/>
            <w:vAlign w:val="center"/>
            <w:hideMark/>
          </w:tcPr>
          <w:p w14:paraId="71639F6F" w14:textId="77777777" w:rsidR="00B55560" w:rsidRPr="00FC2211" w:rsidRDefault="00B55560" w:rsidP="002721C3">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Insurance </w:t>
            </w:r>
          </w:p>
        </w:tc>
        <w:tc>
          <w:tcPr>
            <w:tcW w:w="1348" w:type="dxa"/>
            <w:tcBorders>
              <w:top w:val="nil"/>
              <w:left w:val="nil"/>
              <w:bottom w:val="nil"/>
              <w:right w:val="nil"/>
            </w:tcBorders>
            <w:shd w:val="clear" w:color="auto" w:fill="auto"/>
            <w:noWrap/>
            <w:vAlign w:val="center"/>
            <w:hideMark/>
          </w:tcPr>
          <w:p w14:paraId="15E86348" w14:textId="77777777" w:rsidR="00B55560" w:rsidRPr="00FC2211" w:rsidRDefault="00B55560" w:rsidP="002721C3">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9,517 </w:t>
            </w:r>
          </w:p>
        </w:tc>
        <w:tc>
          <w:tcPr>
            <w:tcW w:w="1346" w:type="dxa"/>
            <w:tcBorders>
              <w:top w:val="nil"/>
              <w:left w:val="nil"/>
              <w:bottom w:val="nil"/>
              <w:right w:val="nil"/>
            </w:tcBorders>
            <w:shd w:val="clear" w:color="auto" w:fill="auto"/>
            <w:noWrap/>
            <w:vAlign w:val="center"/>
            <w:hideMark/>
          </w:tcPr>
          <w:p w14:paraId="0F3581AC" w14:textId="77777777" w:rsidR="00B55560" w:rsidRPr="00FC2211" w:rsidRDefault="00B55560" w:rsidP="002721C3">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9,313 </w:t>
            </w:r>
          </w:p>
        </w:tc>
        <w:tc>
          <w:tcPr>
            <w:tcW w:w="1266" w:type="dxa"/>
            <w:tcBorders>
              <w:top w:val="nil"/>
              <w:left w:val="nil"/>
              <w:bottom w:val="nil"/>
              <w:right w:val="nil"/>
            </w:tcBorders>
            <w:shd w:val="clear" w:color="auto" w:fill="auto"/>
            <w:noWrap/>
            <w:vAlign w:val="center"/>
            <w:hideMark/>
          </w:tcPr>
          <w:p w14:paraId="12BC6606" w14:textId="77777777" w:rsidR="00B55560" w:rsidRPr="00FC2211" w:rsidRDefault="00B55560" w:rsidP="002721C3">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19,813 </w:t>
            </w:r>
          </w:p>
        </w:tc>
        <w:tc>
          <w:tcPr>
            <w:tcW w:w="1265" w:type="dxa"/>
            <w:tcBorders>
              <w:top w:val="nil"/>
              <w:left w:val="nil"/>
              <w:bottom w:val="nil"/>
              <w:right w:val="nil"/>
            </w:tcBorders>
            <w:shd w:val="clear" w:color="auto" w:fill="auto"/>
            <w:noWrap/>
            <w:vAlign w:val="center"/>
            <w:hideMark/>
          </w:tcPr>
          <w:p w14:paraId="60A2B30B" w14:textId="77777777" w:rsidR="00B55560" w:rsidRPr="00FC2211" w:rsidRDefault="00B55560" w:rsidP="002721C3">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16,950 </w:t>
            </w:r>
          </w:p>
        </w:tc>
      </w:tr>
      <w:tr w:rsidR="00FC2BEC" w:rsidRPr="00FC2211" w14:paraId="2D0907EA" w14:textId="77777777" w:rsidTr="00FC2BEC">
        <w:trPr>
          <w:trHeight w:val="252"/>
        </w:trPr>
        <w:tc>
          <w:tcPr>
            <w:tcW w:w="3836" w:type="dxa"/>
            <w:tcBorders>
              <w:top w:val="nil"/>
              <w:left w:val="nil"/>
              <w:bottom w:val="nil"/>
              <w:right w:val="nil"/>
            </w:tcBorders>
            <w:shd w:val="clear" w:color="auto" w:fill="auto"/>
            <w:noWrap/>
            <w:vAlign w:val="center"/>
            <w:hideMark/>
          </w:tcPr>
          <w:p w14:paraId="7CC6909D" w14:textId="77777777" w:rsidR="00FC2BEC" w:rsidRPr="00FC2211" w:rsidRDefault="00FC2BEC" w:rsidP="00FC2BEC">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Bad debt (Note 5)</w:t>
            </w:r>
          </w:p>
        </w:tc>
        <w:tc>
          <w:tcPr>
            <w:tcW w:w="1348" w:type="dxa"/>
            <w:tcBorders>
              <w:top w:val="nil"/>
              <w:left w:val="nil"/>
              <w:bottom w:val="nil"/>
              <w:right w:val="nil"/>
            </w:tcBorders>
            <w:shd w:val="clear" w:color="auto" w:fill="auto"/>
            <w:noWrap/>
            <w:vAlign w:val="center"/>
            <w:hideMark/>
          </w:tcPr>
          <w:p w14:paraId="68A6E206" w14:textId="77D351E1" w:rsidR="00FC2BEC" w:rsidRPr="00FC2211" w:rsidRDefault="00FC2BEC" w:rsidP="00FC2BEC">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5,192 </w:t>
            </w:r>
          </w:p>
        </w:tc>
        <w:tc>
          <w:tcPr>
            <w:tcW w:w="1346" w:type="dxa"/>
            <w:tcBorders>
              <w:top w:val="nil"/>
              <w:left w:val="nil"/>
              <w:bottom w:val="nil"/>
              <w:right w:val="nil"/>
            </w:tcBorders>
            <w:shd w:val="clear" w:color="auto" w:fill="auto"/>
            <w:noWrap/>
            <w:vAlign w:val="center"/>
            <w:hideMark/>
          </w:tcPr>
          <w:p w14:paraId="6539FE48" w14:textId="0BDF3275" w:rsidR="00FC2BEC" w:rsidRPr="00FC2211" w:rsidRDefault="00FC2BEC" w:rsidP="00FC2BEC">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w:t>
            </w:r>
          </w:p>
        </w:tc>
        <w:tc>
          <w:tcPr>
            <w:tcW w:w="1266" w:type="dxa"/>
            <w:tcBorders>
              <w:top w:val="nil"/>
              <w:left w:val="nil"/>
              <w:bottom w:val="nil"/>
              <w:right w:val="nil"/>
            </w:tcBorders>
            <w:shd w:val="clear" w:color="auto" w:fill="auto"/>
            <w:noWrap/>
            <w:vAlign w:val="center"/>
            <w:hideMark/>
          </w:tcPr>
          <w:p w14:paraId="7CDD04E4" w14:textId="11C5FD2D" w:rsidR="00FC2BEC" w:rsidRPr="00FC2211" w:rsidRDefault="00FC2BEC" w:rsidP="00FC2BEC">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17,958 </w:t>
            </w:r>
          </w:p>
        </w:tc>
        <w:tc>
          <w:tcPr>
            <w:tcW w:w="1265" w:type="dxa"/>
            <w:tcBorders>
              <w:top w:val="nil"/>
              <w:left w:val="nil"/>
              <w:bottom w:val="nil"/>
              <w:right w:val="nil"/>
            </w:tcBorders>
            <w:shd w:val="clear" w:color="auto" w:fill="auto"/>
            <w:noWrap/>
            <w:vAlign w:val="center"/>
            <w:hideMark/>
          </w:tcPr>
          <w:p w14:paraId="46119EE1" w14:textId="4482B2B5" w:rsidR="00FC2BEC" w:rsidRPr="00FC2211" w:rsidRDefault="00FC2BEC" w:rsidP="00FC2BEC">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w:t>
            </w:r>
          </w:p>
        </w:tc>
      </w:tr>
      <w:tr w:rsidR="00FC2BEC" w:rsidRPr="00FC2211" w14:paraId="1FA90ABC" w14:textId="77777777" w:rsidTr="00FC2BEC">
        <w:trPr>
          <w:trHeight w:val="240"/>
        </w:trPr>
        <w:tc>
          <w:tcPr>
            <w:tcW w:w="3836" w:type="dxa"/>
            <w:tcBorders>
              <w:top w:val="nil"/>
              <w:left w:val="nil"/>
              <w:bottom w:val="nil"/>
              <w:right w:val="nil"/>
            </w:tcBorders>
            <w:shd w:val="clear" w:color="auto" w:fill="auto"/>
            <w:noWrap/>
            <w:vAlign w:val="bottom"/>
            <w:hideMark/>
          </w:tcPr>
          <w:p w14:paraId="70156A6F" w14:textId="77777777" w:rsidR="00FC2BEC" w:rsidRPr="00FC2211" w:rsidRDefault="00FC2BEC" w:rsidP="00FC2BEC">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Lease interest (Note 21)</w:t>
            </w:r>
          </w:p>
        </w:tc>
        <w:tc>
          <w:tcPr>
            <w:tcW w:w="1348" w:type="dxa"/>
            <w:tcBorders>
              <w:top w:val="nil"/>
              <w:left w:val="nil"/>
              <w:bottom w:val="nil"/>
              <w:right w:val="nil"/>
            </w:tcBorders>
            <w:shd w:val="clear" w:color="auto" w:fill="auto"/>
            <w:noWrap/>
            <w:vAlign w:val="bottom"/>
            <w:hideMark/>
          </w:tcPr>
          <w:p w14:paraId="00A1068F" w14:textId="7C521E00" w:rsidR="00FC2BEC" w:rsidRPr="00FC2211" w:rsidRDefault="00FC2BEC" w:rsidP="00FC2BEC">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1,628 </w:t>
            </w:r>
          </w:p>
        </w:tc>
        <w:tc>
          <w:tcPr>
            <w:tcW w:w="1346" w:type="dxa"/>
            <w:tcBorders>
              <w:top w:val="nil"/>
              <w:left w:val="nil"/>
              <w:bottom w:val="nil"/>
              <w:right w:val="nil"/>
            </w:tcBorders>
            <w:shd w:val="clear" w:color="auto" w:fill="auto"/>
            <w:noWrap/>
            <w:vAlign w:val="bottom"/>
            <w:hideMark/>
          </w:tcPr>
          <w:p w14:paraId="3C855485" w14:textId="7FB46A81" w:rsidR="00FC2BEC" w:rsidRPr="00FC2211" w:rsidRDefault="00FC2BEC" w:rsidP="00FC2BEC">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2,657 </w:t>
            </w:r>
          </w:p>
        </w:tc>
        <w:tc>
          <w:tcPr>
            <w:tcW w:w="1266" w:type="dxa"/>
            <w:tcBorders>
              <w:top w:val="nil"/>
              <w:left w:val="nil"/>
              <w:bottom w:val="nil"/>
              <w:right w:val="nil"/>
            </w:tcBorders>
            <w:shd w:val="clear" w:color="auto" w:fill="auto"/>
            <w:noWrap/>
            <w:vAlign w:val="center"/>
            <w:hideMark/>
          </w:tcPr>
          <w:p w14:paraId="6208517A" w14:textId="34C552BC" w:rsidR="00FC2BEC" w:rsidRPr="00FC2211" w:rsidRDefault="00FC2BEC" w:rsidP="00FC2BEC">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3,527 </w:t>
            </w:r>
          </w:p>
        </w:tc>
        <w:tc>
          <w:tcPr>
            <w:tcW w:w="1265" w:type="dxa"/>
            <w:tcBorders>
              <w:top w:val="nil"/>
              <w:left w:val="nil"/>
              <w:bottom w:val="nil"/>
              <w:right w:val="nil"/>
            </w:tcBorders>
            <w:shd w:val="clear" w:color="auto" w:fill="auto"/>
            <w:noWrap/>
            <w:vAlign w:val="center"/>
            <w:hideMark/>
          </w:tcPr>
          <w:p w14:paraId="742A8E7B" w14:textId="2F8B575B" w:rsidR="00FC2BEC" w:rsidRPr="00FC2211" w:rsidRDefault="00FC2BEC" w:rsidP="00FC2BEC">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5,547 </w:t>
            </w:r>
          </w:p>
        </w:tc>
      </w:tr>
      <w:tr w:rsidR="00FC2BEC" w:rsidRPr="00FC2211" w14:paraId="4DF4C15E" w14:textId="77777777" w:rsidTr="00FC2BEC">
        <w:trPr>
          <w:trHeight w:val="252"/>
        </w:trPr>
        <w:tc>
          <w:tcPr>
            <w:tcW w:w="3836" w:type="dxa"/>
            <w:tcBorders>
              <w:top w:val="single" w:sz="4" w:space="0" w:color="auto"/>
              <w:left w:val="nil"/>
              <w:bottom w:val="single" w:sz="8" w:space="0" w:color="auto"/>
              <w:right w:val="nil"/>
            </w:tcBorders>
            <w:shd w:val="clear" w:color="auto" w:fill="auto"/>
            <w:noWrap/>
            <w:vAlign w:val="center"/>
            <w:hideMark/>
          </w:tcPr>
          <w:p w14:paraId="330D8020" w14:textId="77777777" w:rsidR="00FC2BEC" w:rsidRPr="00FC2211" w:rsidRDefault="00FC2BEC" w:rsidP="00FC2BEC">
            <w:pPr>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Total</w:t>
            </w:r>
          </w:p>
        </w:tc>
        <w:tc>
          <w:tcPr>
            <w:tcW w:w="1348" w:type="dxa"/>
            <w:tcBorders>
              <w:top w:val="single" w:sz="4" w:space="0" w:color="auto"/>
              <w:left w:val="nil"/>
              <w:bottom w:val="single" w:sz="8" w:space="0" w:color="auto"/>
              <w:right w:val="nil"/>
            </w:tcBorders>
            <w:shd w:val="clear" w:color="auto" w:fill="auto"/>
            <w:noWrap/>
            <w:vAlign w:val="center"/>
            <w:hideMark/>
          </w:tcPr>
          <w:p w14:paraId="27F91D73" w14:textId="1082EB70" w:rsidR="00FC2BEC" w:rsidRPr="00FC2211" w:rsidRDefault="00FC2BEC" w:rsidP="00FC2BEC">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422,40</w:t>
            </w:r>
            <w:r w:rsidR="00B55560" w:rsidRPr="00FC2211">
              <w:rPr>
                <w:rFonts w:ascii="Calibri" w:hAnsi="Calibri" w:cs="Calibri"/>
                <w:b/>
                <w:bCs/>
                <w:color w:val="000000"/>
                <w:sz w:val="18"/>
                <w:szCs w:val="18"/>
                <w:lang w:val="en-CA" w:eastAsia="en-CA"/>
              </w:rPr>
              <w:t>2</w:t>
            </w:r>
            <w:r w:rsidRPr="00FC2211">
              <w:rPr>
                <w:rFonts w:ascii="Calibri" w:hAnsi="Calibri" w:cs="Calibri"/>
                <w:b/>
                <w:bCs/>
                <w:color w:val="000000"/>
                <w:sz w:val="18"/>
                <w:szCs w:val="18"/>
                <w:lang w:val="en-CA" w:eastAsia="en-CA"/>
              </w:rPr>
              <w:t xml:space="preserve"> </w:t>
            </w:r>
          </w:p>
        </w:tc>
        <w:tc>
          <w:tcPr>
            <w:tcW w:w="1346" w:type="dxa"/>
            <w:tcBorders>
              <w:top w:val="single" w:sz="4" w:space="0" w:color="auto"/>
              <w:left w:val="nil"/>
              <w:bottom w:val="single" w:sz="8" w:space="0" w:color="auto"/>
              <w:right w:val="nil"/>
            </w:tcBorders>
            <w:shd w:val="clear" w:color="auto" w:fill="auto"/>
            <w:noWrap/>
            <w:vAlign w:val="center"/>
            <w:hideMark/>
          </w:tcPr>
          <w:p w14:paraId="1AEB85BE" w14:textId="15913A2F" w:rsidR="00FC2BEC" w:rsidRPr="00FC2211" w:rsidRDefault="00FC2BEC" w:rsidP="00FC2BEC">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491,486 </w:t>
            </w:r>
          </w:p>
        </w:tc>
        <w:tc>
          <w:tcPr>
            <w:tcW w:w="1266" w:type="dxa"/>
            <w:tcBorders>
              <w:top w:val="single" w:sz="4" w:space="0" w:color="auto"/>
              <w:left w:val="nil"/>
              <w:bottom w:val="single" w:sz="8" w:space="0" w:color="auto"/>
              <w:right w:val="nil"/>
            </w:tcBorders>
            <w:shd w:val="clear" w:color="auto" w:fill="auto"/>
            <w:noWrap/>
            <w:vAlign w:val="center"/>
            <w:hideMark/>
          </w:tcPr>
          <w:p w14:paraId="58769001" w14:textId="4962EFBE" w:rsidR="00FC2BEC" w:rsidRPr="00FC2211" w:rsidRDefault="00FC2BEC" w:rsidP="00FC2BEC">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$ 859,9</w:t>
            </w:r>
            <w:r w:rsidR="00B55560" w:rsidRPr="00FC2211">
              <w:rPr>
                <w:rFonts w:ascii="Calibri" w:hAnsi="Calibri" w:cs="Calibri"/>
                <w:b/>
                <w:bCs/>
                <w:color w:val="000000"/>
                <w:sz w:val="18"/>
                <w:szCs w:val="18"/>
                <w:lang w:val="en-CA" w:eastAsia="en-CA"/>
              </w:rPr>
              <w:t>29</w:t>
            </w:r>
            <w:r w:rsidRPr="00FC2211">
              <w:rPr>
                <w:rFonts w:ascii="Calibri" w:hAnsi="Calibri" w:cs="Calibri"/>
                <w:b/>
                <w:bCs/>
                <w:color w:val="000000"/>
                <w:sz w:val="18"/>
                <w:szCs w:val="18"/>
                <w:lang w:val="en-CA" w:eastAsia="en-CA"/>
              </w:rPr>
              <w:t xml:space="preserve"> </w:t>
            </w:r>
          </w:p>
        </w:tc>
        <w:tc>
          <w:tcPr>
            <w:tcW w:w="1265" w:type="dxa"/>
            <w:tcBorders>
              <w:top w:val="single" w:sz="4" w:space="0" w:color="auto"/>
              <w:left w:val="nil"/>
              <w:bottom w:val="single" w:sz="8" w:space="0" w:color="auto"/>
              <w:right w:val="nil"/>
            </w:tcBorders>
            <w:shd w:val="clear" w:color="auto" w:fill="auto"/>
            <w:noWrap/>
            <w:vAlign w:val="center"/>
            <w:hideMark/>
          </w:tcPr>
          <w:p w14:paraId="577F693A" w14:textId="1E4684EF" w:rsidR="00FC2BEC" w:rsidRPr="00FC2211" w:rsidRDefault="00FC2BEC" w:rsidP="00FC2BEC">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$ 830,573 </w:t>
            </w:r>
          </w:p>
        </w:tc>
      </w:tr>
    </w:tbl>
    <w:p w14:paraId="6CFFC374" w14:textId="77777777" w:rsidR="00A278F1" w:rsidRPr="00FC2211" w:rsidRDefault="00A278F1" w:rsidP="002B36BD">
      <w:pPr>
        <w:ind w:left="426"/>
        <w:rPr>
          <w:rFonts w:cstheme="minorHAnsi"/>
          <w:szCs w:val="20"/>
        </w:rPr>
      </w:pPr>
    </w:p>
    <w:p w14:paraId="0A2FB3EA" w14:textId="123163DC" w:rsidR="00D67793" w:rsidRPr="00FC2211" w:rsidRDefault="001B39F6" w:rsidP="002B36BD">
      <w:pPr>
        <w:pStyle w:val="Heading1"/>
        <w:ind w:left="426" w:hanging="426"/>
        <w:rPr>
          <w:rFonts w:cstheme="minorHAnsi"/>
          <w:szCs w:val="20"/>
          <w:lang w:val="en-GB"/>
        </w:rPr>
      </w:pPr>
      <w:r w:rsidRPr="00FC2211">
        <w:rPr>
          <w:rFonts w:cstheme="minorHAnsi"/>
          <w:szCs w:val="20"/>
          <w:lang w:val="en-GB"/>
        </w:rPr>
        <w:t>1</w:t>
      </w:r>
      <w:r w:rsidR="00E82982" w:rsidRPr="00FC2211">
        <w:rPr>
          <w:rFonts w:cstheme="minorHAnsi"/>
          <w:szCs w:val="20"/>
          <w:lang w:val="en-GB"/>
        </w:rPr>
        <w:t>7</w:t>
      </w:r>
      <w:r w:rsidRPr="00FC2211">
        <w:rPr>
          <w:rFonts w:cstheme="minorHAnsi"/>
          <w:szCs w:val="20"/>
          <w:lang w:val="en-GB"/>
        </w:rPr>
        <w:t xml:space="preserve">.  </w:t>
      </w:r>
      <w:r w:rsidR="007971C8" w:rsidRPr="00FC2211">
        <w:rPr>
          <w:rFonts w:cstheme="minorHAnsi"/>
          <w:szCs w:val="20"/>
          <w:lang w:val="en-GB"/>
        </w:rPr>
        <w:t xml:space="preserve"> </w:t>
      </w:r>
      <w:r w:rsidR="00D67793" w:rsidRPr="00FC2211">
        <w:rPr>
          <w:rFonts w:cstheme="minorHAnsi"/>
          <w:szCs w:val="20"/>
          <w:lang w:val="en-GB"/>
        </w:rPr>
        <w:t>RELATED PARTY TRANSACTIONS</w:t>
      </w:r>
    </w:p>
    <w:p w14:paraId="6315E15C" w14:textId="77777777" w:rsidR="00D67793" w:rsidRPr="00FC2211" w:rsidRDefault="00D67793" w:rsidP="00D67793">
      <w:pPr>
        <w:pStyle w:val="NormalCalibri"/>
        <w:spacing w:before="0" w:line="230" w:lineRule="auto"/>
        <w:ind w:left="360"/>
        <w:rPr>
          <w:rFonts w:asciiTheme="minorHAnsi" w:hAnsiTheme="minorHAnsi" w:cstheme="minorHAnsi"/>
          <w:sz w:val="20"/>
          <w:szCs w:val="20"/>
        </w:rPr>
      </w:pPr>
    </w:p>
    <w:p w14:paraId="59737FF4" w14:textId="77777777" w:rsidR="00D67793" w:rsidRPr="00FC2211" w:rsidRDefault="00D67793" w:rsidP="002B36BD">
      <w:pPr>
        <w:pStyle w:val="NormalCalibri"/>
        <w:spacing w:before="0" w:line="230" w:lineRule="auto"/>
        <w:ind w:left="426"/>
        <w:rPr>
          <w:rFonts w:asciiTheme="minorHAnsi" w:hAnsiTheme="minorHAnsi" w:cstheme="minorHAnsi"/>
          <w:b/>
          <w:sz w:val="20"/>
          <w:szCs w:val="20"/>
        </w:rPr>
      </w:pPr>
      <w:r w:rsidRPr="00FC2211">
        <w:rPr>
          <w:rFonts w:asciiTheme="minorHAnsi" w:hAnsiTheme="minorHAnsi" w:cstheme="minorHAnsi"/>
          <w:b/>
          <w:sz w:val="20"/>
          <w:szCs w:val="20"/>
        </w:rPr>
        <w:t>Key management personnel:</w:t>
      </w:r>
    </w:p>
    <w:p w14:paraId="3F00A54F" w14:textId="77777777" w:rsidR="00D67793" w:rsidRPr="00FC2211" w:rsidRDefault="00D67793" w:rsidP="002B36BD">
      <w:pPr>
        <w:pStyle w:val="ListParagraph"/>
        <w:spacing w:after="0" w:line="230" w:lineRule="auto"/>
        <w:ind w:left="426"/>
        <w:rPr>
          <w:rFonts w:asciiTheme="minorHAnsi" w:hAnsiTheme="minorHAnsi" w:cstheme="minorHAnsi"/>
          <w:b/>
          <w:bCs/>
          <w:sz w:val="20"/>
          <w:szCs w:val="20"/>
          <w:lang w:val="en-CA"/>
        </w:rPr>
      </w:pPr>
    </w:p>
    <w:p w14:paraId="16D2903C" w14:textId="255FA56C" w:rsidR="00D67793" w:rsidRPr="00FC2211" w:rsidRDefault="00D67793" w:rsidP="00BE709D">
      <w:pPr>
        <w:ind w:left="426"/>
        <w:jc w:val="both"/>
        <w:rPr>
          <w:rFonts w:cstheme="minorHAnsi"/>
          <w:szCs w:val="20"/>
        </w:rPr>
      </w:pPr>
      <w:bookmarkStart w:id="5" w:name="_Hlk48870324"/>
      <w:r w:rsidRPr="00FC2211">
        <w:rPr>
          <w:rFonts w:cstheme="minorHAnsi"/>
          <w:szCs w:val="20"/>
        </w:rPr>
        <w:t xml:space="preserve">Key management </w:t>
      </w:r>
      <w:bookmarkEnd w:id="5"/>
      <w:r w:rsidRPr="00FC2211">
        <w:rPr>
          <w:rFonts w:cstheme="minorHAnsi"/>
          <w:szCs w:val="20"/>
        </w:rPr>
        <w:t>personnel include those persons having authority and responsibility for planning, directing</w:t>
      </w:r>
      <w:r w:rsidR="00BE709D" w:rsidRPr="00FC2211">
        <w:rPr>
          <w:rFonts w:cstheme="minorHAnsi"/>
          <w:szCs w:val="20"/>
        </w:rPr>
        <w:t>,</w:t>
      </w:r>
      <w:r w:rsidRPr="00FC2211">
        <w:rPr>
          <w:rFonts w:cstheme="minorHAnsi"/>
          <w:szCs w:val="20"/>
        </w:rPr>
        <w:t xml:space="preserve"> and controlling the activities of the Company as a whole. The Company has determined that key management personnel consist of executive and non-executive members of the Company’s Board of Directors and corporate officers. Related party transactions are in the </w:t>
      </w:r>
      <w:r w:rsidR="00C83304" w:rsidRPr="00FC2211">
        <w:rPr>
          <w:rFonts w:cstheme="minorHAnsi"/>
          <w:szCs w:val="20"/>
        </w:rPr>
        <w:t>ordinary</w:t>
      </w:r>
      <w:r w:rsidRPr="00FC2211">
        <w:rPr>
          <w:rFonts w:cstheme="minorHAnsi"/>
          <w:szCs w:val="20"/>
        </w:rPr>
        <w:t xml:space="preserve"> course of operations and measured at the exchange amount, which is the amount of consideration established and agreed </w:t>
      </w:r>
      <w:r w:rsidR="00BE709D" w:rsidRPr="00FC2211">
        <w:rPr>
          <w:rFonts w:cstheme="minorHAnsi"/>
          <w:szCs w:val="20"/>
        </w:rPr>
        <w:t xml:space="preserve">upon </w:t>
      </w:r>
      <w:r w:rsidRPr="00FC2211">
        <w:rPr>
          <w:rFonts w:cstheme="minorHAnsi"/>
          <w:szCs w:val="20"/>
        </w:rPr>
        <w:t>by the related parties. Amounts due to or from related parties are non-interest</w:t>
      </w:r>
      <w:r w:rsidR="002B484B" w:rsidRPr="00FC2211">
        <w:rPr>
          <w:rFonts w:cstheme="minorHAnsi"/>
          <w:szCs w:val="20"/>
        </w:rPr>
        <w:t>-</w:t>
      </w:r>
      <w:r w:rsidRPr="00FC2211">
        <w:rPr>
          <w:rFonts w:cstheme="minorHAnsi"/>
          <w:szCs w:val="20"/>
        </w:rPr>
        <w:t xml:space="preserve">bearing and unsecured unless specified. </w:t>
      </w:r>
    </w:p>
    <w:p w14:paraId="26F3FAAE" w14:textId="77777777" w:rsidR="000C247C" w:rsidRPr="00FC2211" w:rsidRDefault="000C247C" w:rsidP="00BE709D">
      <w:pPr>
        <w:ind w:left="426" w:firstLine="144"/>
        <w:jc w:val="both"/>
        <w:rPr>
          <w:rFonts w:cstheme="minorHAnsi"/>
          <w:bCs/>
          <w:szCs w:val="20"/>
          <w:lang w:val="en-CA"/>
        </w:rPr>
      </w:pPr>
    </w:p>
    <w:p w14:paraId="78E4B77B" w14:textId="326E579C" w:rsidR="00DF368B" w:rsidRPr="00FC2211" w:rsidRDefault="00916A38" w:rsidP="00BE709D">
      <w:pPr>
        <w:ind w:left="426"/>
        <w:jc w:val="both"/>
        <w:rPr>
          <w:rFonts w:cstheme="minorHAnsi"/>
          <w:bCs/>
          <w:szCs w:val="20"/>
          <w:lang w:val="en-CA"/>
        </w:rPr>
      </w:pPr>
      <w:r w:rsidRPr="00FC2211">
        <w:rPr>
          <w:rFonts w:cstheme="minorHAnsi"/>
          <w:bCs/>
          <w:szCs w:val="20"/>
          <w:lang w:val="en-CA"/>
        </w:rPr>
        <w:t xml:space="preserve">As at </w:t>
      </w:r>
      <w:r w:rsidR="00E973A8" w:rsidRPr="00FC2211">
        <w:rPr>
          <w:rFonts w:cstheme="minorHAnsi"/>
          <w:bCs/>
          <w:szCs w:val="20"/>
          <w:lang w:val="en-CA"/>
        </w:rPr>
        <w:t>December 31</w:t>
      </w:r>
      <w:r w:rsidR="00417438" w:rsidRPr="00FC2211">
        <w:rPr>
          <w:rFonts w:cstheme="minorHAnsi"/>
          <w:bCs/>
          <w:szCs w:val="20"/>
          <w:lang w:val="en-CA"/>
        </w:rPr>
        <w:t>, 202</w:t>
      </w:r>
      <w:r w:rsidR="00A457DC" w:rsidRPr="00FC2211">
        <w:rPr>
          <w:rFonts w:cstheme="minorHAnsi"/>
          <w:bCs/>
          <w:szCs w:val="20"/>
          <w:lang w:val="en-CA"/>
        </w:rPr>
        <w:t>3</w:t>
      </w:r>
      <w:r w:rsidR="00C86907" w:rsidRPr="00FC2211">
        <w:rPr>
          <w:rFonts w:cstheme="minorHAnsi"/>
          <w:bCs/>
          <w:szCs w:val="20"/>
          <w:lang w:val="en-CA"/>
        </w:rPr>
        <w:t>,</w:t>
      </w:r>
      <w:r w:rsidRPr="00FC2211">
        <w:rPr>
          <w:rFonts w:cstheme="minorHAnsi"/>
          <w:bCs/>
          <w:szCs w:val="20"/>
          <w:lang w:val="en-CA"/>
        </w:rPr>
        <w:t xml:space="preserve"> the Company has $</w:t>
      </w:r>
      <w:r w:rsidR="00F665CB" w:rsidRPr="00FC2211">
        <w:rPr>
          <w:rFonts w:cstheme="minorHAnsi"/>
          <w:bCs/>
          <w:szCs w:val="20"/>
          <w:lang w:val="en-CA"/>
        </w:rPr>
        <w:t>11,021</w:t>
      </w:r>
      <w:r w:rsidR="00FC5D29" w:rsidRPr="00FC2211">
        <w:rPr>
          <w:rFonts w:cstheme="minorHAnsi"/>
          <w:bCs/>
          <w:szCs w:val="20"/>
          <w:lang w:val="en-CA"/>
        </w:rPr>
        <w:t xml:space="preserve"> </w:t>
      </w:r>
      <w:r w:rsidR="00C42890" w:rsidRPr="00FC2211">
        <w:rPr>
          <w:rFonts w:cstheme="minorHAnsi"/>
          <w:bCs/>
          <w:szCs w:val="20"/>
          <w:lang w:val="en-CA"/>
        </w:rPr>
        <w:t xml:space="preserve">due to </w:t>
      </w:r>
      <w:r w:rsidR="000406EF" w:rsidRPr="00FC2211">
        <w:rPr>
          <w:rFonts w:cstheme="minorHAnsi"/>
          <w:bCs/>
          <w:szCs w:val="20"/>
          <w:lang w:val="en-CA"/>
        </w:rPr>
        <w:t>a</w:t>
      </w:r>
      <w:r w:rsidR="00610A87" w:rsidRPr="00FC2211">
        <w:rPr>
          <w:rFonts w:cstheme="minorHAnsi"/>
          <w:bCs/>
          <w:szCs w:val="20"/>
          <w:lang w:val="en-CA"/>
        </w:rPr>
        <w:t>n officer of the C</w:t>
      </w:r>
      <w:r w:rsidR="000406EF" w:rsidRPr="00FC2211">
        <w:rPr>
          <w:rFonts w:cstheme="minorHAnsi"/>
          <w:bCs/>
          <w:szCs w:val="20"/>
          <w:lang w:val="en-CA"/>
        </w:rPr>
        <w:t xml:space="preserve">ompany </w:t>
      </w:r>
      <w:r w:rsidR="005D2782" w:rsidRPr="00FC2211">
        <w:rPr>
          <w:rFonts w:cstheme="minorHAnsi"/>
          <w:bCs/>
          <w:szCs w:val="20"/>
          <w:lang w:val="en-CA"/>
        </w:rPr>
        <w:t>(</w:t>
      </w:r>
      <w:r w:rsidR="00EC0240" w:rsidRPr="00FC2211">
        <w:rPr>
          <w:rFonts w:cstheme="minorHAnsi"/>
          <w:bCs/>
          <w:szCs w:val="20"/>
          <w:lang w:val="en-CA"/>
        </w:rPr>
        <w:t>June 30, 202</w:t>
      </w:r>
      <w:r w:rsidR="00EB3918" w:rsidRPr="00FC2211">
        <w:rPr>
          <w:rFonts w:cstheme="minorHAnsi"/>
          <w:bCs/>
          <w:szCs w:val="20"/>
          <w:lang w:val="en-CA"/>
        </w:rPr>
        <w:t>3</w:t>
      </w:r>
      <w:r w:rsidR="00C42890" w:rsidRPr="00FC2211">
        <w:rPr>
          <w:rFonts w:cstheme="minorHAnsi"/>
          <w:bCs/>
          <w:szCs w:val="20"/>
          <w:lang w:val="en-CA"/>
        </w:rPr>
        <w:t xml:space="preserve"> - $</w:t>
      </w:r>
      <w:r w:rsidR="00EB3918" w:rsidRPr="00FC2211">
        <w:rPr>
          <w:rFonts w:cstheme="minorHAnsi"/>
          <w:bCs/>
          <w:szCs w:val="20"/>
          <w:lang w:val="en-CA"/>
        </w:rPr>
        <w:t>9,950</w:t>
      </w:r>
      <w:r w:rsidR="00C42890" w:rsidRPr="00FC2211">
        <w:rPr>
          <w:rFonts w:cstheme="minorHAnsi"/>
          <w:bCs/>
          <w:szCs w:val="20"/>
          <w:lang w:val="en-CA"/>
        </w:rPr>
        <w:t>)</w:t>
      </w:r>
      <w:r w:rsidR="00E94D63" w:rsidRPr="00FC2211">
        <w:rPr>
          <w:rFonts w:cstheme="minorHAnsi"/>
          <w:bCs/>
          <w:szCs w:val="20"/>
          <w:lang w:val="en-CA"/>
        </w:rPr>
        <w:t>.</w:t>
      </w:r>
    </w:p>
    <w:p w14:paraId="795FD474" w14:textId="77777777" w:rsidR="00553126" w:rsidRPr="00FC2211" w:rsidRDefault="59C0701F" w:rsidP="00BE709D">
      <w:pPr>
        <w:jc w:val="both"/>
        <w:rPr>
          <w:rFonts w:cstheme="minorHAnsi"/>
          <w:bCs/>
          <w:szCs w:val="20"/>
          <w:lang w:val="en-CA"/>
        </w:rPr>
      </w:pPr>
      <w:r w:rsidRPr="00FC2211">
        <w:rPr>
          <w:rFonts w:cstheme="minorBidi"/>
          <w:b/>
          <w:bCs/>
          <w:lang w:val="en-GB"/>
        </w:rPr>
        <w:t xml:space="preserve">     </w:t>
      </w:r>
    </w:p>
    <w:p w14:paraId="6609696A" w14:textId="77777777" w:rsidR="00694EAB" w:rsidRPr="00FC2211" w:rsidRDefault="00694EAB" w:rsidP="00BE709D">
      <w:pPr>
        <w:ind w:left="426"/>
        <w:jc w:val="both"/>
        <w:rPr>
          <w:rFonts w:cstheme="minorHAnsi"/>
          <w:bCs/>
          <w:szCs w:val="20"/>
          <w:lang w:val="en-CA"/>
        </w:rPr>
      </w:pPr>
    </w:p>
    <w:p w14:paraId="22AADEDB" w14:textId="77777777" w:rsidR="00694EAB" w:rsidRPr="00FC2211" w:rsidRDefault="00694EAB" w:rsidP="00BE709D">
      <w:pPr>
        <w:ind w:left="426"/>
        <w:jc w:val="both"/>
        <w:rPr>
          <w:rFonts w:cstheme="minorHAnsi"/>
          <w:bCs/>
          <w:szCs w:val="20"/>
          <w:lang w:val="en-CA"/>
        </w:rPr>
      </w:pPr>
    </w:p>
    <w:p w14:paraId="3E1B9628" w14:textId="77777777" w:rsidR="00694EAB" w:rsidRPr="00FC2211" w:rsidRDefault="00694EAB" w:rsidP="00BE709D">
      <w:pPr>
        <w:ind w:left="426"/>
        <w:jc w:val="both"/>
        <w:rPr>
          <w:rFonts w:cstheme="minorHAnsi"/>
          <w:bCs/>
          <w:szCs w:val="20"/>
          <w:lang w:val="en-CA"/>
        </w:rPr>
      </w:pPr>
    </w:p>
    <w:p w14:paraId="45D809CD" w14:textId="77777777" w:rsidR="00694EAB" w:rsidRPr="00FC2211" w:rsidRDefault="00694EAB" w:rsidP="00BE709D">
      <w:pPr>
        <w:ind w:left="426"/>
        <w:jc w:val="both"/>
        <w:rPr>
          <w:rFonts w:cstheme="minorHAnsi"/>
          <w:bCs/>
          <w:szCs w:val="20"/>
          <w:lang w:val="en-CA"/>
        </w:rPr>
      </w:pPr>
    </w:p>
    <w:p w14:paraId="7B7E6505" w14:textId="77777777" w:rsidR="00694EAB" w:rsidRPr="00FC2211" w:rsidRDefault="00694EAB" w:rsidP="00BE709D">
      <w:pPr>
        <w:ind w:left="426"/>
        <w:jc w:val="both"/>
        <w:rPr>
          <w:rFonts w:cstheme="minorHAnsi"/>
          <w:bCs/>
          <w:szCs w:val="20"/>
          <w:lang w:val="en-CA"/>
        </w:rPr>
      </w:pPr>
    </w:p>
    <w:p w14:paraId="195DD588" w14:textId="77777777" w:rsidR="00694EAB" w:rsidRPr="00FC2211" w:rsidRDefault="00694EAB" w:rsidP="00BE709D">
      <w:pPr>
        <w:ind w:left="426"/>
        <w:jc w:val="both"/>
        <w:rPr>
          <w:rFonts w:cstheme="minorHAnsi"/>
          <w:bCs/>
          <w:szCs w:val="20"/>
          <w:lang w:val="en-CA"/>
        </w:rPr>
      </w:pPr>
    </w:p>
    <w:p w14:paraId="7D31B896" w14:textId="77777777" w:rsidR="00694EAB" w:rsidRPr="00FC2211" w:rsidRDefault="00694EAB" w:rsidP="00BE709D">
      <w:pPr>
        <w:ind w:left="426"/>
        <w:jc w:val="both"/>
        <w:rPr>
          <w:rFonts w:cstheme="minorHAnsi"/>
          <w:bCs/>
          <w:szCs w:val="20"/>
          <w:lang w:val="en-CA"/>
        </w:rPr>
      </w:pPr>
    </w:p>
    <w:p w14:paraId="77834EDF" w14:textId="5F8EAE49" w:rsidR="00694EAB" w:rsidRPr="00FC2211" w:rsidRDefault="00694EAB" w:rsidP="00694EAB">
      <w:pPr>
        <w:pStyle w:val="Heading1"/>
        <w:ind w:left="426" w:hanging="426"/>
        <w:rPr>
          <w:rFonts w:cstheme="minorHAnsi"/>
          <w:szCs w:val="20"/>
          <w:lang w:val="en-GB"/>
        </w:rPr>
      </w:pPr>
      <w:r w:rsidRPr="00FC2211">
        <w:rPr>
          <w:rFonts w:cstheme="minorHAnsi"/>
          <w:szCs w:val="20"/>
          <w:lang w:val="en-GB"/>
        </w:rPr>
        <w:lastRenderedPageBreak/>
        <w:t>17.   RELATED PARTY TRANSACTIONS (CONTINUED)</w:t>
      </w:r>
    </w:p>
    <w:p w14:paraId="1CDDCE9C" w14:textId="77777777" w:rsidR="00694EAB" w:rsidRPr="00FC2211" w:rsidRDefault="00694EAB" w:rsidP="00BE709D">
      <w:pPr>
        <w:ind w:left="426"/>
        <w:jc w:val="both"/>
        <w:rPr>
          <w:rFonts w:cstheme="minorHAnsi"/>
          <w:bCs/>
          <w:szCs w:val="20"/>
          <w:lang w:val="en-CA"/>
        </w:rPr>
      </w:pPr>
    </w:p>
    <w:p w14:paraId="6C666032" w14:textId="54C4CC48" w:rsidR="00C3548B" w:rsidRPr="00FC2211" w:rsidRDefault="00C3548B" w:rsidP="00BE709D">
      <w:pPr>
        <w:ind w:left="426"/>
        <w:jc w:val="both"/>
        <w:rPr>
          <w:rFonts w:cstheme="minorHAnsi"/>
          <w:bCs/>
          <w:szCs w:val="20"/>
          <w:lang w:val="en-CA"/>
        </w:rPr>
      </w:pPr>
      <w:r w:rsidRPr="00FC2211">
        <w:rPr>
          <w:rFonts w:cstheme="minorHAnsi"/>
          <w:bCs/>
          <w:szCs w:val="20"/>
          <w:lang w:val="en-CA"/>
        </w:rPr>
        <w:t>During the</w:t>
      </w:r>
      <w:r w:rsidR="00F665CB" w:rsidRPr="00FC2211">
        <w:rPr>
          <w:rFonts w:cstheme="minorHAnsi"/>
          <w:bCs/>
          <w:szCs w:val="20"/>
          <w:lang w:val="en-CA"/>
        </w:rPr>
        <w:t xml:space="preserve"> six</w:t>
      </w:r>
      <w:r w:rsidR="00EB3918" w:rsidRPr="00FC2211">
        <w:rPr>
          <w:rFonts w:cstheme="minorHAnsi"/>
          <w:bCs/>
          <w:szCs w:val="20"/>
          <w:lang w:val="en-CA"/>
        </w:rPr>
        <w:t xml:space="preserve"> months</w:t>
      </w:r>
      <w:r w:rsidRPr="00FC2211">
        <w:rPr>
          <w:rFonts w:cstheme="minorHAnsi"/>
          <w:bCs/>
          <w:szCs w:val="20"/>
          <w:lang w:val="en-CA"/>
        </w:rPr>
        <w:t xml:space="preserve"> ended </w:t>
      </w:r>
      <w:r w:rsidR="00F665CB" w:rsidRPr="00FC2211">
        <w:rPr>
          <w:rFonts w:cstheme="minorHAnsi"/>
          <w:bCs/>
          <w:szCs w:val="20"/>
          <w:lang w:val="en-CA"/>
        </w:rPr>
        <w:t>December 31</w:t>
      </w:r>
      <w:r w:rsidR="00417438" w:rsidRPr="00FC2211">
        <w:rPr>
          <w:rFonts w:cstheme="minorHAnsi"/>
          <w:bCs/>
          <w:szCs w:val="20"/>
          <w:lang w:val="en-CA"/>
        </w:rPr>
        <w:t>, 202</w:t>
      </w:r>
      <w:r w:rsidR="00A457DC" w:rsidRPr="00FC2211">
        <w:rPr>
          <w:rFonts w:cstheme="minorHAnsi"/>
          <w:bCs/>
          <w:szCs w:val="20"/>
          <w:lang w:val="en-CA"/>
        </w:rPr>
        <w:t>3</w:t>
      </w:r>
      <w:r w:rsidR="00BE709D" w:rsidRPr="00FC2211">
        <w:rPr>
          <w:rFonts w:cstheme="minorHAnsi"/>
          <w:bCs/>
          <w:szCs w:val="20"/>
          <w:lang w:val="en-CA"/>
        </w:rPr>
        <w:t>,</w:t>
      </w:r>
      <w:r w:rsidR="00FB780D" w:rsidRPr="00FC2211">
        <w:rPr>
          <w:rFonts w:cstheme="minorHAnsi"/>
          <w:bCs/>
          <w:szCs w:val="20"/>
          <w:lang w:val="en-CA"/>
        </w:rPr>
        <w:t xml:space="preserve"> and 202</w:t>
      </w:r>
      <w:r w:rsidR="00A457DC" w:rsidRPr="00FC2211">
        <w:rPr>
          <w:rFonts w:cstheme="minorHAnsi"/>
          <w:bCs/>
          <w:szCs w:val="20"/>
          <w:lang w:val="en-CA"/>
        </w:rPr>
        <w:t>2</w:t>
      </w:r>
      <w:r w:rsidRPr="00FC2211">
        <w:rPr>
          <w:rFonts w:cstheme="minorHAnsi"/>
          <w:bCs/>
          <w:szCs w:val="20"/>
          <w:lang w:val="en-CA"/>
        </w:rPr>
        <w:t xml:space="preserve">, the Company </w:t>
      </w:r>
      <w:r w:rsidR="00C50C2A" w:rsidRPr="00FC2211">
        <w:rPr>
          <w:rFonts w:cstheme="minorHAnsi"/>
          <w:bCs/>
          <w:szCs w:val="20"/>
          <w:lang w:val="en-CA"/>
        </w:rPr>
        <w:t>incurred t</w:t>
      </w:r>
      <w:r w:rsidRPr="00FC2211">
        <w:rPr>
          <w:rFonts w:cstheme="minorHAnsi"/>
          <w:bCs/>
          <w:szCs w:val="20"/>
          <w:lang w:val="en-CA"/>
        </w:rPr>
        <w:t xml:space="preserve">he following </w:t>
      </w:r>
      <w:r w:rsidR="00C50C2A" w:rsidRPr="00FC2211">
        <w:rPr>
          <w:rFonts w:cstheme="minorHAnsi"/>
          <w:bCs/>
          <w:szCs w:val="20"/>
          <w:lang w:val="en-CA"/>
        </w:rPr>
        <w:t>key management compensation</w:t>
      </w:r>
      <w:r w:rsidRPr="00FC2211">
        <w:rPr>
          <w:rFonts w:cstheme="minorHAnsi"/>
          <w:bCs/>
          <w:szCs w:val="20"/>
          <w:lang w:val="en-CA"/>
        </w:rPr>
        <w:t>:</w:t>
      </w:r>
    </w:p>
    <w:tbl>
      <w:tblPr>
        <w:tblW w:w="7154" w:type="dxa"/>
        <w:jc w:val="center"/>
        <w:tblLook w:val="04A0" w:firstRow="1" w:lastRow="0" w:firstColumn="1" w:lastColumn="0" w:noHBand="0" w:noVBand="1"/>
      </w:tblPr>
      <w:tblGrid>
        <w:gridCol w:w="2552"/>
        <w:gridCol w:w="1096"/>
        <w:gridCol w:w="1314"/>
        <w:gridCol w:w="1096"/>
        <w:gridCol w:w="1096"/>
      </w:tblGrid>
      <w:tr w:rsidR="000C2F3E" w:rsidRPr="00FC2211" w14:paraId="47798189" w14:textId="77777777" w:rsidTr="00E973A8">
        <w:trPr>
          <w:trHeight w:val="480"/>
          <w:jc w:val="center"/>
        </w:trPr>
        <w:tc>
          <w:tcPr>
            <w:tcW w:w="2552" w:type="dxa"/>
            <w:tcBorders>
              <w:top w:val="nil"/>
              <w:left w:val="nil"/>
              <w:bottom w:val="single" w:sz="4" w:space="0" w:color="auto"/>
              <w:right w:val="nil"/>
            </w:tcBorders>
            <w:shd w:val="clear" w:color="auto" w:fill="auto"/>
            <w:noWrap/>
            <w:vAlign w:val="center"/>
            <w:hideMark/>
          </w:tcPr>
          <w:p w14:paraId="20CE06BF" w14:textId="77777777" w:rsidR="000C2F3E" w:rsidRPr="00FC2211" w:rsidRDefault="000C2F3E" w:rsidP="000C2F3E">
            <w:pPr>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w:t>
            </w:r>
          </w:p>
        </w:tc>
        <w:tc>
          <w:tcPr>
            <w:tcW w:w="2410" w:type="dxa"/>
            <w:gridSpan w:val="2"/>
            <w:tcBorders>
              <w:top w:val="nil"/>
              <w:left w:val="nil"/>
              <w:bottom w:val="single" w:sz="4" w:space="0" w:color="auto"/>
              <w:right w:val="nil"/>
            </w:tcBorders>
            <w:shd w:val="clear" w:color="auto" w:fill="auto"/>
            <w:vAlign w:val="center"/>
            <w:hideMark/>
          </w:tcPr>
          <w:p w14:paraId="1AE5A308" w14:textId="77777777" w:rsidR="000C2F3E" w:rsidRPr="00FC2211" w:rsidRDefault="000C2F3E" w:rsidP="000C2F3E">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For the three months ended December 31</w:t>
            </w:r>
          </w:p>
        </w:tc>
        <w:tc>
          <w:tcPr>
            <w:tcW w:w="2192" w:type="dxa"/>
            <w:gridSpan w:val="2"/>
            <w:tcBorders>
              <w:top w:val="nil"/>
              <w:left w:val="nil"/>
              <w:bottom w:val="single" w:sz="4" w:space="0" w:color="auto"/>
              <w:right w:val="nil"/>
            </w:tcBorders>
            <w:shd w:val="clear" w:color="auto" w:fill="auto"/>
            <w:vAlign w:val="center"/>
            <w:hideMark/>
          </w:tcPr>
          <w:p w14:paraId="76AC34FB" w14:textId="77777777" w:rsidR="000C2F3E" w:rsidRPr="00FC2211" w:rsidRDefault="000C2F3E" w:rsidP="000C2F3E">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For the six months ended December 31</w:t>
            </w:r>
          </w:p>
        </w:tc>
      </w:tr>
      <w:tr w:rsidR="000C2F3E" w:rsidRPr="00FC2211" w14:paraId="29164805" w14:textId="77777777" w:rsidTr="00E973A8">
        <w:trPr>
          <w:trHeight w:val="252"/>
          <w:jc w:val="center"/>
        </w:trPr>
        <w:tc>
          <w:tcPr>
            <w:tcW w:w="2552" w:type="dxa"/>
            <w:tcBorders>
              <w:top w:val="nil"/>
              <w:left w:val="nil"/>
              <w:bottom w:val="single" w:sz="8" w:space="0" w:color="auto"/>
              <w:right w:val="nil"/>
            </w:tcBorders>
            <w:shd w:val="clear" w:color="auto" w:fill="auto"/>
            <w:noWrap/>
            <w:vAlign w:val="center"/>
            <w:hideMark/>
          </w:tcPr>
          <w:p w14:paraId="1B6B4475" w14:textId="77777777" w:rsidR="000C2F3E" w:rsidRPr="00FC2211" w:rsidRDefault="000C2F3E" w:rsidP="000C2F3E">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w:t>
            </w:r>
          </w:p>
        </w:tc>
        <w:tc>
          <w:tcPr>
            <w:tcW w:w="1096" w:type="dxa"/>
            <w:tcBorders>
              <w:top w:val="nil"/>
              <w:left w:val="nil"/>
              <w:bottom w:val="single" w:sz="8" w:space="0" w:color="auto"/>
              <w:right w:val="nil"/>
            </w:tcBorders>
            <w:shd w:val="clear" w:color="auto" w:fill="auto"/>
            <w:vAlign w:val="center"/>
            <w:hideMark/>
          </w:tcPr>
          <w:p w14:paraId="7D2DEE41" w14:textId="77777777" w:rsidR="000C2F3E" w:rsidRPr="00FC2211" w:rsidRDefault="000C2F3E" w:rsidP="000C2F3E">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2023</w:t>
            </w:r>
          </w:p>
        </w:tc>
        <w:tc>
          <w:tcPr>
            <w:tcW w:w="1314" w:type="dxa"/>
            <w:tcBorders>
              <w:top w:val="nil"/>
              <w:left w:val="nil"/>
              <w:bottom w:val="single" w:sz="8" w:space="0" w:color="auto"/>
              <w:right w:val="nil"/>
            </w:tcBorders>
            <w:shd w:val="clear" w:color="auto" w:fill="auto"/>
            <w:vAlign w:val="center"/>
            <w:hideMark/>
          </w:tcPr>
          <w:p w14:paraId="661A24D4" w14:textId="77777777" w:rsidR="000C2F3E" w:rsidRPr="00FC2211" w:rsidRDefault="000C2F3E" w:rsidP="000C2F3E">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2022</w:t>
            </w:r>
          </w:p>
        </w:tc>
        <w:tc>
          <w:tcPr>
            <w:tcW w:w="1096" w:type="dxa"/>
            <w:tcBorders>
              <w:top w:val="nil"/>
              <w:left w:val="nil"/>
              <w:bottom w:val="single" w:sz="8" w:space="0" w:color="auto"/>
              <w:right w:val="nil"/>
            </w:tcBorders>
            <w:shd w:val="clear" w:color="auto" w:fill="auto"/>
            <w:vAlign w:val="center"/>
            <w:hideMark/>
          </w:tcPr>
          <w:p w14:paraId="1403C48A" w14:textId="77777777" w:rsidR="000C2F3E" w:rsidRPr="00FC2211" w:rsidRDefault="000C2F3E" w:rsidP="000C2F3E">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2023</w:t>
            </w:r>
          </w:p>
        </w:tc>
        <w:tc>
          <w:tcPr>
            <w:tcW w:w="1096" w:type="dxa"/>
            <w:tcBorders>
              <w:top w:val="nil"/>
              <w:left w:val="nil"/>
              <w:bottom w:val="single" w:sz="8" w:space="0" w:color="auto"/>
              <w:right w:val="nil"/>
            </w:tcBorders>
            <w:shd w:val="clear" w:color="auto" w:fill="auto"/>
            <w:vAlign w:val="center"/>
            <w:hideMark/>
          </w:tcPr>
          <w:p w14:paraId="6F97AEB5" w14:textId="77777777" w:rsidR="000C2F3E" w:rsidRPr="00FC2211" w:rsidRDefault="000C2F3E" w:rsidP="000C2F3E">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2022</w:t>
            </w:r>
          </w:p>
        </w:tc>
      </w:tr>
      <w:tr w:rsidR="000C2F3E" w:rsidRPr="00FC2211" w14:paraId="1479E318" w14:textId="77777777" w:rsidTr="00E973A8">
        <w:trPr>
          <w:trHeight w:val="240"/>
          <w:jc w:val="center"/>
        </w:trPr>
        <w:tc>
          <w:tcPr>
            <w:tcW w:w="2552" w:type="dxa"/>
            <w:tcBorders>
              <w:top w:val="nil"/>
              <w:left w:val="nil"/>
              <w:bottom w:val="nil"/>
              <w:right w:val="nil"/>
            </w:tcBorders>
            <w:shd w:val="clear" w:color="000000" w:fill="FFFFFF"/>
            <w:noWrap/>
            <w:vAlign w:val="center"/>
            <w:hideMark/>
          </w:tcPr>
          <w:p w14:paraId="56D5C1CE" w14:textId="77777777" w:rsidR="000C2F3E" w:rsidRPr="00FC2211" w:rsidRDefault="000C2F3E" w:rsidP="000C2F3E">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Remuneration and benefits</w:t>
            </w:r>
          </w:p>
        </w:tc>
        <w:tc>
          <w:tcPr>
            <w:tcW w:w="1096" w:type="dxa"/>
            <w:tcBorders>
              <w:top w:val="nil"/>
              <w:left w:val="nil"/>
              <w:bottom w:val="nil"/>
              <w:right w:val="nil"/>
            </w:tcBorders>
            <w:shd w:val="clear" w:color="auto" w:fill="auto"/>
            <w:noWrap/>
            <w:vAlign w:val="center"/>
            <w:hideMark/>
          </w:tcPr>
          <w:p w14:paraId="6178DB71" w14:textId="3F2DF9DD" w:rsidR="000C2F3E" w:rsidRPr="00FC2211" w:rsidRDefault="000C2F3E" w:rsidP="000C2F3E">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w:t>
            </w:r>
            <w:r w:rsidR="0000774D" w:rsidRPr="00FC2211">
              <w:rPr>
                <w:rFonts w:ascii="Calibri" w:hAnsi="Calibri" w:cs="Calibri"/>
                <w:b/>
                <w:bCs/>
                <w:color w:val="000000"/>
                <w:sz w:val="18"/>
                <w:szCs w:val="18"/>
                <w:lang w:val="en-CA" w:eastAsia="en-CA"/>
              </w:rPr>
              <w:t>118,269</w:t>
            </w:r>
            <w:r w:rsidRPr="00FC2211">
              <w:rPr>
                <w:rFonts w:ascii="Calibri" w:hAnsi="Calibri" w:cs="Calibri"/>
                <w:b/>
                <w:bCs/>
                <w:color w:val="000000"/>
                <w:sz w:val="18"/>
                <w:szCs w:val="18"/>
                <w:lang w:val="en-CA" w:eastAsia="en-CA"/>
              </w:rPr>
              <w:t xml:space="preserve"> </w:t>
            </w:r>
          </w:p>
        </w:tc>
        <w:tc>
          <w:tcPr>
            <w:tcW w:w="1314" w:type="dxa"/>
            <w:tcBorders>
              <w:top w:val="nil"/>
              <w:left w:val="nil"/>
              <w:bottom w:val="nil"/>
              <w:right w:val="nil"/>
            </w:tcBorders>
            <w:shd w:val="clear" w:color="auto" w:fill="auto"/>
            <w:noWrap/>
            <w:vAlign w:val="center"/>
            <w:hideMark/>
          </w:tcPr>
          <w:p w14:paraId="7487758F" w14:textId="05AD4FDC" w:rsidR="000C2F3E" w:rsidRPr="00FC2211" w:rsidRDefault="000C2F3E" w:rsidP="000C2F3E">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$ 231,924 </w:t>
            </w:r>
          </w:p>
        </w:tc>
        <w:tc>
          <w:tcPr>
            <w:tcW w:w="1096" w:type="dxa"/>
            <w:tcBorders>
              <w:top w:val="nil"/>
              <w:left w:val="nil"/>
              <w:bottom w:val="nil"/>
              <w:right w:val="nil"/>
            </w:tcBorders>
            <w:shd w:val="clear" w:color="auto" w:fill="auto"/>
            <w:noWrap/>
            <w:vAlign w:val="center"/>
            <w:hideMark/>
          </w:tcPr>
          <w:p w14:paraId="0BB5E44A" w14:textId="70DC2746" w:rsidR="000C2F3E" w:rsidRPr="00FC2211" w:rsidRDefault="000C2F3E" w:rsidP="000C2F3E">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w:t>
            </w:r>
            <w:r w:rsidR="00163322" w:rsidRPr="00FC2211">
              <w:rPr>
                <w:rFonts w:ascii="Calibri" w:hAnsi="Calibri" w:cs="Calibri"/>
                <w:b/>
                <w:bCs/>
                <w:color w:val="000000"/>
                <w:sz w:val="18"/>
                <w:szCs w:val="18"/>
                <w:lang w:val="en-CA" w:eastAsia="en-CA"/>
              </w:rPr>
              <w:t>205,769</w:t>
            </w:r>
            <w:r w:rsidRPr="00FC2211">
              <w:rPr>
                <w:rFonts w:ascii="Calibri" w:hAnsi="Calibri" w:cs="Calibri"/>
                <w:b/>
                <w:bCs/>
                <w:color w:val="000000"/>
                <w:sz w:val="18"/>
                <w:szCs w:val="18"/>
                <w:lang w:val="en-CA" w:eastAsia="en-CA"/>
              </w:rPr>
              <w:t xml:space="preserve"> </w:t>
            </w:r>
          </w:p>
        </w:tc>
        <w:tc>
          <w:tcPr>
            <w:tcW w:w="1096" w:type="dxa"/>
            <w:tcBorders>
              <w:top w:val="nil"/>
              <w:left w:val="nil"/>
              <w:bottom w:val="nil"/>
              <w:right w:val="nil"/>
            </w:tcBorders>
            <w:shd w:val="clear" w:color="auto" w:fill="auto"/>
            <w:noWrap/>
            <w:vAlign w:val="center"/>
            <w:hideMark/>
          </w:tcPr>
          <w:p w14:paraId="5C03AFBE" w14:textId="14C4F36E" w:rsidR="000C2F3E" w:rsidRPr="00FC2211" w:rsidRDefault="000C2F3E" w:rsidP="000C2F3E">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$ 333,039 </w:t>
            </w:r>
          </w:p>
        </w:tc>
      </w:tr>
      <w:tr w:rsidR="000C2F3E" w:rsidRPr="00FC2211" w14:paraId="744F451C" w14:textId="77777777" w:rsidTr="00E973A8">
        <w:trPr>
          <w:trHeight w:val="240"/>
          <w:jc w:val="center"/>
        </w:trPr>
        <w:tc>
          <w:tcPr>
            <w:tcW w:w="2552" w:type="dxa"/>
            <w:tcBorders>
              <w:top w:val="nil"/>
              <w:left w:val="nil"/>
              <w:bottom w:val="nil"/>
              <w:right w:val="nil"/>
            </w:tcBorders>
            <w:shd w:val="clear" w:color="000000" w:fill="FFFFFF"/>
            <w:noWrap/>
            <w:vAlign w:val="center"/>
            <w:hideMark/>
          </w:tcPr>
          <w:p w14:paraId="2309C5BF" w14:textId="77777777" w:rsidR="000C2F3E" w:rsidRPr="00FC2211" w:rsidRDefault="000C2F3E" w:rsidP="000C2F3E">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Stock-based compensation</w:t>
            </w:r>
          </w:p>
        </w:tc>
        <w:tc>
          <w:tcPr>
            <w:tcW w:w="1096" w:type="dxa"/>
            <w:tcBorders>
              <w:top w:val="nil"/>
              <w:left w:val="nil"/>
              <w:bottom w:val="nil"/>
              <w:right w:val="nil"/>
            </w:tcBorders>
            <w:shd w:val="clear" w:color="auto" w:fill="auto"/>
            <w:noWrap/>
            <w:vAlign w:val="center"/>
            <w:hideMark/>
          </w:tcPr>
          <w:p w14:paraId="48F3E270" w14:textId="4B32EA75" w:rsidR="000C2F3E" w:rsidRPr="00FC2211" w:rsidRDefault="000C2F3E" w:rsidP="000C2F3E">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44,052 </w:t>
            </w:r>
          </w:p>
        </w:tc>
        <w:tc>
          <w:tcPr>
            <w:tcW w:w="1314" w:type="dxa"/>
            <w:tcBorders>
              <w:top w:val="nil"/>
              <w:left w:val="nil"/>
              <w:bottom w:val="nil"/>
              <w:right w:val="nil"/>
            </w:tcBorders>
            <w:shd w:val="clear" w:color="auto" w:fill="auto"/>
            <w:noWrap/>
            <w:vAlign w:val="center"/>
            <w:hideMark/>
          </w:tcPr>
          <w:p w14:paraId="4F42C96A" w14:textId="6AC90BEC" w:rsidR="000C2F3E" w:rsidRPr="00FC2211" w:rsidRDefault="000C2F3E" w:rsidP="000C2F3E">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12,182 </w:t>
            </w:r>
          </w:p>
        </w:tc>
        <w:tc>
          <w:tcPr>
            <w:tcW w:w="1096" w:type="dxa"/>
            <w:tcBorders>
              <w:top w:val="nil"/>
              <w:left w:val="nil"/>
              <w:bottom w:val="nil"/>
              <w:right w:val="nil"/>
            </w:tcBorders>
            <w:shd w:val="clear" w:color="auto" w:fill="auto"/>
            <w:noWrap/>
            <w:vAlign w:val="center"/>
            <w:hideMark/>
          </w:tcPr>
          <w:p w14:paraId="5035C278" w14:textId="0B69CA9C" w:rsidR="000C2F3E" w:rsidRPr="00FC2211" w:rsidRDefault="000C2F3E" w:rsidP="000C2F3E">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84,765 </w:t>
            </w:r>
          </w:p>
        </w:tc>
        <w:tc>
          <w:tcPr>
            <w:tcW w:w="1096" w:type="dxa"/>
            <w:tcBorders>
              <w:top w:val="nil"/>
              <w:left w:val="nil"/>
              <w:bottom w:val="nil"/>
              <w:right w:val="nil"/>
            </w:tcBorders>
            <w:shd w:val="clear" w:color="auto" w:fill="auto"/>
            <w:noWrap/>
            <w:vAlign w:val="center"/>
            <w:hideMark/>
          </w:tcPr>
          <w:p w14:paraId="39726311" w14:textId="599F8D22" w:rsidR="000C2F3E" w:rsidRPr="00FC2211" w:rsidRDefault="000C2F3E" w:rsidP="000C2F3E">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25,071 </w:t>
            </w:r>
          </w:p>
        </w:tc>
      </w:tr>
      <w:tr w:rsidR="000C2F3E" w:rsidRPr="00FC2211" w14:paraId="2DFFC3BC" w14:textId="77777777" w:rsidTr="00E973A8">
        <w:trPr>
          <w:trHeight w:val="252"/>
          <w:jc w:val="center"/>
        </w:trPr>
        <w:tc>
          <w:tcPr>
            <w:tcW w:w="2552" w:type="dxa"/>
            <w:tcBorders>
              <w:top w:val="single" w:sz="4" w:space="0" w:color="auto"/>
              <w:left w:val="nil"/>
              <w:bottom w:val="single" w:sz="8" w:space="0" w:color="auto"/>
              <w:right w:val="nil"/>
            </w:tcBorders>
            <w:shd w:val="clear" w:color="auto" w:fill="auto"/>
            <w:noWrap/>
            <w:vAlign w:val="center"/>
            <w:hideMark/>
          </w:tcPr>
          <w:p w14:paraId="201B3D62" w14:textId="77777777" w:rsidR="000C2F3E" w:rsidRPr="00FC2211" w:rsidRDefault="000C2F3E" w:rsidP="000C2F3E">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Total</w:t>
            </w:r>
          </w:p>
        </w:tc>
        <w:tc>
          <w:tcPr>
            <w:tcW w:w="1096" w:type="dxa"/>
            <w:tcBorders>
              <w:top w:val="single" w:sz="4" w:space="0" w:color="auto"/>
              <w:left w:val="nil"/>
              <w:bottom w:val="single" w:sz="8" w:space="0" w:color="auto"/>
              <w:right w:val="nil"/>
            </w:tcBorders>
            <w:shd w:val="clear" w:color="auto" w:fill="auto"/>
            <w:noWrap/>
            <w:vAlign w:val="center"/>
            <w:hideMark/>
          </w:tcPr>
          <w:p w14:paraId="500E95F8" w14:textId="78D28DC1" w:rsidR="000C2F3E" w:rsidRPr="00FC2211" w:rsidRDefault="000C2F3E" w:rsidP="000C2F3E">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w:t>
            </w:r>
            <w:r w:rsidR="00163322" w:rsidRPr="00FC2211">
              <w:rPr>
                <w:rFonts w:ascii="Calibri" w:hAnsi="Calibri" w:cs="Calibri"/>
                <w:b/>
                <w:bCs/>
                <w:color w:val="000000"/>
                <w:sz w:val="18"/>
                <w:szCs w:val="18"/>
                <w:lang w:val="en-CA" w:eastAsia="en-CA"/>
              </w:rPr>
              <w:t>162,321</w:t>
            </w:r>
            <w:r w:rsidRPr="00FC2211">
              <w:rPr>
                <w:rFonts w:ascii="Calibri" w:hAnsi="Calibri" w:cs="Calibri"/>
                <w:b/>
                <w:bCs/>
                <w:color w:val="000000"/>
                <w:sz w:val="18"/>
                <w:szCs w:val="18"/>
                <w:lang w:val="en-CA" w:eastAsia="en-CA"/>
              </w:rPr>
              <w:t xml:space="preserve"> </w:t>
            </w:r>
          </w:p>
        </w:tc>
        <w:tc>
          <w:tcPr>
            <w:tcW w:w="1314" w:type="dxa"/>
            <w:tcBorders>
              <w:top w:val="single" w:sz="4" w:space="0" w:color="auto"/>
              <w:left w:val="nil"/>
              <w:bottom w:val="single" w:sz="8" w:space="0" w:color="auto"/>
              <w:right w:val="nil"/>
            </w:tcBorders>
            <w:shd w:val="clear" w:color="auto" w:fill="auto"/>
            <w:noWrap/>
            <w:vAlign w:val="center"/>
            <w:hideMark/>
          </w:tcPr>
          <w:p w14:paraId="5A9C1BDD" w14:textId="63245B64" w:rsidR="000C2F3E" w:rsidRPr="00FC2211" w:rsidRDefault="000C2F3E" w:rsidP="000C2F3E">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$ 244,106 </w:t>
            </w:r>
          </w:p>
        </w:tc>
        <w:tc>
          <w:tcPr>
            <w:tcW w:w="1096" w:type="dxa"/>
            <w:tcBorders>
              <w:top w:val="single" w:sz="4" w:space="0" w:color="auto"/>
              <w:left w:val="nil"/>
              <w:bottom w:val="single" w:sz="8" w:space="0" w:color="auto"/>
              <w:right w:val="nil"/>
            </w:tcBorders>
            <w:shd w:val="clear" w:color="auto" w:fill="auto"/>
            <w:noWrap/>
            <w:vAlign w:val="center"/>
            <w:hideMark/>
          </w:tcPr>
          <w:p w14:paraId="31E5E625" w14:textId="7DFE69A6" w:rsidR="000C2F3E" w:rsidRPr="00FC2211" w:rsidRDefault="000C2F3E" w:rsidP="000C2F3E">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$ 2</w:t>
            </w:r>
            <w:r w:rsidR="00163322" w:rsidRPr="00FC2211">
              <w:rPr>
                <w:rFonts w:ascii="Calibri" w:hAnsi="Calibri" w:cs="Calibri"/>
                <w:b/>
                <w:bCs/>
                <w:color w:val="000000"/>
                <w:sz w:val="18"/>
                <w:szCs w:val="18"/>
                <w:lang w:val="en-CA" w:eastAsia="en-CA"/>
              </w:rPr>
              <w:t>90,534</w:t>
            </w:r>
            <w:r w:rsidRPr="00FC2211">
              <w:rPr>
                <w:rFonts w:ascii="Calibri" w:hAnsi="Calibri" w:cs="Calibri"/>
                <w:b/>
                <w:bCs/>
                <w:color w:val="000000"/>
                <w:sz w:val="18"/>
                <w:szCs w:val="18"/>
                <w:lang w:val="en-CA" w:eastAsia="en-CA"/>
              </w:rPr>
              <w:t xml:space="preserve"> </w:t>
            </w:r>
          </w:p>
        </w:tc>
        <w:tc>
          <w:tcPr>
            <w:tcW w:w="1096" w:type="dxa"/>
            <w:tcBorders>
              <w:top w:val="single" w:sz="4" w:space="0" w:color="auto"/>
              <w:left w:val="nil"/>
              <w:bottom w:val="single" w:sz="8" w:space="0" w:color="auto"/>
              <w:right w:val="nil"/>
            </w:tcBorders>
            <w:shd w:val="clear" w:color="auto" w:fill="auto"/>
            <w:noWrap/>
            <w:vAlign w:val="center"/>
            <w:hideMark/>
          </w:tcPr>
          <w:p w14:paraId="5BBAF2C1" w14:textId="73421938" w:rsidR="000C2F3E" w:rsidRPr="00FC2211" w:rsidRDefault="000C2F3E" w:rsidP="000C2F3E">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$ 358,110 </w:t>
            </w:r>
          </w:p>
        </w:tc>
      </w:tr>
    </w:tbl>
    <w:p w14:paraId="70C8791F" w14:textId="77777777" w:rsidR="00282FF9" w:rsidRPr="00FC2211" w:rsidRDefault="00282FF9" w:rsidP="007335A5">
      <w:pPr>
        <w:ind w:left="450"/>
        <w:rPr>
          <w:rFonts w:cstheme="minorHAnsi"/>
          <w:bCs/>
          <w:szCs w:val="20"/>
          <w:lang w:val="en-CA"/>
        </w:rPr>
      </w:pPr>
    </w:p>
    <w:p w14:paraId="2D287F72" w14:textId="695FDB92" w:rsidR="007A39D0" w:rsidRPr="00FC2211" w:rsidRDefault="00C47E16" w:rsidP="00C47E16">
      <w:pPr>
        <w:pStyle w:val="Heading1"/>
        <w:ind w:left="426" w:hanging="426"/>
        <w:rPr>
          <w:rFonts w:cstheme="minorHAnsi"/>
          <w:szCs w:val="20"/>
          <w:lang w:val="en-GB"/>
        </w:rPr>
      </w:pPr>
      <w:r w:rsidRPr="00FC2211">
        <w:rPr>
          <w:rFonts w:cstheme="minorHAnsi"/>
          <w:szCs w:val="20"/>
          <w:lang w:val="en-GB"/>
        </w:rPr>
        <w:t xml:space="preserve">18.   </w:t>
      </w:r>
      <w:r w:rsidR="00587048" w:rsidRPr="00FC2211">
        <w:rPr>
          <w:rFonts w:cstheme="minorHAnsi"/>
          <w:szCs w:val="20"/>
          <w:lang w:val="en-GB"/>
        </w:rPr>
        <w:t>C</w:t>
      </w:r>
      <w:r w:rsidR="007A39D0" w:rsidRPr="00FC2211">
        <w:rPr>
          <w:rFonts w:cstheme="minorHAnsi"/>
          <w:szCs w:val="20"/>
          <w:lang w:val="en-GB"/>
        </w:rPr>
        <w:t>APITAL MANAGEMENT</w:t>
      </w:r>
    </w:p>
    <w:p w14:paraId="05ADF436" w14:textId="77777777" w:rsidR="007A39D0" w:rsidRPr="00FC2211" w:rsidRDefault="007A39D0" w:rsidP="007A39D0">
      <w:pPr>
        <w:pStyle w:val="ListParagraph"/>
        <w:spacing w:after="0" w:line="240" w:lineRule="auto"/>
        <w:ind w:left="360"/>
        <w:rPr>
          <w:rFonts w:asciiTheme="minorHAnsi" w:hAnsiTheme="minorHAnsi" w:cstheme="minorHAnsi"/>
          <w:b/>
          <w:bCs/>
          <w:sz w:val="20"/>
          <w:szCs w:val="20"/>
          <w:lang w:val="en-CA"/>
        </w:rPr>
      </w:pPr>
    </w:p>
    <w:p w14:paraId="7D7E6D24" w14:textId="77777777" w:rsidR="00D67793" w:rsidRPr="00FC2211" w:rsidRDefault="007A39D0" w:rsidP="00BE709D">
      <w:pPr>
        <w:tabs>
          <w:tab w:val="right" w:pos="10080"/>
        </w:tabs>
        <w:ind w:left="426"/>
        <w:jc w:val="both"/>
        <w:rPr>
          <w:rFonts w:cstheme="minorHAnsi"/>
          <w:szCs w:val="20"/>
        </w:rPr>
      </w:pPr>
      <w:r w:rsidRPr="00FC2211">
        <w:rPr>
          <w:rFonts w:cstheme="minorHAnsi"/>
          <w:szCs w:val="20"/>
          <w:lang w:val="en-GB"/>
        </w:rPr>
        <w:t xml:space="preserve">The Company defines capital as consisting of shareholders’ equity. The Company’s objectives when managing capital are to support the further advancement of the Company’s business objectives and existing product lines, as well as to ensure that the Company </w:t>
      </w:r>
      <w:r w:rsidR="00F25DAB" w:rsidRPr="00FC2211">
        <w:rPr>
          <w:rFonts w:cstheme="minorHAnsi"/>
          <w:szCs w:val="20"/>
          <w:lang w:val="en-GB"/>
        </w:rPr>
        <w:t>can</w:t>
      </w:r>
      <w:r w:rsidRPr="00FC2211">
        <w:rPr>
          <w:rFonts w:cstheme="minorHAnsi"/>
          <w:szCs w:val="20"/>
          <w:lang w:val="en-GB"/>
        </w:rPr>
        <w:t xml:space="preserve"> meet its financial obligations as they become due.</w:t>
      </w:r>
    </w:p>
    <w:p w14:paraId="762E00C0" w14:textId="77777777" w:rsidR="007A39D0" w:rsidRPr="00FC2211" w:rsidRDefault="007A39D0" w:rsidP="00BE709D">
      <w:pPr>
        <w:tabs>
          <w:tab w:val="right" w:pos="10080"/>
        </w:tabs>
        <w:ind w:left="426"/>
        <w:jc w:val="both"/>
        <w:rPr>
          <w:rFonts w:cstheme="minorHAnsi"/>
          <w:b/>
          <w:szCs w:val="20"/>
          <w:lang w:val="en-GB"/>
        </w:rPr>
      </w:pPr>
    </w:p>
    <w:p w14:paraId="5DDFBD8F" w14:textId="3D4A12B7" w:rsidR="00002EBE" w:rsidRPr="00FC2211" w:rsidRDefault="00D67793" w:rsidP="00BE709D">
      <w:pPr>
        <w:tabs>
          <w:tab w:val="right" w:pos="10080"/>
        </w:tabs>
        <w:ind w:left="426"/>
        <w:jc w:val="both"/>
        <w:rPr>
          <w:rFonts w:cstheme="minorHAnsi"/>
          <w:szCs w:val="20"/>
          <w:lang w:val="en-GB"/>
        </w:rPr>
      </w:pPr>
      <w:r w:rsidRPr="00FC2211">
        <w:rPr>
          <w:rFonts w:cstheme="minorHAnsi"/>
          <w:szCs w:val="20"/>
          <w:lang w:val="en-GB"/>
        </w:rPr>
        <w:t>The Company manages its capital structure to maximize its financial flexibility</w:t>
      </w:r>
      <w:r w:rsidR="00C83304" w:rsidRPr="00FC2211">
        <w:rPr>
          <w:rFonts w:cstheme="minorHAnsi"/>
          <w:szCs w:val="20"/>
          <w:lang w:val="en-GB"/>
        </w:rPr>
        <w:t>,</w:t>
      </w:r>
      <w:r w:rsidRPr="00FC2211">
        <w:rPr>
          <w:rFonts w:cstheme="minorHAnsi"/>
          <w:szCs w:val="20"/>
          <w:lang w:val="en-GB"/>
        </w:rPr>
        <w:t xml:space="preserve"> </w:t>
      </w:r>
      <w:r w:rsidR="00F25DAB" w:rsidRPr="00FC2211">
        <w:rPr>
          <w:rFonts w:cstheme="minorHAnsi"/>
          <w:szCs w:val="20"/>
          <w:lang w:val="en-GB"/>
        </w:rPr>
        <w:t>adjusting</w:t>
      </w:r>
      <w:r w:rsidRPr="00FC2211">
        <w:rPr>
          <w:rFonts w:cstheme="minorHAnsi"/>
          <w:szCs w:val="20"/>
          <w:lang w:val="en-GB"/>
        </w:rPr>
        <w:t xml:space="preserve"> it in response to changes in economic conditions and the risk characteristics of the underlying assets and business opportunities. The Company relies on the expertise of the Company’s management to sustain the future development of the business. Management reviews its capital management approach on an ongoing basis and believes that this approach, given the </w:t>
      </w:r>
      <w:r w:rsidR="00C83304" w:rsidRPr="00FC2211">
        <w:rPr>
          <w:rFonts w:cstheme="minorHAnsi"/>
          <w:szCs w:val="20"/>
          <w:lang w:val="en-GB"/>
        </w:rPr>
        <w:t>Company's relative size</w:t>
      </w:r>
      <w:r w:rsidRPr="00FC2211">
        <w:rPr>
          <w:rFonts w:cstheme="minorHAnsi"/>
          <w:szCs w:val="20"/>
          <w:lang w:val="en-GB"/>
        </w:rPr>
        <w:t xml:space="preserve">, is reasonable. </w:t>
      </w:r>
      <w:r w:rsidR="00002EBE" w:rsidRPr="00FC2211">
        <w:rPr>
          <w:rFonts w:cstheme="minorHAnsi"/>
          <w:szCs w:val="20"/>
          <w:lang w:val="en-GB"/>
        </w:rPr>
        <w:t>The approach to capital management has not changed since the prior year, and the Company is not subjected to externally imposed capital requirements.</w:t>
      </w:r>
    </w:p>
    <w:p w14:paraId="6B7801DF" w14:textId="77777777" w:rsidR="007E2CCB" w:rsidRPr="00FC2211" w:rsidRDefault="007E2CCB" w:rsidP="00BE709D">
      <w:pPr>
        <w:tabs>
          <w:tab w:val="right" w:pos="10080"/>
        </w:tabs>
        <w:ind w:left="426"/>
        <w:jc w:val="both"/>
        <w:rPr>
          <w:rFonts w:cstheme="minorHAnsi"/>
          <w:szCs w:val="20"/>
          <w:lang w:val="en-GB"/>
        </w:rPr>
      </w:pPr>
    </w:p>
    <w:p w14:paraId="40431AAA" w14:textId="6E3F6CF6" w:rsidR="00D67793" w:rsidRPr="00FC2211" w:rsidRDefault="006B686D" w:rsidP="006B686D">
      <w:pPr>
        <w:pStyle w:val="Heading1"/>
        <w:rPr>
          <w:rFonts w:cstheme="minorHAnsi"/>
          <w:szCs w:val="20"/>
          <w:lang w:val="en-GB"/>
        </w:rPr>
      </w:pPr>
      <w:bookmarkStart w:id="6" w:name="_Hlk77838003"/>
      <w:r w:rsidRPr="00FC2211">
        <w:rPr>
          <w:rFonts w:cstheme="minorHAnsi"/>
          <w:szCs w:val="20"/>
          <w:lang w:val="en-GB"/>
        </w:rPr>
        <w:t>1</w:t>
      </w:r>
      <w:r w:rsidR="00351BE0" w:rsidRPr="00FC2211">
        <w:rPr>
          <w:rFonts w:cstheme="minorHAnsi"/>
          <w:szCs w:val="20"/>
          <w:lang w:val="en-GB"/>
        </w:rPr>
        <w:t>9</w:t>
      </w:r>
      <w:r w:rsidRPr="00FC2211">
        <w:rPr>
          <w:rFonts w:cstheme="minorHAnsi"/>
          <w:szCs w:val="20"/>
          <w:lang w:val="en-GB"/>
        </w:rPr>
        <w:t xml:space="preserve">.   </w:t>
      </w:r>
      <w:r w:rsidR="00D67793" w:rsidRPr="00FC2211">
        <w:rPr>
          <w:rFonts w:cstheme="minorHAnsi"/>
          <w:szCs w:val="20"/>
          <w:lang w:val="en-GB"/>
        </w:rPr>
        <w:t>FINANCIAL INSTRUMENTS AND RISK MANAGEMENT</w:t>
      </w:r>
    </w:p>
    <w:bookmarkEnd w:id="6"/>
    <w:p w14:paraId="6962D33B" w14:textId="77777777" w:rsidR="00D67793" w:rsidRPr="00FC2211" w:rsidRDefault="00D67793" w:rsidP="00D67793">
      <w:pPr>
        <w:rPr>
          <w:rFonts w:cstheme="minorHAnsi"/>
          <w:bCs/>
          <w:szCs w:val="20"/>
          <w:lang w:val="en-CA"/>
        </w:rPr>
      </w:pPr>
    </w:p>
    <w:p w14:paraId="0F4E78B8" w14:textId="77777777" w:rsidR="00D67793" w:rsidRPr="00FC2211" w:rsidRDefault="006B686D" w:rsidP="006B686D">
      <w:pPr>
        <w:contextualSpacing/>
        <w:rPr>
          <w:rFonts w:cstheme="minorHAnsi"/>
          <w:b/>
          <w:szCs w:val="20"/>
        </w:rPr>
      </w:pPr>
      <w:r w:rsidRPr="00FC2211">
        <w:rPr>
          <w:rFonts w:cstheme="minorHAnsi"/>
          <w:b/>
          <w:szCs w:val="20"/>
        </w:rPr>
        <w:t xml:space="preserve">         </w:t>
      </w:r>
      <w:r w:rsidR="009627BF" w:rsidRPr="00FC2211">
        <w:rPr>
          <w:rFonts w:cstheme="minorHAnsi"/>
          <w:b/>
          <w:szCs w:val="20"/>
        </w:rPr>
        <w:t xml:space="preserve"> </w:t>
      </w:r>
      <w:r w:rsidRPr="00FC2211">
        <w:rPr>
          <w:rFonts w:cstheme="minorHAnsi"/>
          <w:b/>
          <w:szCs w:val="20"/>
        </w:rPr>
        <w:t xml:space="preserve">a)    </w:t>
      </w:r>
      <w:r w:rsidR="00D67793" w:rsidRPr="00FC2211">
        <w:rPr>
          <w:rFonts w:cstheme="minorHAnsi"/>
          <w:b/>
          <w:szCs w:val="20"/>
        </w:rPr>
        <w:t>Fair value risk</w:t>
      </w:r>
    </w:p>
    <w:p w14:paraId="5079EF1A" w14:textId="77777777" w:rsidR="00D67793" w:rsidRPr="00FC2211" w:rsidRDefault="00D67793" w:rsidP="00D67793">
      <w:pPr>
        <w:ind w:left="720"/>
        <w:contextualSpacing/>
        <w:rPr>
          <w:rFonts w:cstheme="minorHAnsi"/>
          <w:b/>
          <w:szCs w:val="20"/>
        </w:rPr>
      </w:pPr>
    </w:p>
    <w:p w14:paraId="70D6A47D" w14:textId="1A752B68" w:rsidR="00D67793" w:rsidRPr="00FC2211" w:rsidRDefault="00D67793" w:rsidP="00D02C78">
      <w:pPr>
        <w:ind w:left="737"/>
        <w:contextualSpacing/>
        <w:jc w:val="both"/>
        <w:rPr>
          <w:rFonts w:cstheme="minorHAnsi"/>
          <w:szCs w:val="20"/>
          <w:lang w:val="en-GB"/>
        </w:rPr>
      </w:pPr>
      <w:r w:rsidRPr="00FC2211">
        <w:rPr>
          <w:rFonts w:cstheme="minorHAnsi"/>
          <w:szCs w:val="20"/>
          <w:lang w:val="en-GB"/>
        </w:rPr>
        <w:t xml:space="preserve">The Company’s financial instruments consist of cash, </w:t>
      </w:r>
      <w:r w:rsidR="00E23D9C" w:rsidRPr="00FC2211">
        <w:rPr>
          <w:rFonts w:cstheme="minorHAnsi"/>
          <w:szCs w:val="20"/>
          <w:lang w:val="en-GB"/>
        </w:rPr>
        <w:t>account</w:t>
      </w:r>
      <w:r w:rsidR="45F8CD72" w:rsidRPr="00FC2211">
        <w:rPr>
          <w:rFonts w:cstheme="minorHAnsi"/>
          <w:szCs w:val="20"/>
          <w:lang w:val="en-GB"/>
        </w:rPr>
        <w:t>s</w:t>
      </w:r>
      <w:r w:rsidR="00E23D9C" w:rsidRPr="00FC2211">
        <w:rPr>
          <w:rFonts w:cstheme="minorHAnsi"/>
          <w:szCs w:val="20"/>
          <w:lang w:val="en-GB"/>
        </w:rPr>
        <w:t xml:space="preserve"> </w:t>
      </w:r>
      <w:r w:rsidRPr="00FC2211">
        <w:rPr>
          <w:rFonts w:cstheme="minorHAnsi"/>
          <w:szCs w:val="20"/>
          <w:lang w:val="en-GB"/>
        </w:rPr>
        <w:t>receivable</w:t>
      </w:r>
      <w:r w:rsidR="00B30B49" w:rsidRPr="00FC2211">
        <w:rPr>
          <w:rFonts w:cstheme="minorHAnsi"/>
          <w:szCs w:val="20"/>
          <w:lang w:val="en-GB"/>
        </w:rPr>
        <w:t>,</w:t>
      </w:r>
      <w:r w:rsidR="002B484B" w:rsidRPr="00FC2211">
        <w:rPr>
          <w:rFonts w:cstheme="minorHAnsi"/>
          <w:szCs w:val="20"/>
          <w:lang w:val="en-GB"/>
        </w:rPr>
        <w:t xml:space="preserve"> notes receivable,</w:t>
      </w:r>
      <w:r w:rsidR="004A7845" w:rsidRPr="00FC2211">
        <w:rPr>
          <w:rFonts w:cstheme="minorHAnsi"/>
          <w:szCs w:val="20"/>
          <w:lang w:val="en-GB"/>
        </w:rPr>
        <w:t xml:space="preserve"> </w:t>
      </w:r>
      <w:r w:rsidRPr="00FC2211">
        <w:rPr>
          <w:rFonts w:cstheme="minorHAnsi"/>
          <w:szCs w:val="20"/>
          <w:lang w:val="en-GB"/>
        </w:rPr>
        <w:t>accounts payable</w:t>
      </w:r>
      <w:r w:rsidR="00EC506E" w:rsidRPr="00FC2211">
        <w:rPr>
          <w:rFonts w:cstheme="minorHAnsi"/>
          <w:szCs w:val="20"/>
          <w:lang w:val="en-GB"/>
        </w:rPr>
        <w:t xml:space="preserve"> and accrued liabilities</w:t>
      </w:r>
      <w:r w:rsidR="00A943DC" w:rsidRPr="00FC2211">
        <w:rPr>
          <w:rFonts w:cstheme="minorHAnsi"/>
          <w:szCs w:val="20"/>
          <w:lang w:val="en-GB"/>
        </w:rPr>
        <w:t>,</w:t>
      </w:r>
      <w:r w:rsidRPr="00FC2211">
        <w:rPr>
          <w:rFonts w:cstheme="minorHAnsi"/>
          <w:szCs w:val="20"/>
          <w:lang w:val="en-GB"/>
        </w:rPr>
        <w:t xml:space="preserve"> due to related parties</w:t>
      </w:r>
      <w:r w:rsidR="00123CD1" w:rsidRPr="00FC2211">
        <w:rPr>
          <w:rFonts w:cstheme="minorHAnsi"/>
          <w:szCs w:val="20"/>
          <w:lang w:val="en-GB"/>
        </w:rPr>
        <w:t>,</w:t>
      </w:r>
      <w:r w:rsidRPr="00FC2211">
        <w:rPr>
          <w:rFonts w:cstheme="minorHAnsi"/>
          <w:szCs w:val="20"/>
          <w:lang w:val="en-GB"/>
        </w:rPr>
        <w:t xml:space="preserve"> loan</w:t>
      </w:r>
      <w:r w:rsidR="00EC506E" w:rsidRPr="00FC2211">
        <w:rPr>
          <w:rFonts w:cstheme="minorHAnsi"/>
          <w:szCs w:val="20"/>
          <w:lang w:val="en-GB"/>
        </w:rPr>
        <w:t>s</w:t>
      </w:r>
      <w:r w:rsidRPr="00FC2211">
        <w:rPr>
          <w:rFonts w:cstheme="minorHAnsi"/>
          <w:szCs w:val="20"/>
          <w:lang w:val="en-GB"/>
        </w:rPr>
        <w:t xml:space="preserve"> payable</w:t>
      </w:r>
      <w:r w:rsidR="0070234B" w:rsidRPr="00FC2211">
        <w:rPr>
          <w:rFonts w:cstheme="minorHAnsi"/>
          <w:szCs w:val="20"/>
          <w:lang w:val="en-GB"/>
        </w:rPr>
        <w:t>,</w:t>
      </w:r>
      <w:r w:rsidR="002B484B" w:rsidRPr="00FC2211">
        <w:rPr>
          <w:rFonts w:cstheme="minorHAnsi"/>
          <w:szCs w:val="20"/>
          <w:lang w:val="en-GB"/>
        </w:rPr>
        <w:t xml:space="preserve"> notes payable,</w:t>
      </w:r>
      <w:r w:rsidR="00D57981" w:rsidRPr="00FC2211">
        <w:rPr>
          <w:rFonts w:cstheme="minorHAnsi"/>
          <w:szCs w:val="20"/>
          <w:lang w:val="en-GB"/>
        </w:rPr>
        <w:t xml:space="preserve"> interest payable,</w:t>
      </w:r>
      <w:r w:rsidR="00123CD1" w:rsidRPr="00FC2211">
        <w:rPr>
          <w:rFonts w:cstheme="minorHAnsi"/>
          <w:szCs w:val="20"/>
          <w:lang w:val="en-GB"/>
        </w:rPr>
        <w:t xml:space="preserve"> </w:t>
      </w:r>
      <w:r w:rsidR="00A943DC" w:rsidRPr="00FC2211">
        <w:rPr>
          <w:rFonts w:cstheme="minorHAnsi"/>
          <w:szCs w:val="20"/>
          <w:lang w:val="en-GB"/>
        </w:rPr>
        <w:t xml:space="preserve">bank loan payable, </w:t>
      </w:r>
      <w:r w:rsidR="00123CD1" w:rsidRPr="00FC2211">
        <w:rPr>
          <w:rFonts w:cstheme="minorHAnsi"/>
          <w:szCs w:val="20"/>
          <w:lang w:val="en-GB"/>
        </w:rPr>
        <w:t xml:space="preserve">and </w:t>
      </w:r>
      <w:r w:rsidR="003F496E" w:rsidRPr="00FC2211">
        <w:rPr>
          <w:rFonts w:cstheme="minorHAnsi"/>
          <w:szCs w:val="20"/>
          <w:lang w:val="en-GB"/>
        </w:rPr>
        <w:t xml:space="preserve">government </w:t>
      </w:r>
      <w:r w:rsidR="0070234B" w:rsidRPr="00FC2211">
        <w:rPr>
          <w:rFonts w:cstheme="minorHAnsi"/>
          <w:szCs w:val="20"/>
          <w:lang w:val="en-GB"/>
        </w:rPr>
        <w:t>grants</w:t>
      </w:r>
      <w:r w:rsidRPr="00FC2211">
        <w:rPr>
          <w:rFonts w:cstheme="minorHAnsi"/>
          <w:szCs w:val="20"/>
          <w:lang w:val="en-GB"/>
        </w:rPr>
        <w:t>.</w:t>
      </w:r>
    </w:p>
    <w:p w14:paraId="75714CC3" w14:textId="77777777" w:rsidR="00D67793" w:rsidRPr="00FC2211" w:rsidRDefault="00D67793" w:rsidP="00D02C78">
      <w:pPr>
        <w:ind w:left="737"/>
        <w:contextualSpacing/>
        <w:jc w:val="both"/>
        <w:rPr>
          <w:rFonts w:cstheme="minorHAnsi"/>
          <w:szCs w:val="20"/>
          <w:lang w:val="en-GB"/>
        </w:rPr>
      </w:pPr>
    </w:p>
    <w:p w14:paraId="4C45203E" w14:textId="002EEAC8" w:rsidR="00D67793" w:rsidRPr="00FC2211" w:rsidRDefault="00D67793" w:rsidP="00D02C78">
      <w:pPr>
        <w:ind w:left="737"/>
        <w:contextualSpacing/>
        <w:jc w:val="both"/>
        <w:rPr>
          <w:rFonts w:cstheme="minorHAnsi"/>
          <w:szCs w:val="20"/>
          <w:lang w:val="en-GB"/>
        </w:rPr>
      </w:pPr>
      <w:r w:rsidRPr="00FC2211">
        <w:rPr>
          <w:rFonts w:cstheme="minorHAnsi"/>
          <w:szCs w:val="20"/>
          <w:lang w:val="en-GB"/>
        </w:rPr>
        <w:t xml:space="preserve">Financial instruments recorded at fair value on the statements of financial position are classified using a </w:t>
      </w:r>
      <w:r w:rsidR="009627BF" w:rsidRPr="00FC2211">
        <w:rPr>
          <w:rFonts w:cstheme="minorHAnsi"/>
          <w:szCs w:val="20"/>
          <w:lang w:val="en-GB"/>
        </w:rPr>
        <w:t xml:space="preserve">  </w:t>
      </w:r>
      <w:r w:rsidR="00C57831" w:rsidRPr="00FC2211">
        <w:rPr>
          <w:rFonts w:cstheme="minorHAnsi"/>
          <w:szCs w:val="20"/>
          <w:lang w:val="en-GB"/>
        </w:rPr>
        <w:t xml:space="preserve">   </w:t>
      </w:r>
      <w:r w:rsidRPr="00FC2211">
        <w:rPr>
          <w:rFonts w:cstheme="minorHAnsi"/>
          <w:szCs w:val="20"/>
          <w:lang w:val="en-GB"/>
        </w:rPr>
        <w:t xml:space="preserve">fair value hierarchy that reflects the significance of the inputs used in making the measurements. The hierarchy gives the highest priority to unadjusted quoted prices in active markets for identical assets or </w:t>
      </w:r>
      <w:bookmarkStart w:id="7" w:name="_Hlk95824751"/>
      <w:r w:rsidRPr="00FC2211">
        <w:rPr>
          <w:rFonts w:cstheme="minorHAnsi"/>
          <w:szCs w:val="20"/>
          <w:lang w:val="en-GB"/>
        </w:rPr>
        <w:t>liabilities and the lowest priority to unobservable inputs. The three levels of the fair value hierarchy are as follows:</w:t>
      </w:r>
    </w:p>
    <w:p w14:paraId="12F2D3BA" w14:textId="77777777" w:rsidR="00D67793" w:rsidRPr="00FC2211" w:rsidRDefault="00D67793" w:rsidP="00D02C78">
      <w:pPr>
        <w:ind w:left="720"/>
        <w:contextualSpacing/>
        <w:jc w:val="both"/>
        <w:rPr>
          <w:rFonts w:cstheme="minorHAnsi"/>
          <w:szCs w:val="20"/>
          <w:lang w:val="en-GB"/>
        </w:rPr>
      </w:pPr>
    </w:p>
    <w:p w14:paraId="08B13AF3" w14:textId="77777777" w:rsidR="00D67793" w:rsidRPr="00FC2211" w:rsidRDefault="00D67793" w:rsidP="00D02C78">
      <w:pPr>
        <w:pStyle w:val="ListParagraph"/>
        <w:numPr>
          <w:ilvl w:val="0"/>
          <w:numId w:val="16"/>
        </w:numPr>
        <w:tabs>
          <w:tab w:val="right" w:pos="10080"/>
        </w:tabs>
        <w:ind w:left="1434" w:hanging="357"/>
        <w:jc w:val="both"/>
        <w:rPr>
          <w:rFonts w:cstheme="minorHAnsi"/>
          <w:sz w:val="20"/>
          <w:szCs w:val="20"/>
          <w:lang w:val="en-GB"/>
        </w:rPr>
      </w:pPr>
      <w:r w:rsidRPr="00FC2211">
        <w:rPr>
          <w:rFonts w:cstheme="minorHAnsi"/>
          <w:sz w:val="20"/>
          <w:szCs w:val="20"/>
          <w:lang w:val="en-GB"/>
        </w:rPr>
        <w:t xml:space="preserve">Level 1: Unadjusted quoted prices in active markets for identical assets or </w:t>
      </w:r>
      <w:r w:rsidR="004B7FFA" w:rsidRPr="00FC2211">
        <w:rPr>
          <w:rFonts w:cstheme="minorHAnsi"/>
          <w:sz w:val="20"/>
          <w:szCs w:val="20"/>
          <w:lang w:val="en-GB"/>
        </w:rPr>
        <w:t>liabilities</w:t>
      </w:r>
      <w:r w:rsidR="33D956C5" w:rsidRPr="00FC2211">
        <w:rPr>
          <w:rFonts w:cstheme="minorHAnsi"/>
          <w:sz w:val="20"/>
          <w:szCs w:val="20"/>
          <w:lang w:val="en-GB"/>
        </w:rPr>
        <w:t>;</w:t>
      </w:r>
    </w:p>
    <w:p w14:paraId="122F2E7C" w14:textId="092C7397" w:rsidR="009627BF" w:rsidRPr="00FC2211" w:rsidRDefault="00D67793" w:rsidP="00D02C78">
      <w:pPr>
        <w:pStyle w:val="ListParagraph"/>
        <w:numPr>
          <w:ilvl w:val="0"/>
          <w:numId w:val="16"/>
        </w:numPr>
        <w:tabs>
          <w:tab w:val="right" w:pos="10080"/>
        </w:tabs>
        <w:ind w:left="1434" w:hanging="357"/>
        <w:jc w:val="both"/>
        <w:rPr>
          <w:rFonts w:cstheme="minorHAnsi"/>
          <w:sz w:val="20"/>
          <w:szCs w:val="20"/>
          <w:lang w:val="en-GB"/>
        </w:rPr>
      </w:pPr>
      <w:r w:rsidRPr="00FC2211">
        <w:rPr>
          <w:rFonts w:cstheme="minorHAnsi"/>
          <w:sz w:val="20"/>
          <w:szCs w:val="20"/>
          <w:lang w:val="en-GB"/>
        </w:rPr>
        <w:t xml:space="preserve">Level 2: Inputs other than quoted prices included in Level 1 that are observable for the asset or </w:t>
      </w:r>
      <w:r w:rsidR="009627BF" w:rsidRPr="00FC2211">
        <w:rPr>
          <w:rFonts w:cstheme="minorHAnsi"/>
          <w:sz w:val="20"/>
          <w:szCs w:val="20"/>
          <w:lang w:val="en-GB"/>
        </w:rPr>
        <w:t xml:space="preserve">             </w:t>
      </w:r>
      <w:r w:rsidRPr="00FC2211">
        <w:rPr>
          <w:rFonts w:cstheme="minorHAnsi"/>
          <w:sz w:val="20"/>
          <w:szCs w:val="20"/>
          <w:lang w:val="en-GB"/>
        </w:rPr>
        <w:t>liability either directly (i.e., as prices) or indirectly (i.e., derived from prices); and</w:t>
      </w:r>
    </w:p>
    <w:p w14:paraId="3716F2FC" w14:textId="77777777" w:rsidR="00C74106" w:rsidRPr="00FC2211" w:rsidRDefault="00C74106" w:rsidP="00D02C78">
      <w:pPr>
        <w:pStyle w:val="ListParagraph"/>
        <w:numPr>
          <w:ilvl w:val="0"/>
          <w:numId w:val="16"/>
        </w:numPr>
        <w:tabs>
          <w:tab w:val="right" w:pos="10080"/>
        </w:tabs>
        <w:ind w:left="1434" w:hanging="357"/>
        <w:jc w:val="both"/>
        <w:rPr>
          <w:rFonts w:cstheme="minorHAnsi"/>
          <w:sz w:val="20"/>
          <w:szCs w:val="20"/>
          <w:lang w:val="en-GB"/>
        </w:rPr>
      </w:pPr>
      <w:r w:rsidRPr="00FC2211">
        <w:rPr>
          <w:rFonts w:cstheme="minorHAnsi"/>
          <w:sz w:val="20"/>
          <w:szCs w:val="20"/>
          <w:lang w:val="en-GB"/>
        </w:rPr>
        <w:t>Level 3: Inputs that are not based on observable market data</w:t>
      </w:r>
    </w:p>
    <w:bookmarkEnd w:id="7"/>
    <w:p w14:paraId="06748046" w14:textId="102B5041" w:rsidR="00560C04" w:rsidRPr="00FC2211" w:rsidRDefault="00387EEB" w:rsidP="00D02C78">
      <w:pPr>
        <w:ind w:left="737"/>
        <w:contextualSpacing/>
        <w:jc w:val="both"/>
        <w:rPr>
          <w:rFonts w:cstheme="minorHAnsi"/>
          <w:szCs w:val="20"/>
          <w:lang w:val="en-GB"/>
        </w:rPr>
      </w:pPr>
      <w:r w:rsidRPr="00FC2211">
        <w:rPr>
          <w:rFonts w:cstheme="minorHAnsi"/>
          <w:szCs w:val="20"/>
          <w:lang w:val="en-GB"/>
        </w:rPr>
        <w:t xml:space="preserve">Cash under the fair value hierarchy </w:t>
      </w:r>
      <w:r w:rsidR="002F788E" w:rsidRPr="00FC2211">
        <w:rPr>
          <w:rFonts w:cstheme="minorHAnsi"/>
          <w:szCs w:val="20"/>
          <w:lang w:val="en-GB"/>
        </w:rPr>
        <w:t>is</w:t>
      </w:r>
      <w:r w:rsidRPr="00FC2211">
        <w:rPr>
          <w:rFonts w:cstheme="minorHAnsi"/>
          <w:szCs w:val="20"/>
          <w:lang w:val="en-GB"/>
        </w:rPr>
        <w:t xml:space="preserve"> based on Level 1 quoted prices in active markets for identical assets or liabilities. Accounts </w:t>
      </w:r>
      <w:r w:rsidR="002F788E" w:rsidRPr="00FC2211">
        <w:rPr>
          <w:rFonts w:cstheme="minorHAnsi"/>
          <w:szCs w:val="20"/>
          <w:lang w:val="en-GB"/>
        </w:rPr>
        <w:t>receivable, notes</w:t>
      </w:r>
      <w:r w:rsidR="008E10DD" w:rsidRPr="00FC2211">
        <w:rPr>
          <w:rFonts w:cstheme="minorHAnsi"/>
          <w:szCs w:val="20"/>
          <w:lang w:val="en-GB"/>
        </w:rPr>
        <w:t xml:space="preserve"> receivable,</w:t>
      </w:r>
      <w:r w:rsidRPr="00FC2211">
        <w:rPr>
          <w:rFonts w:cstheme="minorHAnsi"/>
          <w:szCs w:val="20"/>
          <w:lang w:val="en-GB"/>
        </w:rPr>
        <w:t xml:space="preserve"> accounts payable</w:t>
      </w:r>
      <w:r w:rsidR="002F788E" w:rsidRPr="00FC2211">
        <w:rPr>
          <w:rFonts w:cstheme="minorHAnsi"/>
          <w:szCs w:val="20"/>
          <w:lang w:val="en-GB"/>
        </w:rPr>
        <w:t>,</w:t>
      </w:r>
      <w:r w:rsidRPr="00FC2211">
        <w:rPr>
          <w:rFonts w:cstheme="minorHAnsi"/>
          <w:szCs w:val="20"/>
          <w:lang w:val="en-GB"/>
        </w:rPr>
        <w:t xml:space="preserve"> and accrued liabilities</w:t>
      </w:r>
      <w:r w:rsidR="0093780C" w:rsidRPr="00FC2211">
        <w:rPr>
          <w:rFonts w:cstheme="minorHAnsi"/>
          <w:szCs w:val="20"/>
          <w:lang w:val="en-GB"/>
        </w:rPr>
        <w:t>,</w:t>
      </w:r>
      <w:r w:rsidRPr="00FC2211">
        <w:rPr>
          <w:rFonts w:cstheme="minorHAnsi"/>
          <w:szCs w:val="20"/>
          <w:lang w:val="en-GB"/>
        </w:rPr>
        <w:t xml:space="preserve"> due to related parties and loans payable approximate their fair value due to their short-term maturities. The fair value of </w:t>
      </w:r>
      <w:r w:rsidR="0023139B" w:rsidRPr="00FC2211">
        <w:rPr>
          <w:rFonts w:cstheme="minorHAnsi"/>
          <w:szCs w:val="20"/>
          <w:lang w:val="en-GB"/>
        </w:rPr>
        <w:t>notes payable,</w:t>
      </w:r>
      <w:r w:rsidR="0093780C" w:rsidRPr="00FC2211">
        <w:rPr>
          <w:rFonts w:cstheme="minorHAnsi"/>
          <w:szCs w:val="20"/>
          <w:lang w:val="en-GB"/>
        </w:rPr>
        <w:t xml:space="preserve"> bank </w:t>
      </w:r>
      <w:r w:rsidR="00EB1034" w:rsidRPr="00FC2211">
        <w:rPr>
          <w:rFonts w:cstheme="minorHAnsi"/>
          <w:szCs w:val="20"/>
          <w:lang w:val="en-GB"/>
        </w:rPr>
        <w:t>loans</w:t>
      </w:r>
      <w:r w:rsidR="0093780C" w:rsidRPr="00FC2211">
        <w:rPr>
          <w:rFonts w:cstheme="minorHAnsi"/>
          <w:szCs w:val="20"/>
          <w:lang w:val="en-GB"/>
        </w:rPr>
        <w:t xml:space="preserve"> payable,</w:t>
      </w:r>
      <w:r w:rsidR="0023139B" w:rsidRPr="00FC2211">
        <w:rPr>
          <w:rFonts w:cstheme="minorHAnsi"/>
          <w:szCs w:val="20"/>
          <w:lang w:val="en-GB"/>
        </w:rPr>
        <w:t xml:space="preserve"> and </w:t>
      </w:r>
      <w:r w:rsidRPr="00FC2211">
        <w:rPr>
          <w:rFonts w:cstheme="minorHAnsi"/>
          <w:szCs w:val="20"/>
          <w:lang w:val="en-GB"/>
        </w:rPr>
        <w:t xml:space="preserve">government </w:t>
      </w:r>
      <w:r w:rsidR="00EB1034" w:rsidRPr="00FC2211">
        <w:rPr>
          <w:rFonts w:cstheme="minorHAnsi"/>
          <w:szCs w:val="20"/>
          <w:lang w:val="en-GB"/>
        </w:rPr>
        <w:t>grants</w:t>
      </w:r>
      <w:r w:rsidRPr="00FC2211">
        <w:rPr>
          <w:rFonts w:cstheme="minorHAnsi"/>
          <w:szCs w:val="20"/>
          <w:lang w:val="en-GB"/>
        </w:rPr>
        <w:t xml:space="preserve"> also approximates </w:t>
      </w:r>
      <w:r w:rsidR="002F788E" w:rsidRPr="00FC2211">
        <w:rPr>
          <w:rFonts w:cstheme="minorHAnsi"/>
          <w:szCs w:val="20"/>
          <w:lang w:val="en-GB"/>
        </w:rPr>
        <w:t xml:space="preserve">the </w:t>
      </w:r>
      <w:r w:rsidRPr="00FC2211">
        <w:rPr>
          <w:rFonts w:cstheme="minorHAnsi"/>
          <w:szCs w:val="20"/>
          <w:lang w:val="en-GB"/>
        </w:rPr>
        <w:t xml:space="preserve">carrying value </w:t>
      </w:r>
      <w:r w:rsidR="00EB1034" w:rsidRPr="00FC2211">
        <w:rPr>
          <w:rFonts w:cstheme="minorHAnsi"/>
          <w:szCs w:val="20"/>
          <w:lang w:val="en-GB"/>
        </w:rPr>
        <w:t>since</w:t>
      </w:r>
      <w:r w:rsidRPr="00FC2211">
        <w:rPr>
          <w:rFonts w:cstheme="minorHAnsi"/>
          <w:szCs w:val="20"/>
          <w:lang w:val="en-GB"/>
        </w:rPr>
        <w:t xml:space="preserve"> the</w:t>
      </w:r>
      <w:r w:rsidR="00237E5E" w:rsidRPr="00FC2211">
        <w:rPr>
          <w:rFonts w:cstheme="minorHAnsi"/>
          <w:szCs w:val="20"/>
          <w:lang w:val="en-GB"/>
        </w:rPr>
        <w:t>y are</w:t>
      </w:r>
      <w:r w:rsidRPr="00FC2211">
        <w:rPr>
          <w:rFonts w:cstheme="minorHAnsi"/>
          <w:szCs w:val="20"/>
          <w:lang w:val="en-GB"/>
        </w:rPr>
        <w:t xml:space="preserve"> discounted using market rates</w:t>
      </w:r>
      <w:r w:rsidR="009F6FD4" w:rsidRPr="00FC2211">
        <w:rPr>
          <w:rFonts w:cstheme="minorHAnsi"/>
          <w:szCs w:val="20"/>
          <w:lang w:val="en-GB"/>
        </w:rPr>
        <w:t xml:space="preserve"> </w:t>
      </w:r>
    </w:p>
    <w:p w14:paraId="7736D797" w14:textId="77777777" w:rsidR="008327C0" w:rsidRPr="00FC2211" w:rsidRDefault="008327C0" w:rsidP="009116E1">
      <w:pPr>
        <w:rPr>
          <w:rFonts w:cstheme="minorHAnsi"/>
          <w:szCs w:val="20"/>
          <w:lang w:val="en-GB"/>
        </w:rPr>
      </w:pPr>
    </w:p>
    <w:p w14:paraId="470F9686" w14:textId="77777777" w:rsidR="00EB1034" w:rsidRPr="00FC2211" w:rsidRDefault="00EB1034" w:rsidP="00EB1034">
      <w:pPr>
        <w:pStyle w:val="Heading1"/>
        <w:rPr>
          <w:rFonts w:cstheme="minorHAnsi"/>
          <w:szCs w:val="20"/>
          <w:lang w:val="en-GB"/>
        </w:rPr>
      </w:pPr>
      <w:r w:rsidRPr="00FC2211">
        <w:rPr>
          <w:rFonts w:cstheme="minorHAnsi"/>
          <w:szCs w:val="20"/>
          <w:lang w:val="en-GB"/>
        </w:rPr>
        <w:lastRenderedPageBreak/>
        <w:t>19.   FINANCIAL INSTRUMENTS AND RISK MANAGEMENT (CONTINUED)</w:t>
      </w:r>
    </w:p>
    <w:p w14:paraId="1AF86A38" w14:textId="77777777" w:rsidR="00EB1034" w:rsidRPr="00FC2211" w:rsidRDefault="00EB1034" w:rsidP="00EB1034">
      <w:pPr>
        <w:pStyle w:val="ListParagraph"/>
        <w:ind w:left="928"/>
        <w:rPr>
          <w:rFonts w:cstheme="minorHAnsi"/>
          <w:b/>
          <w:sz w:val="20"/>
          <w:szCs w:val="20"/>
        </w:rPr>
      </w:pPr>
    </w:p>
    <w:p w14:paraId="0DF9C640" w14:textId="73C656AF" w:rsidR="009116E1" w:rsidRPr="00FC2211" w:rsidRDefault="009116E1" w:rsidP="005F3B7D">
      <w:pPr>
        <w:pStyle w:val="ListParagraph"/>
        <w:numPr>
          <w:ilvl w:val="0"/>
          <w:numId w:val="15"/>
        </w:numPr>
        <w:rPr>
          <w:rFonts w:cstheme="minorHAnsi"/>
          <w:b/>
          <w:sz w:val="20"/>
          <w:szCs w:val="20"/>
        </w:rPr>
      </w:pPr>
      <w:r w:rsidRPr="00FC2211">
        <w:rPr>
          <w:rFonts w:cstheme="minorHAnsi"/>
          <w:b/>
          <w:sz w:val="20"/>
          <w:szCs w:val="20"/>
        </w:rPr>
        <w:t>Market risk</w:t>
      </w:r>
    </w:p>
    <w:p w14:paraId="42374B9C" w14:textId="191FC60C" w:rsidR="009116E1" w:rsidRPr="00FC2211" w:rsidRDefault="009116E1" w:rsidP="0070234B">
      <w:pPr>
        <w:ind w:left="737"/>
        <w:jc w:val="both"/>
        <w:rPr>
          <w:rFonts w:cstheme="minorHAnsi"/>
          <w:szCs w:val="20"/>
          <w:lang w:val="en-GB"/>
        </w:rPr>
      </w:pPr>
      <w:r w:rsidRPr="00FC2211">
        <w:rPr>
          <w:rFonts w:cstheme="minorHAnsi"/>
          <w:szCs w:val="20"/>
          <w:lang w:val="en-GB"/>
        </w:rPr>
        <w:t xml:space="preserve">Market risk is the risk that </w:t>
      </w:r>
      <w:r w:rsidR="00C83304" w:rsidRPr="00FC2211">
        <w:rPr>
          <w:rFonts w:cstheme="minorHAnsi"/>
          <w:szCs w:val="20"/>
          <w:lang w:val="en-GB"/>
        </w:rPr>
        <w:t xml:space="preserve">a financial instrument's fair value or future cash flows </w:t>
      </w:r>
      <w:r w:rsidRPr="00FC2211">
        <w:rPr>
          <w:rFonts w:cstheme="minorHAnsi"/>
          <w:szCs w:val="20"/>
          <w:lang w:val="en-GB"/>
        </w:rPr>
        <w:t>will fluctuate</w:t>
      </w:r>
      <w:r w:rsidR="002F788E" w:rsidRPr="00FC2211">
        <w:rPr>
          <w:rFonts w:cstheme="minorHAnsi"/>
          <w:szCs w:val="20"/>
          <w:lang w:val="en-GB"/>
        </w:rPr>
        <w:t xml:space="preserve"> </w:t>
      </w:r>
      <w:r w:rsidRPr="00FC2211">
        <w:rPr>
          <w:rFonts w:cstheme="minorHAnsi"/>
          <w:szCs w:val="20"/>
          <w:lang w:val="en-GB"/>
        </w:rPr>
        <w:t xml:space="preserve">because of changes in market prices or prevailing conditions. Market risk comprises three </w:t>
      </w:r>
      <w:r w:rsidR="009627BF" w:rsidRPr="00FC2211">
        <w:rPr>
          <w:rFonts w:cstheme="minorHAnsi"/>
          <w:szCs w:val="20"/>
          <w:lang w:val="en-GB"/>
        </w:rPr>
        <w:t xml:space="preserve">types of risk: </w:t>
      </w:r>
      <w:r w:rsidR="00C57831" w:rsidRPr="00FC2211">
        <w:rPr>
          <w:rFonts w:cstheme="minorHAnsi"/>
          <w:szCs w:val="20"/>
          <w:lang w:val="en-GB"/>
        </w:rPr>
        <w:t xml:space="preserve">  </w:t>
      </w:r>
      <w:r w:rsidRPr="00FC2211">
        <w:rPr>
          <w:rFonts w:cstheme="minorHAnsi"/>
          <w:szCs w:val="20"/>
          <w:lang w:val="en-GB"/>
        </w:rPr>
        <w:t>currency risk, interest rate risk</w:t>
      </w:r>
      <w:r w:rsidR="002F788E" w:rsidRPr="00FC2211">
        <w:rPr>
          <w:rFonts w:cstheme="minorHAnsi"/>
          <w:szCs w:val="20"/>
          <w:lang w:val="en-GB"/>
        </w:rPr>
        <w:t>,</w:t>
      </w:r>
      <w:r w:rsidRPr="00FC2211">
        <w:rPr>
          <w:rFonts w:cstheme="minorHAnsi"/>
          <w:szCs w:val="20"/>
          <w:lang w:val="en-GB"/>
        </w:rPr>
        <w:t xml:space="preserve"> and price risk</w:t>
      </w:r>
      <w:r w:rsidR="002F788E" w:rsidRPr="00FC2211">
        <w:rPr>
          <w:rFonts w:cstheme="minorHAnsi"/>
          <w:szCs w:val="20"/>
          <w:lang w:val="en-GB"/>
        </w:rPr>
        <w:t>,</w:t>
      </w:r>
      <w:r w:rsidRPr="00FC2211">
        <w:rPr>
          <w:rFonts w:cstheme="minorHAnsi"/>
          <w:szCs w:val="20"/>
          <w:lang w:val="en-GB"/>
        </w:rPr>
        <w:t xml:space="preserve"> and are disclosed as follows:</w:t>
      </w:r>
    </w:p>
    <w:p w14:paraId="4C3E5549" w14:textId="77777777" w:rsidR="00790ABF" w:rsidRPr="00FC2211" w:rsidRDefault="00790ABF" w:rsidP="00D63D3D">
      <w:pPr>
        <w:ind w:left="426"/>
        <w:rPr>
          <w:rFonts w:cstheme="minorHAnsi"/>
          <w:szCs w:val="20"/>
        </w:rPr>
      </w:pPr>
    </w:p>
    <w:p w14:paraId="1A27A55D" w14:textId="77777777" w:rsidR="007D2528" w:rsidRPr="00FC2211" w:rsidRDefault="007D2528" w:rsidP="00A17D4B">
      <w:pPr>
        <w:numPr>
          <w:ilvl w:val="1"/>
          <w:numId w:val="2"/>
        </w:numPr>
        <w:ind w:left="1080"/>
        <w:contextualSpacing/>
        <w:rPr>
          <w:rFonts w:cstheme="minorHAnsi"/>
          <w:b/>
          <w:szCs w:val="20"/>
        </w:rPr>
      </w:pPr>
      <w:r w:rsidRPr="00FC2211">
        <w:rPr>
          <w:rFonts w:cstheme="minorHAnsi"/>
          <w:b/>
          <w:szCs w:val="20"/>
        </w:rPr>
        <w:t>Currency risk</w:t>
      </w:r>
    </w:p>
    <w:p w14:paraId="7DFF9A54" w14:textId="77777777" w:rsidR="007D2528" w:rsidRPr="00FC2211" w:rsidRDefault="007D2528" w:rsidP="007D2528">
      <w:pPr>
        <w:ind w:left="1080"/>
        <w:contextualSpacing/>
        <w:rPr>
          <w:rFonts w:cstheme="minorHAnsi"/>
          <w:b/>
          <w:szCs w:val="20"/>
        </w:rPr>
      </w:pPr>
    </w:p>
    <w:p w14:paraId="0CF34D35" w14:textId="1CA5F4D2" w:rsidR="00C061DC" w:rsidRPr="00FC2211" w:rsidRDefault="00C061DC" w:rsidP="00C061DC">
      <w:pPr>
        <w:ind w:left="737"/>
        <w:contextualSpacing/>
        <w:jc w:val="both"/>
        <w:rPr>
          <w:rFonts w:cstheme="minorHAnsi"/>
          <w:szCs w:val="20"/>
          <w:lang w:val="en-GB"/>
        </w:rPr>
      </w:pPr>
      <w:r w:rsidRPr="00FC2211">
        <w:rPr>
          <w:rFonts w:cstheme="minorHAnsi"/>
          <w:szCs w:val="20"/>
          <w:lang w:val="en-GB"/>
        </w:rPr>
        <w:t xml:space="preserve">Currency risk is the risk of change in profit or loss that arises from fluctuations </w:t>
      </w:r>
      <w:r w:rsidR="00596EB9" w:rsidRPr="00FC2211">
        <w:rPr>
          <w:rFonts w:cstheme="minorHAnsi"/>
          <w:szCs w:val="20"/>
          <w:lang w:val="en-GB"/>
        </w:rPr>
        <w:t>in</w:t>
      </w:r>
      <w:r w:rsidRPr="00FC2211">
        <w:rPr>
          <w:rFonts w:cstheme="minorHAnsi"/>
          <w:szCs w:val="20"/>
          <w:lang w:val="en-GB"/>
        </w:rPr>
        <w:t xml:space="preserve"> foreign exchange rates and the degree of volatility of these rates. The Company’s exposure to the risk of changes in foreign exchange rates relates to its operational activities. The Company does not use derivative instruments to reduce its exposure to foreign currency risk. The Company’s international sales</w:t>
      </w:r>
      <w:r w:rsidR="00F36D54" w:rsidRPr="00FC2211">
        <w:rPr>
          <w:rFonts w:cstheme="minorHAnsi"/>
          <w:szCs w:val="20"/>
          <w:lang w:val="en-GB"/>
        </w:rPr>
        <w:t xml:space="preserve"> </w:t>
      </w:r>
      <w:r w:rsidRPr="00FC2211">
        <w:rPr>
          <w:rFonts w:cstheme="minorHAnsi"/>
          <w:szCs w:val="20"/>
          <w:lang w:val="en-GB"/>
        </w:rPr>
        <w:t xml:space="preserve">and purchases of goods and services from foreign companies are denominated in US </w:t>
      </w:r>
      <w:r w:rsidR="00596EB9" w:rsidRPr="00FC2211">
        <w:rPr>
          <w:rFonts w:cstheme="minorHAnsi"/>
          <w:szCs w:val="20"/>
          <w:lang w:val="en-GB"/>
        </w:rPr>
        <w:t>Dollars</w:t>
      </w:r>
      <w:r w:rsidRPr="00FC2211">
        <w:rPr>
          <w:rFonts w:cstheme="minorHAnsi"/>
          <w:szCs w:val="20"/>
          <w:lang w:val="en-GB"/>
        </w:rPr>
        <w:t xml:space="preserve"> and are exposed to foreign exchange fluctuations. Due to these fluctuations, operating results may differ materially from expectations</w:t>
      </w:r>
      <w:r w:rsidR="00C83304" w:rsidRPr="00FC2211">
        <w:rPr>
          <w:rFonts w:cstheme="minorHAnsi"/>
          <w:szCs w:val="20"/>
          <w:lang w:val="en-GB"/>
        </w:rPr>
        <w:t>, resulting</w:t>
      </w:r>
      <w:r w:rsidRPr="00FC2211">
        <w:rPr>
          <w:rFonts w:cstheme="minorHAnsi"/>
          <w:szCs w:val="20"/>
          <w:lang w:val="en-GB"/>
        </w:rPr>
        <w:t xml:space="preserve"> </w:t>
      </w:r>
      <w:r w:rsidR="00596EB9" w:rsidRPr="00FC2211">
        <w:rPr>
          <w:rFonts w:cstheme="minorHAnsi"/>
          <w:szCs w:val="20"/>
          <w:lang w:val="en-GB"/>
        </w:rPr>
        <w:t>in</w:t>
      </w:r>
      <w:r w:rsidRPr="00FC2211">
        <w:rPr>
          <w:rFonts w:cstheme="minorHAnsi"/>
          <w:szCs w:val="20"/>
          <w:lang w:val="en-GB"/>
        </w:rPr>
        <w:t xml:space="preserve"> significant gains and losses on the remeasurements associated with these transactions. As the company </w:t>
      </w:r>
      <w:r w:rsidR="00F77274" w:rsidRPr="00FC2211">
        <w:rPr>
          <w:rFonts w:cstheme="minorHAnsi"/>
          <w:szCs w:val="20"/>
          <w:lang w:val="en-GB"/>
        </w:rPr>
        <w:t>continues</w:t>
      </w:r>
      <w:r w:rsidR="00081F94" w:rsidRPr="00FC2211">
        <w:rPr>
          <w:rFonts w:cstheme="minorHAnsi"/>
          <w:szCs w:val="20"/>
          <w:lang w:val="en-GB"/>
        </w:rPr>
        <w:t xml:space="preserve"> it</w:t>
      </w:r>
      <w:r w:rsidR="00596EB9" w:rsidRPr="00FC2211">
        <w:rPr>
          <w:rFonts w:cstheme="minorHAnsi"/>
          <w:szCs w:val="20"/>
          <w:lang w:val="en-GB"/>
        </w:rPr>
        <w:t>s</w:t>
      </w:r>
      <w:r w:rsidRPr="00FC2211">
        <w:rPr>
          <w:rFonts w:cstheme="minorHAnsi"/>
          <w:szCs w:val="20"/>
          <w:lang w:val="en-GB"/>
        </w:rPr>
        <w:t xml:space="preserve"> </w:t>
      </w:r>
      <w:r w:rsidR="00C83304" w:rsidRPr="00FC2211">
        <w:rPr>
          <w:rFonts w:cstheme="minorHAnsi"/>
          <w:szCs w:val="20"/>
          <w:lang w:val="en-GB"/>
        </w:rPr>
        <w:t>expan</w:t>
      </w:r>
      <w:r w:rsidR="00081F94" w:rsidRPr="00FC2211">
        <w:rPr>
          <w:rFonts w:cstheme="minorHAnsi"/>
          <w:szCs w:val="20"/>
          <w:lang w:val="en-GB"/>
        </w:rPr>
        <w:t>sion</w:t>
      </w:r>
      <w:r w:rsidRPr="00FC2211">
        <w:rPr>
          <w:rFonts w:cstheme="minorHAnsi"/>
          <w:szCs w:val="20"/>
          <w:lang w:val="en-GB"/>
        </w:rPr>
        <w:t xml:space="preserve"> in the US, the exposure to exchange rate fluctuations also increases. </w:t>
      </w:r>
    </w:p>
    <w:p w14:paraId="6CE5A452" w14:textId="77777777" w:rsidR="00C061DC" w:rsidRPr="00FC2211" w:rsidRDefault="00C061DC" w:rsidP="00C061DC">
      <w:pPr>
        <w:ind w:left="737"/>
        <w:contextualSpacing/>
        <w:jc w:val="both"/>
        <w:rPr>
          <w:rFonts w:cstheme="minorHAnsi"/>
          <w:szCs w:val="20"/>
          <w:lang w:val="en-GB"/>
        </w:rPr>
      </w:pPr>
    </w:p>
    <w:p w14:paraId="51D07589" w14:textId="7D62BAC3" w:rsidR="007D2528" w:rsidRPr="00FC2211" w:rsidRDefault="00C061DC" w:rsidP="00C061DC">
      <w:pPr>
        <w:ind w:left="737"/>
        <w:contextualSpacing/>
        <w:rPr>
          <w:rFonts w:cstheme="minorHAnsi"/>
          <w:szCs w:val="20"/>
          <w:lang w:val="en-GB"/>
        </w:rPr>
      </w:pPr>
      <w:r w:rsidRPr="00FC2211">
        <w:rPr>
          <w:rFonts w:cstheme="minorHAnsi"/>
          <w:szCs w:val="20"/>
          <w:lang w:val="en-GB"/>
        </w:rPr>
        <w:t xml:space="preserve">As at </w:t>
      </w:r>
      <w:r w:rsidR="00905DA0" w:rsidRPr="00FC2211">
        <w:rPr>
          <w:rFonts w:cstheme="minorHAnsi"/>
          <w:szCs w:val="20"/>
          <w:lang w:val="en-GB"/>
        </w:rPr>
        <w:t>December 31</w:t>
      </w:r>
      <w:r w:rsidRPr="00FC2211">
        <w:rPr>
          <w:rFonts w:cstheme="minorHAnsi"/>
          <w:szCs w:val="20"/>
          <w:lang w:val="en-GB"/>
        </w:rPr>
        <w:t>, 202</w:t>
      </w:r>
      <w:r w:rsidR="002A361F" w:rsidRPr="00FC2211">
        <w:rPr>
          <w:rFonts w:cstheme="minorHAnsi"/>
          <w:szCs w:val="20"/>
          <w:lang w:val="en-GB"/>
        </w:rPr>
        <w:t>3</w:t>
      </w:r>
      <w:r w:rsidR="00596EB9" w:rsidRPr="00FC2211">
        <w:rPr>
          <w:rFonts w:cstheme="minorHAnsi"/>
          <w:szCs w:val="20"/>
          <w:lang w:val="en-GB"/>
        </w:rPr>
        <w:t>,</w:t>
      </w:r>
      <w:r w:rsidR="002A361F" w:rsidRPr="00FC2211">
        <w:rPr>
          <w:rFonts w:cstheme="minorHAnsi"/>
          <w:szCs w:val="20"/>
          <w:lang w:val="en-GB"/>
        </w:rPr>
        <w:t xml:space="preserve"> and </w:t>
      </w:r>
      <w:r w:rsidR="000E0225" w:rsidRPr="00FC2211">
        <w:rPr>
          <w:rFonts w:cstheme="minorHAnsi"/>
          <w:szCs w:val="20"/>
          <w:lang w:val="en-GB"/>
        </w:rPr>
        <w:t xml:space="preserve">June 30, </w:t>
      </w:r>
      <w:r w:rsidR="002A361F" w:rsidRPr="00FC2211">
        <w:rPr>
          <w:rFonts w:cstheme="minorHAnsi"/>
          <w:szCs w:val="20"/>
          <w:lang w:val="en-GB"/>
        </w:rPr>
        <w:t>202</w:t>
      </w:r>
      <w:r w:rsidR="000E0225" w:rsidRPr="00FC2211">
        <w:rPr>
          <w:rFonts w:cstheme="minorHAnsi"/>
          <w:szCs w:val="20"/>
          <w:lang w:val="en-GB"/>
        </w:rPr>
        <w:t>3</w:t>
      </w:r>
      <w:r w:rsidRPr="00FC2211">
        <w:rPr>
          <w:rFonts w:cstheme="minorHAnsi"/>
          <w:szCs w:val="20"/>
          <w:lang w:val="en-GB"/>
        </w:rPr>
        <w:t>, a summary of the quantitative information of the exposure due to foreign currencies is provided as follows:</w:t>
      </w:r>
    </w:p>
    <w:tbl>
      <w:tblPr>
        <w:tblW w:w="7655" w:type="dxa"/>
        <w:jc w:val="center"/>
        <w:tblLook w:val="04A0" w:firstRow="1" w:lastRow="0" w:firstColumn="1" w:lastColumn="0" w:noHBand="0" w:noVBand="1"/>
      </w:tblPr>
      <w:tblGrid>
        <w:gridCol w:w="4136"/>
        <w:gridCol w:w="1960"/>
        <w:gridCol w:w="1559"/>
      </w:tblGrid>
      <w:tr w:rsidR="00B61CA0" w:rsidRPr="00FC2211" w14:paraId="54E1B39D" w14:textId="77777777" w:rsidTr="00B61CA0">
        <w:trPr>
          <w:trHeight w:val="252"/>
          <w:jc w:val="center"/>
        </w:trPr>
        <w:tc>
          <w:tcPr>
            <w:tcW w:w="4136" w:type="dxa"/>
            <w:tcBorders>
              <w:top w:val="nil"/>
              <w:left w:val="nil"/>
              <w:bottom w:val="nil"/>
              <w:right w:val="nil"/>
            </w:tcBorders>
            <w:shd w:val="clear" w:color="auto" w:fill="auto"/>
            <w:noWrap/>
            <w:vAlign w:val="bottom"/>
            <w:hideMark/>
          </w:tcPr>
          <w:p w14:paraId="4468AD96" w14:textId="77777777" w:rsidR="00B61CA0" w:rsidRPr="00FC2211" w:rsidRDefault="00B61CA0" w:rsidP="00B61CA0">
            <w:pPr>
              <w:rPr>
                <w:rFonts w:ascii="Times New Roman" w:hAnsi="Times New Roman"/>
                <w:szCs w:val="20"/>
                <w:lang w:val="en-CA" w:eastAsia="en-CA"/>
              </w:rPr>
            </w:pPr>
          </w:p>
        </w:tc>
        <w:tc>
          <w:tcPr>
            <w:tcW w:w="1960" w:type="dxa"/>
            <w:tcBorders>
              <w:top w:val="nil"/>
              <w:left w:val="nil"/>
              <w:bottom w:val="single" w:sz="8" w:space="0" w:color="auto"/>
              <w:right w:val="nil"/>
            </w:tcBorders>
            <w:shd w:val="clear" w:color="auto" w:fill="auto"/>
            <w:vAlign w:val="center"/>
            <w:hideMark/>
          </w:tcPr>
          <w:p w14:paraId="7ED83858" w14:textId="65241370" w:rsidR="00B61CA0" w:rsidRPr="00FC2211" w:rsidRDefault="00905DA0" w:rsidP="00B61CA0">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December 31</w:t>
            </w:r>
            <w:r w:rsidR="00B61CA0" w:rsidRPr="00FC2211">
              <w:rPr>
                <w:rFonts w:ascii="Calibri" w:hAnsi="Calibri" w:cs="Calibri"/>
                <w:b/>
                <w:bCs/>
                <w:color w:val="000000"/>
                <w:szCs w:val="20"/>
                <w:lang w:val="en-CA" w:eastAsia="en-CA"/>
              </w:rPr>
              <w:t>, 2023</w:t>
            </w:r>
          </w:p>
        </w:tc>
        <w:tc>
          <w:tcPr>
            <w:tcW w:w="1559" w:type="dxa"/>
            <w:tcBorders>
              <w:top w:val="nil"/>
              <w:left w:val="nil"/>
              <w:bottom w:val="single" w:sz="8" w:space="0" w:color="auto"/>
              <w:right w:val="nil"/>
            </w:tcBorders>
            <w:shd w:val="clear" w:color="auto" w:fill="auto"/>
            <w:vAlign w:val="center"/>
            <w:hideMark/>
          </w:tcPr>
          <w:p w14:paraId="47F6748A" w14:textId="77777777" w:rsidR="00B61CA0" w:rsidRPr="00FC2211" w:rsidRDefault="00B61CA0" w:rsidP="00B61CA0">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June 30, 2023</w:t>
            </w:r>
          </w:p>
        </w:tc>
      </w:tr>
      <w:tr w:rsidR="00B61CA0" w:rsidRPr="00FC2211" w14:paraId="307B937E" w14:textId="77777777" w:rsidTr="00B61CA0">
        <w:trPr>
          <w:trHeight w:val="240"/>
          <w:jc w:val="center"/>
        </w:trPr>
        <w:tc>
          <w:tcPr>
            <w:tcW w:w="4136" w:type="dxa"/>
            <w:tcBorders>
              <w:top w:val="nil"/>
              <w:left w:val="nil"/>
              <w:bottom w:val="nil"/>
              <w:right w:val="nil"/>
            </w:tcBorders>
            <w:shd w:val="clear" w:color="auto" w:fill="auto"/>
            <w:noWrap/>
            <w:vAlign w:val="bottom"/>
            <w:hideMark/>
          </w:tcPr>
          <w:p w14:paraId="71B473EF" w14:textId="77777777" w:rsidR="00B61CA0" w:rsidRPr="00FC2211" w:rsidRDefault="00B61CA0" w:rsidP="00B61CA0">
            <w:pPr>
              <w:jc w:val="right"/>
              <w:rPr>
                <w:rFonts w:ascii="Calibri" w:hAnsi="Calibri" w:cs="Calibri"/>
                <w:color w:val="000000"/>
                <w:szCs w:val="20"/>
                <w:lang w:val="en-CA" w:eastAsia="en-CA"/>
              </w:rPr>
            </w:pPr>
          </w:p>
        </w:tc>
        <w:tc>
          <w:tcPr>
            <w:tcW w:w="1960" w:type="dxa"/>
            <w:tcBorders>
              <w:top w:val="nil"/>
              <w:left w:val="nil"/>
              <w:bottom w:val="single" w:sz="4" w:space="0" w:color="auto"/>
              <w:right w:val="nil"/>
            </w:tcBorders>
            <w:shd w:val="clear" w:color="auto" w:fill="auto"/>
            <w:noWrap/>
            <w:vAlign w:val="bottom"/>
            <w:hideMark/>
          </w:tcPr>
          <w:p w14:paraId="32D0993A" w14:textId="77777777" w:rsidR="00B61CA0" w:rsidRPr="00FC2211" w:rsidRDefault="00B61CA0" w:rsidP="00B61CA0">
            <w:pPr>
              <w:jc w:val="center"/>
              <w:rPr>
                <w:rFonts w:ascii="Calibri" w:hAnsi="Calibri" w:cs="Calibri"/>
                <w:b/>
                <w:bCs/>
                <w:i/>
                <w:iCs/>
                <w:color w:val="000000"/>
                <w:szCs w:val="20"/>
                <w:lang w:val="en-CA" w:eastAsia="en-CA"/>
              </w:rPr>
            </w:pPr>
            <w:r w:rsidRPr="00FC2211">
              <w:rPr>
                <w:rFonts w:ascii="Calibri" w:hAnsi="Calibri" w:cs="Calibri"/>
                <w:b/>
                <w:bCs/>
                <w:i/>
                <w:iCs/>
                <w:color w:val="000000"/>
                <w:szCs w:val="20"/>
                <w:lang w:val="en-CA" w:eastAsia="en-CA"/>
              </w:rPr>
              <w:t>in US Dollar</w:t>
            </w:r>
          </w:p>
        </w:tc>
        <w:tc>
          <w:tcPr>
            <w:tcW w:w="1559" w:type="dxa"/>
            <w:tcBorders>
              <w:top w:val="nil"/>
              <w:left w:val="nil"/>
              <w:bottom w:val="single" w:sz="4" w:space="0" w:color="auto"/>
              <w:right w:val="nil"/>
            </w:tcBorders>
            <w:shd w:val="clear" w:color="auto" w:fill="auto"/>
            <w:noWrap/>
            <w:vAlign w:val="bottom"/>
            <w:hideMark/>
          </w:tcPr>
          <w:p w14:paraId="07931439" w14:textId="77777777" w:rsidR="00B61CA0" w:rsidRPr="00FC2211" w:rsidRDefault="00B61CA0" w:rsidP="00B61CA0">
            <w:pPr>
              <w:jc w:val="center"/>
              <w:rPr>
                <w:rFonts w:ascii="Calibri" w:hAnsi="Calibri" w:cs="Calibri"/>
                <w:i/>
                <w:iCs/>
                <w:color w:val="000000"/>
                <w:szCs w:val="20"/>
                <w:lang w:val="en-CA" w:eastAsia="en-CA"/>
              </w:rPr>
            </w:pPr>
            <w:r w:rsidRPr="00FC2211">
              <w:rPr>
                <w:rFonts w:ascii="Calibri" w:hAnsi="Calibri" w:cs="Calibri"/>
                <w:i/>
                <w:iCs/>
                <w:color w:val="000000"/>
                <w:szCs w:val="20"/>
                <w:lang w:val="en-CA" w:eastAsia="en-CA"/>
              </w:rPr>
              <w:t>in US Dollar</w:t>
            </w:r>
          </w:p>
        </w:tc>
      </w:tr>
      <w:tr w:rsidR="00B61CA0" w:rsidRPr="00FC2211" w14:paraId="270CD64F" w14:textId="77777777" w:rsidTr="00B61CA0">
        <w:trPr>
          <w:trHeight w:val="240"/>
          <w:jc w:val="center"/>
        </w:trPr>
        <w:tc>
          <w:tcPr>
            <w:tcW w:w="4136" w:type="dxa"/>
            <w:tcBorders>
              <w:top w:val="nil"/>
              <w:left w:val="nil"/>
              <w:bottom w:val="nil"/>
              <w:right w:val="nil"/>
            </w:tcBorders>
            <w:shd w:val="clear" w:color="auto" w:fill="auto"/>
            <w:noWrap/>
            <w:vAlign w:val="center"/>
            <w:hideMark/>
          </w:tcPr>
          <w:p w14:paraId="0FD618E0" w14:textId="5FFBDF16" w:rsidR="00B61CA0" w:rsidRPr="00FC2211" w:rsidRDefault="00B61CA0" w:rsidP="00B61CA0">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Cash  </w:t>
            </w:r>
          </w:p>
        </w:tc>
        <w:tc>
          <w:tcPr>
            <w:tcW w:w="1960" w:type="dxa"/>
            <w:tcBorders>
              <w:top w:val="nil"/>
              <w:left w:val="nil"/>
              <w:bottom w:val="nil"/>
              <w:right w:val="nil"/>
            </w:tcBorders>
            <w:shd w:val="clear" w:color="auto" w:fill="auto"/>
            <w:noWrap/>
            <w:vAlign w:val="bottom"/>
            <w:hideMark/>
          </w:tcPr>
          <w:p w14:paraId="23850385" w14:textId="1984529A" w:rsidR="00B61CA0" w:rsidRPr="00FC2211" w:rsidRDefault="00B61CA0" w:rsidP="00B61CA0">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905DA0" w:rsidRPr="00FC2211">
              <w:rPr>
                <w:rFonts w:ascii="Calibri" w:hAnsi="Calibri" w:cs="Calibri"/>
                <w:b/>
                <w:bCs/>
                <w:color w:val="000000"/>
                <w:szCs w:val="20"/>
                <w:lang w:val="en-CA" w:eastAsia="en-CA"/>
              </w:rPr>
              <w:t>3,479</w:t>
            </w:r>
            <w:r w:rsidRPr="00FC2211">
              <w:rPr>
                <w:rFonts w:ascii="Calibri" w:hAnsi="Calibri" w:cs="Calibri"/>
                <w:b/>
                <w:bCs/>
                <w:color w:val="000000"/>
                <w:szCs w:val="20"/>
                <w:lang w:val="en-CA" w:eastAsia="en-CA"/>
              </w:rPr>
              <w:t xml:space="preserve"> </w:t>
            </w:r>
          </w:p>
        </w:tc>
        <w:tc>
          <w:tcPr>
            <w:tcW w:w="1559" w:type="dxa"/>
            <w:tcBorders>
              <w:top w:val="nil"/>
              <w:left w:val="nil"/>
              <w:bottom w:val="nil"/>
              <w:right w:val="nil"/>
            </w:tcBorders>
            <w:shd w:val="clear" w:color="auto" w:fill="auto"/>
            <w:noWrap/>
            <w:vAlign w:val="bottom"/>
            <w:hideMark/>
          </w:tcPr>
          <w:p w14:paraId="40E4DD5B" w14:textId="786AABC1" w:rsidR="00B61CA0" w:rsidRPr="00FC2211" w:rsidRDefault="00B61CA0" w:rsidP="00B61CA0">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36,381 </w:t>
            </w:r>
          </w:p>
        </w:tc>
      </w:tr>
      <w:tr w:rsidR="00B61CA0" w:rsidRPr="00FC2211" w14:paraId="10B9A749" w14:textId="77777777" w:rsidTr="00B61CA0">
        <w:trPr>
          <w:trHeight w:val="240"/>
          <w:jc w:val="center"/>
        </w:trPr>
        <w:tc>
          <w:tcPr>
            <w:tcW w:w="4136" w:type="dxa"/>
            <w:tcBorders>
              <w:top w:val="nil"/>
              <w:left w:val="nil"/>
              <w:bottom w:val="nil"/>
              <w:right w:val="nil"/>
            </w:tcBorders>
            <w:shd w:val="clear" w:color="auto" w:fill="auto"/>
            <w:noWrap/>
            <w:vAlign w:val="center"/>
            <w:hideMark/>
          </w:tcPr>
          <w:p w14:paraId="32865DE8" w14:textId="1F8582E9" w:rsidR="00B61CA0" w:rsidRPr="00FC2211" w:rsidRDefault="00B61CA0" w:rsidP="00B61CA0">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Accounts receivable </w:t>
            </w:r>
          </w:p>
        </w:tc>
        <w:tc>
          <w:tcPr>
            <w:tcW w:w="1960" w:type="dxa"/>
            <w:tcBorders>
              <w:top w:val="nil"/>
              <w:left w:val="nil"/>
              <w:bottom w:val="nil"/>
              <w:right w:val="nil"/>
            </w:tcBorders>
            <w:shd w:val="clear" w:color="auto" w:fill="auto"/>
            <w:noWrap/>
            <w:vAlign w:val="bottom"/>
            <w:hideMark/>
          </w:tcPr>
          <w:p w14:paraId="67CD5283" w14:textId="734B6ADE" w:rsidR="00B61CA0" w:rsidRPr="00FC2211" w:rsidRDefault="00B61CA0" w:rsidP="00B61CA0">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6</w:t>
            </w:r>
            <w:r w:rsidR="00905DA0" w:rsidRPr="00FC2211">
              <w:rPr>
                <w:rFonts w:ascii="Calibri" w:hAnsi="Calibri" w:cs="Calibri"/>
                <w:b/>
                <w:bCs/>
                <w:color w:val="000000"/>
                <w:szCs w:val="20"/>
                <w:lang w:val="en-CA" w:eastAsia="en-CA"/>
              </w:rPr>
              <w:t>6,450</w:t>
            </w:r>
            <w:r w:rsidRPr="00FC2211">
              <w:rPr>
                <w:rFonts w:ascii="Calibri" w:hAnsi="Calibri" w:cs="Calibri"/>
                <w:b/>
                <w:bCs/>
                <w:color w:val="000000"/>
                <w:szCs w:val="20"/>
                <w:lang w:val="en-CA" w:eastAsia="en-CA"/>
              </w:rPr>
              <w:t xml:space="preserve"> </w:t>
            </w:r>
          </w:p>
        </w:tc>
        <w:tc>
          <w:tcPr>
            <w:tcW w:w="1559" w:type="dxa"/>
            <w:tcBorders>
              <w:top w:val="nil"/>
              <w:left w:val="nil"/>
              <w:bottom w:val="nil"/>
              <w:right w:val="nil"/>
            </w:tcBorders>
            <w:shd w:val="clear" w:color="auto" w:fill="auto"/>
            <w:noWrap/>
            <w:vAlign w:val="bottom"/>
            <w:hideMark/>
          </w:tcPr>
          <w:p w14:paraId="4AE3657F" w14:textId="3F571EC8" w:rsidR="00B61CA0" w:rsidRPr="00FC2211" w:rsidRDefault="00B61CA0" w:rsidP="00B61CA0">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56,258 </w:t>
            </w:r>
          </w:p>
        </w:tc>
      </w:tr>
      <w:tr w:rsidR="00B61CA0" w:rsidRPr="00FC2211" w14:paraId="427BDFCC" w14:textId="77777777" w:rsidTr="00B61CA0">
        <w:trPr>
          <w:trHeight w:val="240"/>
          <w:jc w:val="center"/>
        </w:trPr>
        <w:tc>
          <w:tcPr>
            <w:tcW w:w="4136" w:type="dxa"/>
            <w:tcBorders>
              <w:top w:val="nil"/>
              <w:left w:val="nil"/>
              <w:bottom w:val="nil"/>
              <w:right w:val="nil"/>
            </w:tcBorders>
            <w:shd w:val="clear" w:color="auto" w:fill="auto"/>
            <w:noWrap/>
            <w:vAlign w:val="center"/>
            <w:hideMark/>
          </w:tcPr>
          <w:p w14:paraId="3D534F72" w14:textId="4B7696D7" w:rsidR="00B61CA0" w:rsidRPr="00FC2211" w:rsidRDefault="00B61CA0" w:rsidP="00B61CA0">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Prepaid expenses </w:t>
            </w:r>
          </w:p>
        </w:tc>
        <w:tc>
          <w:tcPr>
            <w:tcW w:w="1960" w:type="dxa"/>
            <w:tcBorders>
              <w:top w:val="nil"/>
              <w:left w:val="nil"/>
              <w:bottom w:val="nil"/>
              <w:right w:val="nil"/>
            </w:tcBorders>
            <w:shd w:val="clear" w:color="auto" w:fill="auto"/>
            <w:noWrap/>
            <w:vAlign w:val="bottom"/>
            <w:hideMark/>
          </w:tcPr>
          <w:p w14:paraId="401B9D88" w14:textId="25CAAC6E" w:rsidR="00B61CA0" w:rsidRPr="00FC2211" w:rsidRDefault="00B61CA0" w:rsidP="00B61CA0">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905DA0" w:rsidRPr="00FC2211">
              <w:rPr>
                <w:rFonts w:ascii="Calibri" w:hAnsi="Calibri" w:cs="Calibri"/>
                <w:b/>
                <w:bCs/>
                <w:color w:val="000000"/>
                <w:szCs w:val="20"/>
                <w:lang w:val="en-CA" w:eastAsia="en-CA"/>
              </w:rPr>
              <w:t>10,000</w:t>
            </w:r>
            <w:r w:rsidRPr="00FC2211">
              <w:rPr>
                <w:rFonts w:ascii="Calibri" w:hAnsi="Calibri" w:cs="Calibri"/>
                <w:b/>
                <w:bCs/>
                <w:color w:val="000000"/>
                <w:szCs w:val="20"/>
                <w:lang w:val="en-CA" w:eastAsia="en-CA"/>
              </w:rPr>
              <w:t xml:space="preserve"> </w:t>
            </w:r>
          </w:p>
        </w:tc>
        <w:tc>
          <w:tcPr>
            <w:tcW w:w="1559" w:type="dxa"/>
            <w:tcBorders>
              <w:top w:val="nil"/>
              <w:left w:val="nil"/>
              <w:bottom w:val="nil"/>
              <w:right w:val="nil"/>
            </w:tcBorders>
            <w:shd w:val="clear" w:color="auto" w:fill="auto"/>
            <w:noWrap/>
            <w:vAlign w:val="bottom"/>
            <w:hideMark/>
          </w:tcPr>
          <w:p w14:paraId="7E77516E" w14:textId="0894F1BE" w:rsidR="00B61CA0" w:rsidRPr="00FC2211" w:rsidRDefault="00B61CA0" w:rsidP="00B61CA0">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47,805 </w:t>
            </w:r>
          </w:p>
        </w:tc>
      </w:tr>
      <w:tr w:rsidR="00B61CA0" w:rsidRPr="00FC2211" w14:paraId="369D0758" w14:textId="77777777" w:rsidTr="00B61CA0">
        <w:trPr>
          <w:trHeight w:val="240"/>
          <w:jc w:val="center"/>
        </w:trPr>
        <w:tc>
          <w:tcPr>
            <w:tcW w:w="4136" w:type="dxa"/>
            <w:tcBorders>
              <w:top w:val="nil"/>
              <w:left w:val="nil"/>
              <w:bottom w:val="nil"/>
              <w:right w:val="nil"/>
            </w:tcBorders>
            <w:shd w:val="clear" w:color="auto" w:fill="auto"/>
            <w:noWrap/>
            <w:vAlign w:val="center"/>
            <w:hideMark/>
          </w:tcPr>
          <w:p w14:paraId="2545723F" w14:textId="4CB4B452" w:rsidR="00B61CA0" w:rsidRPr="00FC2211" w:rsidRDefault="00B61CA0" w:rsidP="00B61CA0">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Accounts payable and accrued liabilities  </w:t>
            </w:r>
          </w:p>
        </w:tc>
        <w:tc>
          <w:tcPr>
            <w:tcW w:w="1960" w:type="dxa"/>
            <w:tcBorders>
              <w:top w:val="nil"/>
              <w:left w:val="nil"/>
              <w:bottom w:val="nil"/>
              <w:right w:val="nil"/>
            </w:tcBorders>
            <w:shd w:val="clear" w:color="auto" w:fill="auto"/>
            <w:noWrap/>
            <w:vAlign w:val="bottom"/>
            <w:hideMark/>
          </w:tcPr>
          <w:p w14:paraId="743CAC42" w14:textId="2AB1D202" w:rsidR="00B61CA0" w:rsidRPr="00FC2211" w:rsidRDefault="00B61CA0" w:rsidP="00271925">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(2</w:t>
            </w:r>
            <w:r w:rsidR="00905DA0" w:rsidRPr="00FC2211">
              <w:rPr>
                <w:rFonts w:ascii="Calibri" w:hAnsi="Calibri" w:cs="Calibri"/>
                <w:b/>
                <w:bCs/>
                <w:color w:val="000000"/>
                <w:szCs w:val="20"/>
                <w:lang w:val="en-CA" w:eastAsia="en-CA"/>
              </w:rPr>
              <w:t>95,575</w:t>
            </w:r>
            <w:r w:rsidRPr="00FC2211">
              <w:rPr>
                <w:rFonts w:ascii="Calibri" w:hAnsi="Calibri" w:cs="Calibri"/>
                <w:b/>
                <w:bCs/>
                <w:color w:val="000000"/>
                <w:szCs w:val="20"/>
                <w:lang w:val="en-CA" w:eastAsia="en-CA"/>
              </w:rPr>
              <w:t>)</w:t>
            </w:r>
          </w:p>
        </w:tc>
        <w:tc>
          <w:tcPr>
            <w:tcW w:w="1559" w:type="dxa"/>
            <w:tcBorders>
              <w:top w:val="nil"/>
              <w:left w:val="nil"/>
              <w:bottom w:val="nil"/>
              <w:right w:val="nil"/>
            </w:tcBorders>
            <w:shd w:val="clear" w:color="auto" w:fill="auto"/>
            <w:noWrap/>
            <w:vAlign w:val="bottom"/>
            <w:hideMark/>
          </w:tcPr>
          <w:p w14:paraId="56A943DB" w14:textId="13A27B28" w:rsidR="00B61CA0" w:rsidRPr="00FC2211" w:rsidRDefault="00B61CA0" w:rsidP="00271925">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(157,812)</w:t>
            </w:r>
          </w:p>
        </w:tc>
      </w:tr>
      <w:tr w:rsidR="00B61CA0" w:rsidRPr="00FC2211" w14:paraId="27B1D454" w14:textId="77777777" w:rsidTr="00B61CA0">
        <w:trPr>
          <w:trHeight w:val="252"/>
          <w:jc w:val="center"/>
        </w:trPr>
        <w:tc>
          <w:tcPr>
            <w:tcW w:w="4136" w:type="dxa"/>
            <w:tcBorders>
              <w:top w:val="nil"/>
              <w:left w:val="nil"/>
              <w:bottom w:val="nil"/>
              <w:right w:val="nil"/>
            </w:tcBorders>
            <w:shd w:val="clear" w:color="auto" w:fill="auto"/>
            <w:noWrap/>
            <w:vAlign w:val="center"/>
            <w:hideMark/>
          </w:tcPr>
          <w:p w14:paraId="412F8C31" w14:textId="77777777" w:rsidR="00B61CA0" w:rsidRPr="00FC2211" w:rsidRDefault="00B61CA0" w:rsidP="00B61CA0">
            <w:pPr>
              <w:rPr>
                <w:rFonts w:ascii="Calibri" w:hAnsi="Calibri" w:cs="Calibri"/>
                <w:color w:val="000000"/>
                <w:szCs w:val="20"/>
                <w:lang w:val="en-CA" w:eastAsia="en-CA"/>
              </w:rPr>
            </w:pPr>
            <w:r w:rsidRPr="00FC2211">
              <w:rPr>
                <w:rFonts w:ascii="Calibri" w:hAnsi="Calibri" w:cs="Calibri"/>
                <w:color w:val="000000"/>
                <w:szCs w:val="20"/>
                <w:lang w:val="en-CA" w:eastAsia="en-CA"/>
              </w:rPr>
              <w:t>Net liabilities denominated in foreign currency</w:t>
            </w:r>
          </w:p>
        </w:tc>
        <w:tc>
          <w:tcPr>
            <w:tcW w:w="1960" w:type="dxa"/>
            <w:tcBorders>
              <w:top w:val="single" w:sz="4" w:space="0" w:color="auto"/>
              <w:left w:val="nil"/>
              <w:bottom w:val="single" w:sz="8" w:space="0" w:color="auto"/>
              <w:right w:val="nil"/>
            </w:tcBorders>
            <w:shd w:val="clear" w:color="auto" w:fill="auto"/>
            <w:noWrap/>
            <w:vAlign w:val="bottom"/>
            <w:hideMark/>
          </w:tcPr>
          <w:p w14:paraId="582209BE" w14:textId="29D4A245" w:rsidR="00B61CA0" w:rsidRPr="00FC2211" w:rsidRDefault="00B61CA0" w:rsidP="00271925">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905DA0" w:rsidRPr="00FC2211">
              <w:rPr>
                <w:rFonts w:ascii="Calibri" w:hAnsi="Calibri" w:cs="Calibri"/>
                <w:b/>
                <w:bCs/>
                <w:color w:val="000000"/>
                <w:szCs w:val="20"/>
                <w:lang w:val="en-CA" w:eastAsia="en-CA"/>
              </w:rPr>
              <w:t>215,646</w:t>
            </w:r>
            <w:r w:rsidRPr="00FC2211">
              <w:rPr>
                <w:rFonts w:ascii="Calibri" w:hAnsi="Calibri" w:cs="Calibri"/>
                <w:b/>
                <w:bCs/>
                <w:color w:val="000000"/>
                <w:szCs w:val="20"/>
                <w:lang w:val="en-CA" w:eastAsia="en-CA"/>
              </w:rPr>
              <w:t>)</w:t>
            </w:r>
          </w:p>
        </w:tc>
        <w:tc>
          <w:tcPr>
            <w:tcW w:w="1559" w:type="dxa"/>
            <w:tcBorders>
              <w:top w:val="single" w:sz="4" w:space="0" w:color="auto"/>
              <w:left w:val="nil"/>
              <w:bottom w:val="single" w:sz="8" w:space="0" w:color="auto"/>
              <w:right w:val="nil"/>
            </w:tcBorders>
            <w:shd w:val="clear" w:color="auto" w:fill="auto"/>
            <w:noWrap/>
            <w:vAlign w:val="bottom"/>
            <w:hideMark/>
          </w:tcPr>
          <w:p w14:paraId="2CDCA4FA" w14:textId="4AC4B507" w:rsidR="00B61CA0" w:rsidRPr="00FC2211" w:rsidRDefault="00B61CA0" w:rsidP="00271925">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(17,368)</w:t>
            </w:r>
          </w:p>
        </w:tc>
      </w:tr>
    </w:tbl>
    <w:p w14:paraId="0F63618D" w14:textId="77777777" w:rsidR="00396E16" w:rsidRPr="00FC2211" w:rsidRDefault="00396E16" w:rsidP="00C061DC">
      <w:pPr>
        <w:ind w:left="737"/>
        <w:contextualSpacing/>
        <w:rPr>
          <w:rFonts w:cstheme="minorHAnsi"/>
          <w:szCs w:val="20"/>
          <w:lang w:val="en-GB"/>
        </w:rPr>
      </w:pPr>
    </w:p>
    <w:p w14:paraId="035D7AA8" w14:textId="77777777" w:rsidR="00BD4A3B" w:rsidRPr="00FC2211" w:rsidRDefault="00BD4A3B" w:rsidP="00BD4A3B">
      <w:pPr>
        <w:ind w:left="737"/>
        <w:contextualSpacing/>
        <w:jc w:val="both"/>
        <w:rPr>
          <w:rFonts w:cstheme="minorHAnsi"/>
          <w:szCs w:val="20"/>
          <w:lang w:val="en-GB"/>
        </w:rPr>
      </w:pPr>
      <w:r w:rsidRPr="00FC2211">
        <w:rPr>
          <w:rFonts w:cstheme="minorHAnsi"/>
          <w:szCs w:val="20"/>
          <w:lang w:val="en-GB"/>
        </w:rPr>
        <w:t>The most significant closing exchange rates and the approximate average exchange rates of Canadian Dollar per US dollar used in these Financial Statements were as follows:</w:t>
      </w:r>
    </w:p>
    <w:p w14:paraId="3EE812D7" w14:textId="77777777" w:rsidR="00932CB6" w:rsidRPr="00FC2211" w:rsidRDefault="00932CB6" w:rsidP="00BD4A3B">
      <w:pPr>
        <w:ind w:left="737"/>
        <w:contextualSpacing/>
        <w:jc w:val="both"/>
        <w:rPr>
          <w:rFonts w:cstheme="minorHAnsi"/>
          <w:szCs w:val="20"/>
          <w:lang w:val="en-GB"/>
        </w:rPr>
      </w:pPr>
    </w:p>
    <w:tbl>
      <w:tblPr>
        <w:tblW w:w="6965" w:type="dxa"/>
        <w:jc w:val="center"/>
        <w:tblLook w:val="04A0" w:firstRow="1" w:lastRow="0" w:firstColumn="1" w:lastColumn="0" w:noHBand="0" w:noVBand="1"/>
      </w:tblPr>
      <w:tblGrid>
        <w:gridCol w:w="1701"/>
        <w:gridCol w:w="1649"/>
        <w:gridCol w:w="1207"/>
        <w:gridCol w:w="1204"/>
        <w:gridCol w:w="1204"/>
      </w:tblGrid>
      <w:tr w:rsidR="001B2F78" w:rsidRPr="00FC2211" w14:paraId="0E0E9F80" w14:textId="77777777" w:rsidTr="001B2F78">
        <w:trPr>
          <w:trHeight w:val="240"/>
          <w:jc w:val="center"/>
        </w:trPr>
        <w:tc>
          <w:tcPr>
            <w:tcW w:w="1701" w:type="dxa"/>
            <w:tcBorders>
              <w:top w:val="single" w:sz="8" w:space="0" w:color="auto"/>
              <w:left w:val="nil"/>
              <w:bottom w:val="single" w:sz="4" w:space="0" w:color="auto"/>
              <w:right w:val="nil"/>
            </w:tcBorders>
            <w:shd w:val="clear" w:color="auto" w:fill="auto"/>
            <w:noWrap/>
            <w:vAlign w:val="bottom"/>
            <w:hideMark/>
          </w:tcPr>
          <w:p w14:paraId="1DD0983A" w14:textId="77777777" w:rsidR="001B2F78" w:rsidRPr="00FC2211" w:rsidRDefault="001B2F78" w:rsidP="001B2F78">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2856" w:type="dxa"/>
            <w:gridSpan w:val="2"/>
            <w:tcBorders>
              <w:top w:val="single" w:sz="8" w:space="0" w:color="auto"/>
              <w:left w:val="nil"/>
              <w:bottom w:val="single" w:sz="4" w:space="0" w:color="auto"/>
              <w:right w:val="nil"/>
            </w:tcBorders>
            <w:shd w:val="clear" w:color="auto" w:fill="auto"/>
            <w:vAlign w:val="center"/>
            <w:hideMark/>
          </w:tcPr>
          <w:p w14:paraId="666CBA37" w14:textId="6883BE15" w:rsidR="001B2F78" w:rsidRPr="00FC2211" w:rsidRDefault="002150D8" w:rsidP="001B2F78">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December 31</w:t>
            </w:r>
            <w:r w:rsidR="001B2F78" w:rsidRPr="00FC2211">
              <w:rPr>
                <w:rFonts w:ascii="Calibri" w:hAnsi="Calibri" w:cs="Calibri"/>
                <w:b/>
                <w:bCs/>
                <w:color w:val="000000"/>
                <w:szCs w:val="20"/>
                <w:lang w:val="en-CA" w:eastAsia="en-CA"/>
              </w:rPr>
              <w:t>, 2023</w:t>
            </w:r>
          </w:p>
        </w:tc>
        <w:tc>
          <w:tcPr>
            <w:tcW w:w="2408" w:type="dxa"/>
            <w:gridSpan w:val="2"/>
            <w:tcBorders>
              <w:top w:val="single" w:sz="8" w:space="0" w:color="auto"/>
              <w:left w:val="nil"/>
              <w:bottom w:val="single" w:sz="4" w:space="0" w:color="auto"/>
              <w:right w:val="nil"/>
            </w:tcBorders>
            <w:shd w:val="clear" w:color="auto" w:fill="auto"/>
            <w:vAlign w:val="center"/>
            <w:hideMark/>
          </w:tcPr>
          <w:p w14:paraId="7430C551" w14:textId="77777777" w:rsidR="001B2F78" w:rsidRPr="00FC2211" w:rsidRDefault="001B2F78" w:rsidP="001B2F78">
            <w:pPr>
              <w:jc w:val="center"/>
              <w:rPr>
                <w:rFonts w:ascii="Calibri" w:hAnsi="Calibri" w:cs="Calibri"/>
                <w:color w:val="000000"/>
                <w:szCs w:val="20"/>
                <w:lang w:val="en-CA" w:eastAsia="en-CA"/>
              </w:rPr>
            </w:pPr>
            <w:r w:rsidRPr="00FC2211">
              <w:rPr>
                <w:rFonts w:ascii="Calibri" w:hAnsi="Calibri" w:cs="Calibri"/>
                <w:color w:val="000000"/>
                <w:szCs w:val="20"/>
                <w:lang w:val="en-CA" w:eastAsia="en-CA"/>
              </w:rPr>
              <w:t>June 30, 2023</w:t>
            </w:r>
          </w:p>
        </w:tc>
      </w:tr>
      <w:tr w:rsidR="001B2F78" w:rsidRPr="00FC2211" w14:paraId="55351351" w14:textId="77777777" w:rsidTr="001B2F78">
        <w:trPr>
          <w:trHeight w:val="240"/>
          <w:jc w:val="center"/>
        </w:trPr>
        <w:tc>
          <w:tcPr>
            <w:tcW w:w="1701" w:type="dxa"/>
            <w:tcBorders>
              <w:top w:val="nil"/>
              <w:left w:val="nil"/>
              <w:bottom w:val="single" w:sz="4" w:space="0" w:color="auto"/>
              <w:right w:val="nil"/>
            </w:tcBorders>
            <w:shd w:val="clear" w:color="auto" w:fill="auto"/>
            <w:noWrap/>
            <w:vAlign w:val="bottom"/>
            <w:hideMark/>
          </w:tcPr>
          <w:p w14:paraId="6209BAB4" w14:textId="77777777" w:rsidR="001B2F78" w:rsidRPr="00FC2211" w:rsidRDefault="001B2F78" w:rsidP="001B2F78">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Currency</w:t>
            </w:r>
          </w:p>
        </w:tc>
        <w:tc>
          <w:tcPr>
            <w:tcW w:w="1649" w:type="dxa"/>
            <w:tcBorders>
              <w:top w:val="nil"/>
              <w:left w:val="nil"/>
              <w:bottom w:val="single" w:sz="4" w:space="0" w:color="auto"/>
              <w:right w:val="nil"/>
            </w:tcBorders>
            <w:shd w:val="clear" w:color="auto" w:fill="auto"/>
            <w:noWrap/>
            <w:vAlign w:val="bottom"/>
            <w:hideMark/>
          </w:tcPr>
          <w:p w14:paraId="2A4C76FD" w14:textId="77777777" w:rsidR="001B2F78" w:rsidRPr="00FC2211" w:rsidRDefault="001B2F78" w:rsidP="001B2F78">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Closing</w:t>
            </w:r>
          </w:p>
        </w:tc>
        <w:tc>
          <w:tcPr>
            <w:tcW w:w="1207" w:type="dxa"/>
            <w:tcBorders>
              <w:top w:val="nil"/>
              <w:left w:val="nil"/>
              <w:bottom w:val="single" w:sz="4" w:space="0" w:color="auto"/>
              <w:right w:val="nil"/>
            </w:tcBorders>
            <w:shd w:val="clear" w:color="auto" w:fill="auto"/>
            <w:noWrap/>
            <w:vAlign w:val="bottom"/>
            <w:hideMark/>
          </w:tcPr>
          <w:p w14:paraId="527D9B74" w14:textId="77777777" w:rsidR="001B2F78" w:rsidRPr="00FC2211" w:rsidRDefault="001B2F78" w:rsidP="001B2F78">
            <w:pPr>
              <w:jc w:val="center"/>
              <w:rPr>
                <w:rFonts w:ascii="Calibri" w:hAnsi="Calibri" w:cs="Calibri"/>
                <w:b/>
                <w:bCs/>
                <w:color w:val="000000"/>
                <w:szCs w:val="20"/>
                <w:lang w:val="en-CA" w:eastAsia="en-CA"/>
              </w:rPr>
            </w:pPr>
            <w:r w:rsidRPr="00FC2211">
              <w:rPr>
                <w:rFonts w:ascii="Calibri" w:hAnsi="Calibri" w:cs="Calibri"/>
                <w:b/>
                <w:bCs/>
                <w:color w:val="000000"/>
                <w:szCs w:val="20"/>
                <w:lang w:val="en-CA" w:eastAsia="en-CA"/>
              </w:rPr>
              <w:t>Average</w:t>
            </w:r>
          </w:p>
        </w:tc>
        <w:tc>
          <w:tcPr>
            <w:tcW w:w="1204" w:type="dxa"/>
            <w:tcBorders>
              <w:top w:val="nil"/>
              <w:left w:val="nil"/>
              <w:bottom w:val="single" w:sz="4" w:space="0" w:color="auto"/>
              <w:right w:val="nil"/>
            </w:tcBorders>
            <w:shd w:val="clear" w:color="auto" w:fill="auto"/>
            <w:noWrap/>
            <w:vAlign w:val="bottom"/>
            <w:hideMark/>
          </w:tcPr>
          <w:p w14:paraId="37C19F49" w14:textId="77777777" w:rsidR="001B2F78" w:rsidRPr="00FC2211" w:rsidRDefault="001B2F78" w:rsidP="001B2F78">
            <w:pPr>
              <w:jc w:val="center"/>
              <w:rPr>
                <w:rFonts w:ascii="Calibri" w:hAnsi="Calibri" w:cs="Calibri"/>
                <w:color w:val="000000"/>
                <w:szCs w:val="20"/>
                <w:lang w:val="en-CA" w:eastAsia="en-CA"/>
              </w:rPr>
            </w:pPr>
            <w:r w:rsidRPr="00FC2211">
              <w:rPr>
                <w:rFonts w:ascii="Calibri" w:hAnsi="Calibri" w:cs="Calibri"/>
                <w:color w:val="000000"/>
                <w:szCs w:val="20"/>
                <w:lang w:val="en-CA" w:eastAsia="en-CA"/>
              </w:rPr>
              <w:t>Closing</w:t>
            </w:r>
          </w:p>
        </w:tc>
        <w:tc>
          <w:tcPr>
            <w:tcW w:w="1204" w:type="dxa"/>
            <w:tcBorders>
              <w:top w:val="nil"/>
              <w:left w:val="nil"/>
              <w:bottom w:val="single" w:sz="4" w:space="0" w:color="auto"/>
              <w:right w:val="nil"/>
            </w:tcBorders>
            <w:shd w:val="clear" w:color="auto" w:fill="auto"/>
            <w:noWrap/>
            <w:vAlign w:val="bottom"/>
            <w:hideMark/>
          </w:tcPr>
          <w:p w14:paraId="1A088DD0" w14:textId="77777777" w:rsidR="001B2F78" w:rsidRPr="00FC2211" w:rsidRDefault="001B2F78" w:rsidP="001B2F78">
            <w:pPr>
              <w:jc w:val="center"/>
              <w:rPr>
                <w:rFonts w:ascii="Calibri" w:hAnsi="Calibri" w:cs="Calibri"/>
                <w:color w:val="000000"/>
                <w:szCs w:val="20"/>
                <w:lang w:val="en-CA" w:eastAsia="en-CA"/>
              </w:rPr>
            </w:pPr>
            <w:r w:rsidRPr="00FC2211">
              <w:rPr>
                <w:rFonts w:ascii="Calibri" w:hAnsi="Calibri" w:cs="Calibri"/>
                <w:color w:val="000000"/>
                <w:szCs w:val="20"/>
                <w:lang w:val="en-CA" w:eastAsia="en-CA"/>
              </w:rPr>
              <w:t>Average</w:t>
            </w:r>
          </w:p>
        </w:tc>
      </w:tr>
      <w:tr w:rsidR="001B2F78" w:rsidRPr="00FC2211" w14:paraId="418321A9" w14:textId="77777777" w:rsidTr="001B2F78">
        <w:trPr>
          <w:trHeight w:val="252"/>
          <w:jc w:val="center"/>
        </w:trPr>
        <w:tc>
          <w:tcPr>
            <w:tcW w:w="1701" w:type="dxa"/>
            <w:tcBorders>
              <w:top w:val="nil"/>
              <w:left w:val="nil"/>
              <w:bottom w:val="single" w:sz="8" w:space="0" w:color="auto"/>
              <w:right w:val="nil"/>
            </w:tcBorders>
            <w:shd w:val="clear" w:color="auto" w:fill="auto"/>
            <w:noWrap/>
            <w:vAlign w:val="bottom"/>
            <w:hideMark/>
          </w:tcPr>
          <w:p w14:paraId="7032F173" w14:textId="77777777" w:rsidR="001B2F78" w:rsidRPr="00FC2211" w:rsidRDefault="001B2F78" w:rsidP="001B2F78">
            <w:pPr>
              <w:rPr>
                <w:rFonts w:ascii="Calibri" w:hAnsi="Calibri" w:cs="Calibri"/>
                <w:color w:val="000000"/>
                <w:szCs w:val="20"/>
                <w:lang w:val="en-CA" w:eastAsia="en-CA"/>
              </w:rPr>
            </w:pPr>
            <w:r w:rsidRPr="00FC2211">
              <w:rPr>
                <w:rFonts w:ascii="Calibri" w:hAnsi="Calibri" w:cs="Calibri"/>
                <w:color w:val="000000"/>
                <w:szCs w:val="20"/>
                <w:lang w:val="en-CA" w:eastAsia="en-CA"/>
              </w:rPr>
              <w:t>U.S. Dollar</w:t>
            </w:r>
          </w:p>
        </w:tc>
        <w:tc>
          <w:tcPr>
            <w:tcW w:w="1649" w:type="dxa"/>
            <w:tcBorders>
              <w:top w:val="nil"/>
              <w:left w:val="nil"/>
              <w:bottom w:val="single" w:sz="8" w:space="0" w:color="auto"/>
              <w:right w:val="nil"/>
            </w:tcBorders>
            <w:shd w:val="clear" w:color="auto" w:fill="auto"/>
            <w:noWrap/>
            <w:vAlign w:val="bottom"/>
            <w:hideMark/>
          </w:tcPr>
          <w:p w14:paraId="6D65BF9C" w14:textId="68BA4D82" w:rsidR="001B2F78" w:rsidRPr="00FC2211" w:rsidRDefault="001B2F78" w:rsidP="001B2F78">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1.3</w:t>
            </w:r>
            <w:r w:rsidR="002150D8" w:rsidRPr="00FC2211">
              <w:rPr>
                <w:rFonts w:ascii="Calibri" w:hAnsi="Calibri" w:cs="Calibri"/>
                <w:b/>
                <w:bCs/>
                <w:color w:val="000000"/>
                <w:szCs w:val="20"/>
                <w:lang w:val="en-CA" w:eastAsia="en-CA"/>
              </w:rPr>
              <w:t>2</w:t>
            </w:r>
            <w:r w:rsidRPr="00FC2211">
              <w:rPr>
                <w:rFonts w:ascii="Calibri" w:hAnsi="Calibri" w:cs="Calibri"/>
                <w:b/>
                <w:bCs/>
                <w:color w:val="000000"/>
                <w:szCs w:val="20"/>
                <w:lang w:val="en-CA" w:eastAsia="en-CA"/>
              </w:rPr>
              <w:t xml:space="preserve"> </w:t>
            </w:r>
          </w:p>
        </w:tc>
        <w:tc>
          <w:tcPr>
            <w:tcW w:w="1207" w:type="dxa"/>
            <w:tcBorders>
              <w:top w:val="nil"/>
              <w:left w:val="nil"/>
              <w:bottom w:val="single" w:sz="8" w:space="0" w:color="auto"/>
              <w:right w:val="nil"/>
            </w:tcBorders>
            <w:shd w:val="clear" w:color="auto" w:fill="auto"/>
            <w:noWrap/>
            <w:vAlign w:val="bottom"/>
            <w:hideMark/>
          </w:tcPr>
          <w:p w14:paraId="7374C72B" w14:textId="7D5D3362" w:rsidR="001B2F78" w:rsidRPr="00FC2211" w:rsidRDefault="001B2F78" w:rsidP="001B2F78">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1.3</w:t>
            </w:r>
            <w:r w:rsidR="002150D8" w:rsidRPr="00FC2211">
              <w:rPr>
                <w:rFonts w:ascii="Calibri" w:hAnsi="Calibri" w:cs="Calibri"/>
                <w:b/>
                <w:bCs/>
                <w:color w:val="000000"/>
                <w:szCs w:val="20"/>
                <w:lang w:val="en-CA" w:eastAsia="en-CA"/>
              </w:rPr>
              <w:t>5</w:t>
            </w:r>
            <w:r w:rsidRPr="00FC2211">
              <w:rPr>
                <w:rFonts w:ascii="Calibri" w:hAnsi="Calibri" w:cs="Calibri"/>
                <w:b/>
                <w:bCs/>
                <w:color w:val="000000"/>
                <w:szCs w:val="20"/>
                <w:lang w:val="en-CA" w:eastAsia="en-CA"/>
              </w:rPr>
              <w:t xml:space="preserve"> </w:t>
            </w:r>
          </w:p>
        </w:tc>
        <w:tc>
          <w:tcPr>
            <w:tcW w:w="1204" w:type="dxa"/>
            <w:tcBorders>
              <w:top w:val="nil"/>
              <w:left w:val="nil"/>
              <w:bottom w:val="single" w:sz="8" w:space="0" w:color="auto"/>
              <w:right w:val="nil"/>
            </w:tcBorders>
            <w:shd w:val="clear" w:color="auto" w:fill="auto"/>
            <w:noWrap/>
            <w:vAlign w:val="bottom"/>
            <w:hideMark/>
          </w:tcPr>
          <w:p w14:paraId="6209B46E" w14:textId="4ED00126" w:rsidR="001B2F78" w:rsidRPr="00FC2211" w:rsidRDefault="001B2F78" w:rsidP="001B2F7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1.32 </w:t>
            </w:r>
          </w:p>
        </w:tc>
        <w:tc>
          <w:tcPr>
            <w:tcW w:w="1204" w:type="dxa"/>
            <w:tcBorders>
              <w:top w:val="nil"/>
              <w:left w:val="nil"/>
              <w:bottom w:val="single" w:sz="8" w:space="0" w:color="auto"/>
              <w:right w:val="nil"/>
            </w:tcBorders>
            <w:shd w:val="clear" w:color="auto" w:fill="auto"/>
            <w:noWrap/>
            <w:vAlign w:val="bottom"/>
            <w:hideMark/>
          </w:tcPr>
          <w:p w14:paraId="295BCAE3" w14:textId="62F71E13" w:rsidR="001B2F78" w:rsidRPr="00FC2211" w:rsidRDefault="001B2F78" w:rsidP="001B2F7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1.34 </w:t>
            </w:r>
          </w:p>
        </w:tc>
      </w:tr>
    </w:tbl>
    <w:p w14:paraId="34373DBF" w14:textId="77777777" w:rsidR="00BD4A3B" w:rsidRPr="00FC2211" w:rsidRDefault="00BD4A3B" w:rsidP="00BD4A3B">
      <w:pPr>
        <w:ind w:left="737"/>
        <w:contextualSpacing/>
        <w:rPr>
          <w:rFonts w:cstheme="minorHAnsi"/>
          <w:szCs w:val="20"/>
          <w:lang w:val="en-GB"/>
        </w:rPr>
      </w:pPr>
    </w:p>
    <w:p w14:paraId="7B15E55F" w14:textId="058F88CF" w:rsidR="00F97255" w:rsidRPr="00FC2211" w:rsidRDefault="00F97255" w:rsidP="00F97255">
      <w:pPr>
        <w:ind w:left="737"/>
        <w:contextualSpacing/>
        <w:jc w:val="both"/>
        <w:rPr>
          <w:rFonts w:cstheme="minorHAnsi"/>
          <w:szCs w:val="20"/>
          <w:lang w:val="en-GB"/>
        </w:rPr>
      </w:pPr>
      <w:r w:rsidRPr="00FC2211">
        <w:rPr>
          <w:rFonts w:cstheme="minorHAnsi"/>
          <w:szCs w:val="20"/>
          <w:lang w:val="en-GB"/>
        </w:rPr>
        <w:t xml:space="preserve">A 5% change in the U.S. dollar </w:t>
      </w:r>
      <w:r w:rsidR="00AD5ADB" w:rsidRPr="00FC2211">
        <w:rPr>
          <w:rFonts w:cstheme="minorHAnsi"/>
          <w:szCs w:val="20"/>
          <w:lang w:val="en-GB"/>
        </w:rPr>
        <w:t>would have</w:t>
      </w:r>
      <w:r w:rsidRPr="00FC2211">
        <w:rPr>
          <w:rFonts w:cstheme="minorHAnsi"/>
          <w:szCs w:val="20"/>
          <w:lang w:val="en-GB"/>
        </w:rPr>
        <w:t xml:space="preserve"> </w:t>
      </w:r>
      <w:r w:rsidR="00136C14" w:rsidRPr="00FC2211">
        <w:rPr>
          <w:rFonts w:cstheme="minorHAnsi"/>
          <w:szCs w:val="20"/>
          <w:lang w:val="en-GB"/>
        </w:rPr>
        <w:t xml:space="preserve">increased or decreased </w:t>
      </w:r>
      <w:r w:rsidRPr="00FC2211">
        <w:rPr>
          <w:rFonts w:cstheme="minorHAnsi"/>
          <w:szCs w:val="20"/>
          <w:lang w:val="en-GB"/>
        </w:rPr>
        <w:t xml:space="preserve">the </w:t>
      </w:r>
      <w:r w:rsidR="00F84781" w:rsidRPr="00FC2211">
        <w:rPr>
          <w:rFonts w:cstheme="minorHAnsi"/>
          <w:szCs w:val="20"/>
          <w:lang w:val="en-GB"/>
        </w:rPr>
        <w:t>C</w:t>
      </w:r>
      <w:r w:rsidRPr="00FC2211">
        <w:rPr>
          <w:rFonts w:cstheme="minorHAnsi"/>
          <w:szCs w:val="20"/>
          <w:lang w:val="en-GB"/>
        </w:rPr>
        <w:t>ompany’s profit or loss</w:t>
      </w:r>
      <w:r w:rsidR="00136C14" w:rsidRPr="00FC2211">
        <w:rPr>
          <w:rFonts w:cstheme="minorHAnsi"/>
          <w:szCs w:val="20"/>
          <w:lang w:val="en-GB"/>
        </w:rPr>
        <w:t xml:space="preserve"> </w:t>
      </w:r>
      <w:r w:rsidR="001F5942" w:rsidRPr="00FC2211">
        <w:rPr>
          <w:rFonts w:cstheme="minorHAnsi"/>
          <w:szCs w:val="20"/>
          <w:lang w:val="en-GB"/>
        </w:rPr>
        <w:t xml:space="preserve">for the </w:t>
      </w:r>
      <w:r w:rsidR="002150D8" w:rsidRPr="00FC2211">
        <w:rPr>
          <w:rFonts w:cstheme="minorHAnsi"/>
          <w:szCs w:val="20"/>
          <w:lang w:val="en-GB"/>
        </w:rPr>
        <w:t>six</w:t>
      </w:r>
      <w:r w:rsidR="001F5942" w:rsidRPr="00FC2211">
        <w:rPr>
          <w:rFonts w:cstheme="minorHAnsi"/>
          <w:szCs w:val="20"/>
          <w:lang w:val="en-GB"/>
        </w:rPr>
        <w:t xml:space="preserve"> months ended </w:t>
      </w:r>
      <w:r w:rsidR="002150D8" w:rsidRPr="00FC2211">
        <w:rPr>
          <w:rFonts w:cstheme="minorHAnsi"/>
          <w:szCs w:val="20"/>
          <w:lang w:val="en-GB"/>
        </w:rPr>
        <w:t>December 31</w:t>
      </w:r>
      <w:r w:rsidR="001F5942" w:rsidRPr="00FC2211">
        <w:rPr>
          <w:rFonts w:cstheme="minorHAnsi"/>
          <w:szCs w:val="20"/>
          <w:lang w:val="en-GB"/>
        </w:rPr>
        <w:t xml:space="preserve">, 2023 </w:t>
      </w:r>
      <w:r w:rsidR="00136C14" w:rsidRPr="00FC2211">
        <w:rPr>
          <w:rFonts w:cstheme="minorHAnsi"/>
          <w:szCs w:val="20"/>
          <w:lang w:val="en-GB"/>
        </w:rPr>
        <w:t>by $1</w:t>
      </w:r>
      <w:r w:rsidR="002150D8" w:rsidRPr="00FC2211">
        <w:rPr>
          <w:rFonts w:cstheme="minorHAnsi"/>
          <w:szCs w:val="20"/>
          <w:lang w:val="en-GB"/>
        </w:rPr>
        <w:t>4,</w:t>
      </w:r>
      <w:r w:rsidR="0097493B">
        <w:rPr>
          <w:rFonts w:cstheme="minorHAnsi"/>
          <w:szCs w:val="20"/>
          <w:lang w:val="en-GB"/>
        </w:rPr>
        <w:t>233</w:t>
      </w:r>
      <w:r w:rsidRPr="00FC2211">
        <w:rPr>
          <w:rFonts w:cstheme="minorHAnsi"/>
          <w:szCs w:val="20"/>
          <w:lang w:val="en-GB"/>
        </w:rPr>
        <w:t>.</w:t>
      </w:r>
    </w:p>
    <w:p w14:paraId="0D138A90" w14:textId="77777777" w:rsidR="000516F9" w:rsidRPr="00FC2211" w:rsidRDefault="000516F9" w:rsidP="003B026D">
      <w:pPr>
        <w:rPr>
          <w:b/>
          <w:bCs/>
          <w:lang w:val="en-GB"/>
        </w:rPr>
      </w:pPr>
    </w:p>
    <w:p w14:paraId="7AD64CD7" w14:textId="77777777" w:rsidR="00837F8E" w:rsidRPr="00FC2211" w:rsidRDefault="00837F8E" w:rsidP="00837F8E">
      <w:pPr>
        <w:numPr>
          <w:ilvl w:val="0"/>
          <w:numId w:val="44"/>
        </w:numPr>
        <w:ind w:left="709" w:firstLine="0"/>
        <w:contextualSpacing/>
        <w:rPr>
          <w:rFonts w:cstheme="minorHAnsi"/>
          <w:b/>
          <w:szCs w:val="20"/>
        </w:rPr>
      </w:pPr>
      <w:r w:rsidRPr="00FC2211">
        <w:rPr>
          <w:rFonts w:cstheme="minorHAnsi"/>
          <w:b/>
          <w:szCs w:val="20"/>
        </w:rPr>
        <w:t>Interest rate risk</w:t>
      </w:r>
    </w:p>
    <w:p w14:paraId="0A4EC4F3" w14:textId="77777777" w:rsidR="00837F8E" w:rsidRPr="00FC2211" w:rsidRDefault="00837F8E" w:rsidP="00837F8E">
      <w:pPr>
        <w:ind w:left="709"/>
        <w:contextualSpacing/>
        <w:rPr>
          <w:rFonts w:cstheme="minorHAnsi"/>
          <w:b/>
          <w:szCs w:val="20"/>
        </w:rPr>
      </w:pPr>
    </w:p>
    <w:p w14:paraId="33F500F8" w14:textId="18220EB9" w:rsidR="000516F9" w:rsidRPr="00FC2211" w:rsidRDefault="00837F8E" w:rsidP="00837F8E">
      <w:pPr>
        <w:ind w:left="709"/>
        <w:rPr>
          <w:b/>
          <w:bCs/>
          <w:lang w:val="en-GB"/>
        </w:rPr>
      </w:pPr>
      <w:r w:rsidRPr="00FC2211">
        <w:rPr>
          <w:rFonts w:cstheme="minorHAnsi"/>
          <w:szCs w:val="20"/>
          <w:lang w:val="en-GB"/>
        </w:rPr>
        <w:t xml:space="preserve">Interest rate risk is the risk that future cash flows will fluctuate due to changes in market interest rates. </w:t>
      </w:r>
      <w:r w:rsidR="0008471A" w:rsidRPr="00FC2211">
        <w:rPr>
          <w:rFonts w:cstheme="minorHAnsi"/>
          <w:szCs w:val="20"/>
          <w:lang w:val="en-GB"/>
        </w:rPr>
        <w:t xml:space="preserve">As at </w:t>
      </w:r>
      <w:r w:rsidR="0037058B" w:rsidRPr="00FC2211">
        <w:rPr>
          <w:rFonts w:cstheme="minorHAnsi"/>
          <w:szCs w:val="20"/>
          <w:lang w:val="en-GB"/>
        </w:rPr>
        <w:t>December 31</w:t>
      </w:r>
      <w:r w:rsidR="0008471A" w:rsidRPr="00FC2211">
        <w:rPr>
          <w:rFonts w:cstheme="minorHAnsi"/>
          <w:szCs w:val="20"/>
          <w:lang w:val="en-GB"/>
        </w:rPr>
        <w:t>, 2023, t</w:t>
      </w:r>
      <w:r w:rsidR="00057980" w:rsidRPr="00FC2211">
        <w:rPr>
          <w:rFonts w:cstheme="minorHAnsi"/>
          <w:szCs w:val="20"/>
          <w:lang w:val="en-GB"/>
        </w:rPr>
        <w:t>he Company is expose</w:t>
      </w:r>
      <w:r w:rsidR="00DB799B" w:rsidRPr="00FC2211">
        <w:rPr>
          <w:rFonts w:cstheme="minorHAnsi"/>
          <w:szCs w:val="20"/>
          <w:lang w:val="en-GB"/>
        </w:rPr>
        <w:t>d</w:t>
      </w:r>
      <w:r w:rsidR="00057980" w:rsidRPr="00FC2211">
        <w:rPr>
          <w:rFonts w:cstheme="minorHAnsi"/>
          <w:szCs w:val="20"/>
          <w:lang w:val="en-GB"/>
        </w:rPr>
        <w:t xml:space="preserve"> to </w:t>
      </w:r>
      <w:r w:rsidR="00DB799B" w:rsidRPr="00FC2211">
        <w:rPr>
          <w:rFonts w:cstheme="minorHAnsi"/>
          <w:szCs w:val="20"/>
          <w:lang w:val="en-GB"/>
        </w:rPr>
        <w:t xml:space="preserve">interest rate </w:t>
      </w:r>
      <w:r w:rsidR="00057980" w:rsidRPr="00FC2211">
        <w:rPr>
          <w:rFonts w:cstheme="minorHAnsi"/>
          <w:szCs w:val="20"/>
          <w:lang w:val="en-GB"/>
        </w:rPr>
        <w:t xml:space="preserve">risks </w:t>
      </w:r>
      <w:r w:rsidR="00DB799B" w:rsidRPr="00FC2211">
        <w:rPr>
          <w:rFonts w:cstheme="minorHAnsi"/>
          <w:szCs w:val="20"/>
          <w:lang w:val="en-GB"/>
        </w:rPr>
        <w:t xml:space="preserve">primarily on the floating interest rate </w:t>
      </w:r>
      <w:r w:rsidR="003B37DC" w:rsidRPr="00FC2211">
        <w:rPr>
          <w:rFonts w:cstheme="minorHAnsi"/>
          <w:szCs w:val="20"/>
          <w:lang w:val="en-GB"/>
        </w:rPr>
        <w:t xml:space="preserve">corresponding to $350,000 </w:t>
      </w:r>
      <w:r w:rsidR="002D6B31" w:rsidRPr="00FC2211">
        <w:rPr>
          <w:rFonts w:cstheme="minorHAnsi"/>
          <w:szCs w:val="20"/>
          <w:lang w:val="en-GB"/>
        </w:rPr>
        <w:t>long-term bank loan with BDC (see Note 13)</w:t>
      </w:r>
      <w:r w:rsidR="002A51FC" w:rsidRPr="00FC2211">
        <w:rPr>
          <w:rFonts w:cstheme="minorHAnsi"/>
          <w:szCs w:val="20"/>
          <w:lang w:val="en-GB"/>
        </w:rPr>
        <w:t>.</w:t>
      </w:r>
      <w:r w:rsidR="004C618E" w:rsidRPr="00FC2211">
        <w:rPr>
          <w:rFonts w:cstheme="minorHAnsi"/>
          <w:szCs w:val="20"/>
          <w:lang w:val="en-GB"/>
        </w:rPr>
        <w:t xml:space="preserve"> A hypothetical 1% increase</w:t>
      </w:r>
      <w:r w:rsidR="00585979" w:rsidRPr="00FC2211">
        <w:rPr>
          <w:rFonts w:cstheme="minorHAnsi"/>
          <w:szCs w:val="20"/>
          <w:lang w:val="en-GB"/>
        </w:rPr>
        <w:t xml:space="preserve"> or decrease</w:t>
      </w:r>
      <w:r w:rsidR="004C618E" w:rsidRPr="00FC2211">
        <w:rPr>
          <w:rFonts w:cstheme="minorHAnsi"/>
          <w:szCs w:val="20"/>
          <w:lang w:val="en-GB"/>
        </w:rPr>
        <w:t xml:space="preserve"> in interest rate, with all other variables held constant, </w:t>
      </w:r>
      <w:r w:rsidR="00585979" w:rsidRPr="00FC2211">
        <w:rPr>
          <w:rFonts w:cstheme="minorHAnsi"/>
          <w:szCs w:val="20"/>
          <w:lang w:val="en-GB"/>
        </w:rPr>
        <w:t>would have a nominal impact on the Company’s profit or loss.</w:t>
      </w:r>
    </w:p>
    <w:p w14:paraId="053F96AC" w14:textId="77777777" w:rsidR="004164E5" w:rsidRPr="00FC2211" w:rsidRDefault="004164E5" w:rsidP="00C73231">
      <w:pPr>
        <w:ind w:left="737"/>
        <w:contextualSpacing/>
        <w:jc w:val="both"/>
        <w:rPr>
          <w:rFonts w:cstheme="minorHAnsi"/>
          <w:szCs w:val="20"/>
          <w:lang w:val="en-GB"/>
        </w:rPr>
      </w:pPr>
    </w:p>
    <w:p w14:paraId="11192E21" w14:textId="77777777" w:rsidR="00622C33" w:rsidRPr="00FC2211" w:rsidRDefault="00622C33" w:rsidP="00E74921">
      <w:pPr>
        <w:ind w:left="566" w:firstLine="144"/>
        <w:rPr>
          <w:b/>
          <w:bCs/>
          <w:lang w:val="en-GB"/>
        </w:rPr>
      </w:pPr>
    </w:p>
    <w:p w14:paraId="63CF40C4" w14:textId="77777777" w:rsidR="00622C33" w:rsidRPr="00FC2211" w:rsidRDefault="00622C33" w:rsidP="00E74921">
      <w:pPr>
        <w:ind w:left="566" w:firstLine="144"/>
        <w:rPr>
          <w:b/>
          <w:bCs/>
          <w:lang w:val="en-GB"/>
        </w:rPr>
      </w:pPr>
    </w:p>
    <w:p w14:paraId="5DE5ABE4" w14:textId="77777777" w:rsidR="00622C33" w:rsidRPr="00FC2211" w:rsidRDefault="00622C33" w:rsidP="00E74921">
      <w:pPr>
        <w:ind w:left="566" w:firstLine="144"/>
        <w:rPr>
          <w:b/>
          <w:bCs/>
          <w:lang w:val="en-GB"/>
        </w:rPr>
      </w:pPr>
    </w:p>
    <w:p w14:paraId="555F1208" w14:textId="77777777" w:rsidR="00622C33" w:rsidRPr="00FC2211" w:rsidRDefault="00622C33" w:rsidP="00E74921">
      <w:pPr>
        <w:ind w:left="566" w:firstLine="144"/>
        <w:rPr>
          <w:b/>
          <w:bCs/>
          <w:lang w:val="en-GB"/>
        </w:rPr>
      </w:pPr>
    </w:p>
    <w:p w14:paraId="333BC1E7" w14:textId="77777777" w:rsidR="00622C33" w:rsidRPr="00FC2211" w:rsidRDefault="00622C33" w:rsidP="00622C33">
      <w:pPr>
        <w:pStyle w:val="Heading1"/>
        <w:rPr>
          <w:rFonts w:cstheme="minorHAnsi"/>
          <w:szCs w:val="20"/>
          <w:lang w:val="en-GB"/>
        </w:rPr>
      </w:pPr>
      <w:r w:rsidRPr="00FC2211">
        <w:rPr>
          <w:rFonts w:cstheme="minorHAnsi"/>
          <w:szCs w:val="20"/>
          <w:lang w:val="en-GB"/>
        </w:rPr>
        <w:lastRenderedPageBreak/>
        <w:t>19.   FINANCIAL INSTRUMENTS AND RISK MANAGEMENT (CONTINUED)</w:t>
      </w:r>
    </w:p>
    <w:p w14:paraId="69EC8F21" w14:textId="77777777" w:rsidR="00622C33" w:rsidRPr="00FC2211" w:rsidRDefault="00622C33" w:rsidP="00E74921">
      <w:pPr>
        <w:ind w:left="566" w:firstLine="144"/>
        <w:rPr>
          <w:b/>
          <w:bCs/>
          <w:lang w:val="en-GB"/>
        </w:rPr>
      </w:pPr>
    </w:p>
    <w:p w14:paraId="29A40057" w14:textId="0A368DDA" w:rsidR="00FA4B50" w:rsidRPr="00FC2211" w:rsidRDefault="00603DE1" w:rsidP="00E74921">
      <w:pPr>
        <w:ind w:left="566" w:firstLine="144"/>
        <w:rPr>
          <w:b/>
          <w:bCs/>
          <w:lang w:val="en-CA"/>
        </w:rPr>
      </w:pPr>
      <w:r w:rsidRPr="00FC2211">
        <w:rPr>
          <w:b/>
          <w:bCs/>
          <w:lang w:val="en-GB"/>
        </w:rPr>
        <w:t xml:space="preserve">(iii)  </w:t>
      </w:r>
      <w:r w:rsidR="003751BC" w:rsidRPr="00FC2211">
        <w:rPr>
          <w:b/>
          <w:bCs/>
          <w:lang w:val="en-GB"/>
        </w:rPr>
        <w:t>Price risk</w:t>
      </w:r>
    </w:p>
    <w:p w14:paraId="13ADE0E6" w14:textId="7B49EE1B" w:rsidR="00FA4B50" w:rsidRPr="00FC2211" w:rsidRDefault="00FA4B50" w:rsidP="00603DE1">
      <w:pPr>
        <w:ind w:left="710"/>
        <w:rPr>
          <w:lang w:val="en-CA"/>
        </w:rPr>
      </w:pPr>
    </w:p>
    <w:p w14:paraId="1099A27C" w14:textId="749D53A5" w:rsidR="00F741CC" w:rsidRPr="00FC2211" w:rsidRDefault="00A66E21" w:rsidP="00D02C78">
      <w:pPr>
        <w:ind w:left="710"/>
        <w:jc w:val="both"/>
        <w:rPr>
          <w:lang w:val="en-CA"/>
        </w:rPr>
      </w:pPr>
      <w:r w:rsidRPr="00FC2211">
        <w:rPr>
          <w:lang w:val="en-CA"/>
        </w:rPr>
        <w:t xml:space="preserve">Equity price risk is defined as the potential adverse impact on the Company’s earnings due to movements in individual equity prices or general movements in the level of the stock market. </w:t>
      </w:r>
      <w:r w:rsidR="0092728A" w:rsidRPr="00FC2211">
        <w:rPr>
          <w:lang w:val="en-CA"/>
        </w:rPr>
        <w:t>The Company</w:t>
      </w:r>
      <w:r w:rsidR="00C0647E" w:rsidRPr="00FC2211">
        <w:rPr>
          <w:lang w:val="en-CA"/>
        </w:rPr>
        <w:t xml:space="preserve"> does not hold any </w:t>
      </w:r>
      <w:r w:rsidR="00EA2280" w:rsidRPr="00FC2211">
        <w:rPr>
          <w:lang w:val="en-CA"/>
        </w:rPr>
        <w:t>securities or investments</w:t>
      </w:r>
      <w:r w:rsidR="007428A5" w:rsidRPr="00FC2211">
        <w:rPr>
          <w:lang w:val="en-CA"/>
        </w:rPr>
        <w:t xml:space="preserve"> which could expose it </w:t>
      </w:r>
      <w:r w:rsidR="00BD4BDC" w:rsidRPr="00FC2211">
        <w:rPr>
          <w:lang w:val="en-CA"/>
        </w:rPr>
        <w:t>to stock prices</w:t>
      </w:r>
      <w:r w:rsidR="007428A5" w:rsidRPr="00FC2211">
        <w:rPr>
          <w:lang w:val="en-CA"/>
        </w:rPr>
        <w:t xml:space="preserve"> volatility.</w:t>
      </w:r>
      <w:r w:rsidR="00323CA1" w:rsidRPr="00FC2211">
        <w:rPr>
          <w:lang w:val="en-CA"/>
        </w:rPr>
        <w:t xml:space="preserve"> </w:t>
      </w:r>
    </w:p>
    <w:p w14:paraId="58C7C773" w14:textId="77777777" w:rsidR="00D628B2" w:rsidRPr="00FC2211" w:rsidRDefault="00D628B2" w:rsidP="00D02C78">
      <w:pPr>
        <w:ind w:left="710"/>
        <w:jc w:val="both"/>
        <w:rPr>
          <w:lang w:val="en-CA"/>
        </w:rPr>
      </w:pPr>
    </w:p>
    <w:p w14:paraId="711715EE" w14:textId="77777777" w:rsidR="00506AE2" w:rsidRPr="00FC2211" w:rsidRDefault="00506AE2" w:rsidP="00506AE2">
      <w:pPr>
        <w:ind w:left="360" w:firstLine="66"/>
        <w:contextualSpacing/>
        <w:rPr>
          <w:rFonts w:cstheme="minorHAnsi"/>
          <w:b/>
          <w:szCs w:val="20"/>
        </w:rPr>
      </w:pPr>
      <w:r w:rsidRPr="00FC2211">
        <w:rPr>
          <w:rFonts w:cstheme="minorHAnsi"/>
          <w:b/>
          <w:szCs w:val="20"/>
        </w:rPr>
        <w:t xml:space="preserve">c) </w:t>
      </w:r>
      <w:r w:rsidRPr="00FC2211">
        <w:rPr>
          <w:rFonts w:cstheme="minorHAnsi"/>
          <w:b/>
          <w:szCs w:val="20"/>
        </w:rPr>
        <w:tab/>
        <w:t>Credit risk</w:t>
      </w:r>
    </w:p>
    <w:p w14:paraId="1DB14260" w14:textId="77777777" w:rsidR="00506AE2" w:rsidRPr="00FC2211" w:rsidRDefault="00506AE2" w:rsidP="00506AE2">
      <w:pPr>
        <w:ind w:left="720"/>
        <w:rPr>
          <w:rFonts w:cstheme="minorHAnsi"/>
          <w:szCs w:val="20"/>
        </w:rPr>
      </w:pPr>
    </w:p>
    <w:p w14:paraId="344C1A8B" w14:textId="77777777" w:rsidR="00506AE2" w:rsidRPr="00FC2211" w:rsidRDefault="00506AE2" w:rsidP="00D02C78">
      <w:pPr>
        <w:ind w:left="737"/>
        <w:contextualSpacing/>
        <w:jc w:val="both"/>
        <w:rPr>
          <w:rFonts w:cstheme="minorHAnsi"/>
          <w:szCs w:val="20"/>
          <w:lang w:val="en-GB"/>
        </w:rPr>
      </w:pPr>
      <w:r w:rsidRPr="00FC2211">
        <w:rPr>
          <w:rFonts w:cstheme="minorHAnsi"/>
          <w:szCs w:val="20"/>
          <w:lang w:val="en-GB"/>
        </w:rPr>
        <w:t xml:space="preserve">Credit risk is the risk of an unexpected loss if a customer or third party to a financial instrument fails to meet its contractual obligations. </w:t>
      </w:r>
    </w:p>
    <w:p w14:paraId="66A30CC7" w14:textId="77777777" w:rsidR="00506AE2" w:rsidRPr="00FC2211" w:rsidRDefault="00506AE2" w:rsidP="00D02C78">
      <w:pPr>
        <w:ind w:left="737"/>
        <w:contextualSpacing/>
        <w:jc w:val="both"/>
        <w:rPr>
          <w:rFonts w:cstheme="minorHAnsi"/>
          <w:szCs w:val="20"/>
          <w:lang w:val="en-GB"/>
        </w:rPr>
      </w:pPr>
    </w:p>
    <w:p w14:paraId="182E16AC" w14:textId="34A906AE" w:rsidR="00506AE2" w:rsidRPr="00FC2211" w:rsidRDefault="00506AE2" w:rsidP="00D02C78">
      <w:pPr>
        <w:ind w:left="737"/>
        <w:contextualSpacing/>
        <w:jc w:val="both"/>
        <w:rPr>
          <w:rFonts w:cstheme="minorHAnsi"/>
          <w:szCs w:val="20"/>
          <w:lang w:val="en-GB"/>
        </w:rPr>
      </w:pPr>
      <w:r w:rsidRPr="00FC2211">
        <w:rPr>
          <w:rFonts w:cstheme="minorHAnsi"/>
          <w:szCs w:val="20"/>
          <w:lang w:val="en-GB"/>
        </w:rPr>
        <w:t xml:space="preserve">All </w:t>
      </w:r>
      <w:r w:rsidR="00C83304" w:rsidRPr="00FC2211">
        <w:rPr>
          <w:rFonts w:cstheme="minorHAnsi"/>
          <w:szCs w:val="20"/>
          <w:lang w:val="en-GB"/>
        </w:rPr>
        <w:t xml:space="preserve">of </w:t>
      </w:r>
      <w:r w:rsidRPr="00FC2211">
        <w:rPr>
          <w:rFonts w:cstheme="minorHAnsi"/>
          <w:szCs w:val="20"/>
          <w:lang w:val="en-GB"/>
        </w:rPr>
        <w:t>the Company’s cash is held through Canadian chartered banks</w:t>
      </w:r>
      <w:r w:rsidR="00C83304" w:rsidRPr="00FC2211">
        <w:rPr>
          <w:rFonts w:cstheme="minorHAnsi"/>
          <w:szCs w:val="20"/>
          <w:lang w:val="en-GB"/>
        </w:rPr>
        <w:t>; accordingly</w:t>
      </w:r>
      <w:r w:rsidRPr="00FC2211">
        <w:rPr>
          <w:rFonts w:cstheme="minorHAnsi"/>
          <w:szCs w:val="20"/>
          <w:lang w:val="en-GB"/>
        </w:rPr>
        <w:t>, the Company’s exposure to credit risk is limited. The Company’s GST recoverable are refunds due from the Government of Canada</w:t>
      </w:r>
      <w:r w:rsidR="00C83304" w:rsidRPr="00FC2211">
        <w:rPr>
          <w:rFonts w:cstheme="minorHAnsi"/>
          <w:szCs w:val="20"/>
          <w:lang w:val="en-GB"/>
        </w:rPr>
        <w:t>,</w:t>
      </w:r>
      <w:r w:rsidRPr="00FC2211">
        <w:rPr>
          <w:rFonts w:cstheme="minorHAnsi"/>
          <w:szCs w:val="20"/>
          <w:lang w:val="en-GB"/>
        </w:rPr>
        <w:t xml:space="preserve"> and the exposure to credit risk on these amounts </w:t>
      </w:r>
      <w:r w:rsidR="00C83304" w:rsidRPr="00FC2211">
        <w:rPr>
          <w:rFonts w:cstheme="minorHAnsi"/>
          <w:szCs w:val="20"/>
          <w:lang w:val="en-GB"/>
        </w:rPr>
        <w:t>is</w:t>
      </w:r>
      <w:r w:rsidRPr="00FC2211">
        <w:rPr>
          <w:rFonts w:cstheme="minorHAnsi"/>
          <w:szCs w:val="20"/>
          <w:lang w:val="en-GB"/>
        </w:rPr>
        <w:t xml:space="preserve"> considered limited. </w:t>
      </w:r>
    </w:p>
    <w:p w14:paraId="3B2878EF" w14:textId="77777777" w:rsidR="00506AE2" w:rsidRPr="00FC2211" w:rsidRDefault="00506AE2" w:rsidP="00D02C78">
      <w:pPr>
        <w:ind w:left="737"/>
        <w:contextualSpacing/>
        <w:jc w:val="both"/>
        <w:rPr>
          <w:rFonts w:cstheme="minorHAnsi"/>
          <w:szCs w:val="20"/>
          <w:lang w:val="en-GB"/>
        </w:rPr>
      </w:pPr>
    </w:p>
    <w:p w14:paraId="1AB4485C" w14:textId="5776E214" w:rsidR="00506AE2" w:rsidRPr="00FC2211" w:rsidRDefault="00506AE2" w:rsidP="00D02C78">
      <w:pPr>
        <w:ind w:left="737"/>
        <w:contextualSpacing/>
        <w:jc w:val="both"/>
        <w:rPr>
          <w:rFonts w:cstheme="minorHAnsi"/>
          <w:szCs w:val="20"/>
          <w:lang w:val="en-GB"/>
        </w:rPr>
      </w:pPr>
      <w:r w:rsidRPr="00FC2211">
        <w:rPr>
          <w:rFonts w:cstheme="minorHAnsi"/>
          <w:szCs w:val="20"/>
          <w:lang w:val="en-GB"/>
        </w:rPr>
        <w:t xml:space="preserve">The Company’s accounts receivable </w:t>
      </w:r>
      <w:r w:rsidR="00C83304" w:rsidRPr="00FC2211">
        <w:rPr>
          <w:rFonts w:cstheme="minorHAnsi"/>
          <w:szCs w:val="20"/>
          <w:lang w:val="en-GB"/>
        </w:rPr>
        <w:t>consist</w:t>
      </w:r>
      <w:r w:rsidRPr="00FC2211">
        <w:rPr>
          <w:rFonts w:cstheme="minorHAnsi"/>
          <w:szCs w:val="20"/>
          <w:lang w:val="en-GB"/>
        </w:rPr>
        <w:t xml:space="preserve"> of amounts due from various customers. The maximum exposure to credit risk is equal to the carrying value of accounts receivable. The business models of the Company’s respective segments require </w:t>
      </w:r>
      <w:r w:rsidR="00C83304" w:rsidRPr="00FC2211">
        <w:rPr>
          <w:rFonts w:cstheme="minorHAnsi"/>
          <w:szCs w:val="20"/>
          <w:lang w:val="en-GB"/>
        </w:rPr>
        <w:t>credit risk analysis</w:t>
      </w:r>
      <w:r w:rsidRPr="00FC2211">
        <w:rPr>
          <w:rFonts w:cstheme="minorHAnsi"/>
          <w:szCs w:val="20"/>
          <w:lang w:val="en-GB"/>
        </w:rPr>
        <w:t xml:space="preserve"> specific to each business line. The Company’s historic rate of bad debts is low. </w:t>
      </w:r>
    </w:p>
    <w:p w14:paraId="1148BB9B" w14:textId="77777777" w:rsidR="00506AE2" w:rsidRPr="00FC2211" w:rsidRDefault="00506AE2" w:rsidP="00D02C78">
      <w:pPr>
        <w:ind w:left="737"/>
        <w:contextualSpacing/>
        <w:jc w:val="both"/>
        <w:rPr>
          <w:rFonts w:cstheme="minorHAnsi"/>
          <w:szCs w:val="20"/>
          <w:lang w:val="en-GB"/>
        </w:rPr>
      </w:pPr>
    </w:p>
    <w:p w14:paraId="2E51D60B" w14:textId="7C4EC72F" w:rsidR="00506AE2" w:rsidRPr="00FC2211" w:rsidRDefault="00506AE2" w:rsidP="00D02C78">
      <w:pPr>
        <w:ind w:left="710" w:firstLine="27"/>
        <w:jc w:val="both"/>
        <w:rPr>
          <w:rFonts w:cstheme="minorHAnsi"/>
          <w:szCs w:val="20"/>
          <w:lang w:val="en-GB"/>
        </w:rPr>
      </w:pPr>
      <w:r w:rsidRPr="00FC2211">
        <w:rPr>
          <w:rFonts w:cstheme="minorHAnsi"/>
          <w:szCs w:val="20"/>
          <w:lang w:val="en-GB"/>
        </w:rPr>
        <w:t xml:space="preserve">The Company applies the simplified approach to providing for expected credit losses prescribed by IFRS </w:t>
      </w:r>
      <w:r w:rsidR="003B303B" w:rsidRPr="00FC2211">
        <w:rPr>
          <w:rFonts w:cstheme="minorHAnsi"/>
          <w:szCs w:val="20"/>
          <w:lang w:val="en-GB"/>
        </w:rPr>
        <w:t>9,</w:t>
      </w:r>
      <w:r w:rsidR="00D02C78" w:rsidRPr="00FC2211">
        <w:rPr>
          <w:rFonts w:cstheme="minorHAnsi"/>
          <w:szCs w:val="20"/>
          <w:lang w:val="en-GB"/>
        </w:rPr>
        <w:t xml:space="preserve"> </w:t>
      </w:r>
      <w:r w:rsidRPr="00FC2211">
        <w:rPr>
          <w:rFonts w:cstheme="minorHAnsi"/>
          <w:szCs w:val="20"/>
          <w:lang w:val="en-GB"/>
        </w:rPr>
        <w:t xml:space="preserve">which permits </w:t>
      </w:r>
      <w:r w:rsidR="00C83304" w:rsidRPr="00FC2211">
        <w:rPr>
          <w:rFonts w:cstheme="minorHAnsi"/>
          <w:szCs w:val="20"/>
          <w:lang w:val="en-GB"/>
        </w:rPr>
        <w:t>using</w:t>
      </w:r>
      <w:r w:rsidRPr="00FC2211">
        <w:rPr>
          <w:rFonts w:cstheme="minorHAnsi"/>
          <w:szCs w:val="20"/>
          <w:lang w:val="en-GB"/>
        </w:rPr>
        <w:t xml:space="preserve"> the lifetime expected loss provision for all accounts receivable. To measure the expected credit losses, accounts receivable </w:t>
      </w:r>
      <w:r w:rsidR="00C83304" w:rsidRPr="00FC2211">
        <w:rPr>
          <w:rFonts w:cstheme="minorHAnsi"/>
          <w:szCs w:val="20"/>
          <w:lang w:val="en-GB"/>
        </w:rPr>
        <w:t>are</w:t>
      </w:r>
      <w:r w:rsidRPr="00FC2211">
        <w:rPr>
          <w:rFonts w:cstheme="minorHAnsi"/>
          <w:szCs w:val="20"/>
          <w:lang w:val="en-GB"/>
        </w:rPr>
        <w:t xml:space="preserve"> assessed primarily on days past due combined with the Company’s knowledge of past bad debts. During the </w:t>
      </w:r>
      <w:r w:rsidR="0037058B" w:rsidRPr="00FC2211">
        <w:rPr>
          <w:rFonts w:cstheme="minorHAnsi"/>
          <w:szCs w:val="20"/>
          <w:lang w:val="en-GB"/>
        </w:rPr>
        <w:t>six</w:t>
      </w:r>
      <w:r w:rsidR="009B47FE" w:rsidRPr="00FC2211">
        <w:rPr>
          <w:rFonts w:cstheme="minorHAnsi"/>
          <w:szCs w:val="20"/>
          <w:lang w:val="en-GB"/>
        </w:rPr>
        <w:t xml:space="preserve"> </w:t>
      </w:r>
      <w:r w:rsidR="00A678A7" w:rsidRPr="00FC2211">
        <w:rPr>
          <w:rFonts w:cstheme="minorHAnsi"/>
          <w:szCs w:val="20"/>
          <w:lang w:val="en-GB"/>
        </w:rPr>
        <w:t>months</w:t>
      </w:r>
      <w:r w:rsidR="00FB780D" w:rsidRPr="00FC2211">
        <w:rPr>
          <w:rFonts w:cstheme="minorHAnsi"/>
          <w:szCs w:val="20"/>
          <w:lang w:val="en-GB"/>
        </w:rPr>
        <w:t xml:space="preserve"> ended </w:t>
      </w:r>
      <w:r w:rsidR="0037058B" w:rsidRPr="00FC2211">
        <w:rPr>
          <w:rFonts w:cstheme="minorHAnsi"/>
          <w:szCs w:val="20"/>
          <w:lang w:val="en-GB"/>
        </w:rPr>
        <w:t>December</w:t>
      </w:r>
      <w:r w:rsidR="00417438" w:rsidRPr="00FC2211">
        <w:rPr>
          <w:rFonts w:cstheme="minorHAnsi"/>
          <w:szCs w:val="20"/>
          <w:lang w:val="en-GB"/>
        </w:rPr>
        <w:t xml:space="preserve"> 3</w:t>
      </w:r>
      <w:r w:rsidR="0037058B" w:rsidRPr="00FC2211">
        <w:rPr>
          <w:rFonts w:cstheme="minorHAnsi"/>
          <w:szCs w:val="20"/>
          <w:lang w:val="en-GB"/>
        </w:rPr>
        <w:t>1</w:t>
      </w:r>
      <w:r w:rsidR="00417438" w:rsidRPr="00FC2211">
        <w:rPr>
          <w:rFonts w:cstheme="minorHAnsi"/>
          <w:szCs w:val="20"/>
          <w:lang w:val="en-GB"/>
        </w:rPr>
        <w:t>, 202</w:t>
      </w:r>
      <w:r w:rsidR="00E067C5" w:rsidRPr="00FC2211">
        <w:rPr>
          <w:rFonts w:cstheme="minorHAnsi"/>
          <w:szCs w:val="20"/>
          <w:lang w:val="en-GB"/>
        </w:rPr>
        <w:t>3</w:t>
      </w:r>
      <w:r w:rsidRPr="00FC2211">
        <w:rPr>
          <w:rFonts w:cstheme="minorHAnsi"/>
          <w:szCs w:val="20"/>
          <w:lang w:val="en-GB"/>
        </w:rPr>
        <w:t xml:space="preserve">, </w:t>
      </w:r>
      <w:r w:rsidR="00C363F5" w:rsidRPr="00FC2211">
        <w:rPr>
          <w:rFonts w:cstheme="minorHAnsi"/>
          <w:szCs w:val="20"/>
          <w:lang w:val="en-GB"/>
        </w:rPr>
        <w:t>expected credit losses</w:t>
      </w:r>
      <w:r w:rsidRPr="00FC2211">
        <w:rPr>
          <w:rFonts w:cstheme="minorHAnsi"/>
          <w:szCs w:val="20"/>
          <w:lang w:val="en-GB"/>
        </w:rPr>
        <w:t xml:space="preserve"> for the Company </w:t>
      </w:r>
      <w:r w:rsidR="009B47FE" w:rsidRPr="00FC2211">
        <w:rPr>
          <w:rFonts w:cstheme="minorHAnsi"/>
          <w:szCs w:val="20"/>
          <w:lang w:val="en-GB"/>
        </w:rPr>
        <w:t>were</w:t>
      </w:r>
      <w:r w:rsidRPr="00FC2211">
        <w:rPr>
          <w:rFonts w:cstheme="minorHAnsi"/>
          <w:szCs w:val="20"/>
          <w:lang w:val="en-GB"/>
        </w:rPr>
        <w:t xml:space="preserve"> $</w:t>
      </w:r>
      <w:r w:rsidR="00622C33" w:rsidRPr="00FC2211">
        <w:rPr>
          <w:rFonts w:cstheme="minorHAnsi"/>
          <w:szCs w:val="20"/>
          <w:lang w:val="en-GB"/>
        </w:rPr>
        <w:t>17,958</w:t>
      </w:r>
      <w:r w:rsidRPr="00FC2211">
        <w:rPr>
          <w:rFonts w:cstheme="minorHAnsi"/>
          <w:szCs w:val="20"/>
          <w:lang w:val="en-GB"/>
        </w:rPr>
        <w:t xml:space="preserve"> (</w:t>
      </w:r>
      <w:r w:rsidR="002B5A3F" w:rsidRPr="00FC2211">
        <w:rPr>
          <w:rFonts w:cstheme="minorHAnsi"/>
          <w:szCs w:val="20"/>
          <w:lang w:val="en-GB"/>
        </w:rPr>
        <w:t>December 31</w:t>
      </w:r>
      <w:r w:rsidR="002C491A" w:rsidRPr="00FC2211">
        <w:rPr>
          <w:rFonts w:cstheme="minorHAnsi"/>
          <w:szCs w:val="20"/>
          <w:lang w:val="en-GB"/>
        </w:rPr>
        <w:t xml:space="preserve">, </w:t>
      </w:r>
      <w:r w:rsidRPr="00FC2211">
        <w:rPr>
          <w:rFonts w:cstheme="minorHAnsi"/>
          <w:szCs w:val="20"/>
          <w:lang w:val="en-GB"/>
        </w:rPr>
        <w:t>202</w:t>
      </w:r>
      <w:r w:rsidR="00E067C5" w:rsidRPr="00FC2211">
        <w:rPr>
          <w:rFonts w:cstheme="minorHAnsi"/>
          <w:szCs w:val="20"/>
          <w:lang w:val="en-GB"/>
        </w:rPr>
        <w:t>2</w:t>
      </w:r>
      <w:r w:rsidRPr="00FC2211">
        <w:rPr>
          <w:rFonts w:cstheme="minorHAnsi"/>
          <w:szCs w:val="20"/>
          <w:lang w:val="en-GB"/>
        </w:rPr>
        <w:t xml:space="preserve"> - $</w:t>
      </w:r>
      <w:r w:rsidR="002C491A" w:rsidRPr="00FC2211">
        <w:rPr>
          <w:rFonts w:cstheme="minorHAnsi"/>
          <w:szCs w:val="20"/>
          <w:lang w:val="en-GB"/>
        </w:rPr>
        <w:t>Nil</w:t>
      </w:r>
      <w:r w:rsidRPr="00FC2211">
        <w:rPr>
          <w:rFonts w:cstheme="minorHAnsi"/>
          <w:szCs w:val="20"/>
          <w:lang w:val="en-GB"/>
        </w:rPr>
        <w:t>).</w:t>
      </w:r>
    </w:p>
    <w:p w14:paraId="148D2855" w14:textId="77777777" w:rsidR="00CC05B6" w:rsidRPr="00FC2211" w:rsidRDefault="00CC05B6" w:rsidP="00D02C78">
      <w:pPr>
        <w:jc w:val="both"/>
        <w:rPr>
          <w:lang w:val="en-CA"/>
        </w:rPr>
      </w:pPr>
    </w:p>
    <w:p w14:paraId="505939D8" w14:textId="0CD07915" w:rsidR="00EA7477" w:rsidRPr="00FC2211" w:rsidRDefault="00EA7477" w:rsidP="007335A5">
      <w:pPr>
        <w:tabs>
          <w:tab w:val="left" w:pos="450"/>
          <w:tab w:val="left" w:pos="540"/>
          <w:tab w:val="left" w:pos="720"/>
        </w:tabs>
        <w:ind w:left="284" w:firstLine="76"/>
        <w:contextualSpacing/>
        <w:rPr>
          <w:rFonts w:cstheme="minorHAnsi"/>
          <w:b/>
          <w:szCs w:val="20"/>
        </w:rPr>
      </w:pPr>
      <w:r w:rsidRPr="00FC2211">
        <w:rPr>
          <w:rFonts w:cstheme="minorHAnsi"/>
          <w:b/>
          <w:szCs w:val="20"/>
        </w:rPr>
        <w:t xml:space="preserve">d)   </w:t>
      </w:r>
      <w:r w:rsidR="00CA5D7D" w:rsidRPr="00FC2211">
        <w:rPr>
          <w:rFonts w:cstheme="minorHAnsi"/>
          <w:b/>
          <w:szCs w:val="20"/>
        </w:rPr>
        <w:t xml:space="preserve"> </w:t>
      </w:r>
      <w:r w:rsidRPr="00FC2211">
        <w:rPr>
          <w:rFonts w:cstheme="minorHAnsi"/>
          <w:b/>
          <w:szCs w:val="20"/>
        </w:rPr>
        <w:t>Liquidity risk</w:t>
      </w:r>
    </w:p>
    <w:p w14:paraId="0A0CEFB6" w14:textId="77777777" w:rsidR="00EA7477" w:rsidRPr="00FC2211" w:rsidRDefault="00EA7477" w:rsidP="00EA7477">
      <w:pPr>
        <w:pStyle w:val="ListParagraph"/>
        <w:spacing w:after="0" w:line="240" w:lineRule="auto"/>
        <w:rPr>
          <w:rFonts w:asciiTheme="minorHAnsi" w:hAnsiTheme="minorHAnsi" w:cstheme="minorHAnsi"/>
          <w:b/>
          <w:bCs/>
          <w:sz w:val="20"/>
          <w:szCs w:val="20"/>
          <w:lang w:val="en-CA"/>
        </w:rPr>
      </w:pPr>
    </w:p>
    <w:p w14:paraId="2D54D43D" w14:textId="5A2299A1" w:rsidR="00271925" w:rsidRPr="00FC2211" w:rsidRDefault="00EA7477" w:rsidP="00D02C78">
      <w:pPr>
        <w:ind w:left="737"/>
        <w:jc w:val="both"/>
        <w:rPr>
          <w:lang w:val="en-CA"/>
        </w:rPr>
      </w:pPr>
      <w:r w:rsidRPr="00FC2211">
        <w:rPr>
          <w:lang w:val="en-CA"/>
        </w:rPr>
        <w:t xml:space="preserve">Liquidity risk is the risk that the Company will not be able to meet its financial obligations as they fall due. </w:t>
      </w:r>
      <w:r w:rsidR="008200AE" w:rsidRPr="00FC2211">
        <w:rPr>
          <w:lang w:val="en-CA"/>
        </w:rPr>
        <w:t>As a</w:t>
      </w:r>
      <w:r w:rsidRPr="00FC2211">
        <w:rPr>
          <w:lang w:val="en-CA"/>
        </w:rPr>
        <w:t xml:space="preserve">t </w:t>
      </w:r>
      <w:r w:rsidR="00DD7162" w:rsidRPr="00FC2211">
        <w:rPr>
          <w:lang w:val="en-CA"/>
        </w:rPr>
        <w:t>December 31</w:t>
      </w:r>
      <w:r w:rsidR="00417438" w:rsidRPr="00FC2211">
        <w:rPr>
          <w:lang w:val="en-CA"/>
        </w:rPr>
        <w:t>, 202</w:t>
      </w:r>
      <w:r w:rsidR="00E067C5" w:rsidRPr="00FC2211">
        <w:rPr>
          <w:lang w:val="en-CA"/>
        </w:rPr>
        <w:t>3</w:t>
      </w:r>
      <w:r w:rsidRPr="00FC2211">
        <w:rPr>
          <w:lang w:val="en-CA"/>
        </w:rPr>
        <w:t>, the Company</w:t>
      </w:r>
      <w:r w:rsidR="01EE574E" w:rsidRPr="00FC2211">
        <w:rPr>
          <w:lang w:val="en-CA"/>
        </w:rPr>
        <w:t xml:space="preserve"> has a</w:t>
      </w:r>
      <w:r w:rsidRPr="00FC2211">
        <w:rPr>
          <w:lang w:val="en-CA"/>
        </w:rPr>
        <w:t xml:space="preserve"> cash</w:t>
      </w:r>
      <w:r w:rsidR="005B4ECC" w:rsidRPr="00FC2211">
        <w:rPr>
          <w:lang w:val="en-CA"/>
        </w:rPr>
        <w:t xml:space="preserve"> </w:t>
      </w:r>
      <w:r w:rsidRPr="00FC2211">
        <w:rPr>
          <w:lang w:val="en-CA"/>
        </w:rPr>
        <w:t xml:space="preserve">balance of </w:t>
      </w:r>
      <w:r w:rsidR="00E067C5" w:rsidRPr="00FC2211">
        <w:rPr>
          <w:lang w:val="en-CA"/>
        </w:rPr>
        <w:t>$</w:t>
      </w:r>
      <w:r w:rsidR="00DD7162" w:rsidRPr="00FC2211">
        <w:rPr>
          <w:lang w:val="en-CA"/>
        </w:rPr>
        <w:t>14,815</w:t>
      </w:r>
      <w:r w:rsidR="00E067C5" w:rsidRPr="00FC2211">
        <w:rPr>
          <w:lang w:val="en-CA"/>
        </w:rPr>
        <w:t xml:space="preserve"> </w:t>
      </w:r>
      <w:r w:rsidR="002005E5" w:rsidRPr="00FC2211">
        <w:rPr>
          <w:lang w:val="en-CA"/>
        </w:rPr>
        <w:t>(June 30, 202</w:t>
      </w:r>
      <w:r w:rsidR="008200AE" w:rsidRPr="00FC2211">
        <w:rPr>
          <w:lang w:val="en-CA"/>
        </w:rPr>
        <w:t>3</w:t>
      </w:r>
      <w:r w:rsidR="002005E5" w:rsidRPr="00FC2211">
        <w:rPr>
          <w:lang w:val="en-CA"/>
        </w:rPr>
        <w:t xml:space="preserve"> </w:t>
      </w:r>
      <w:r w:rsidR="00934619" w:rsidRPr="00FC2211">
        <w:rPr>
          <w:lang w:val="en-CA"/>
        </w:rPr>
        <w:t xml:space="preserve">– </w:t>
      </w:r>
      <w:r w:rsidR="00E067C5" w:rsidRPr="00FC2211">
        <w:rPr>
          <w:lang w:val="en-CA"/>
        </w:rPr>
        <w:t>$</w:t>
      </w:r>
      <w:r w:rsidR="008200AE" w:rsidRPr="00FC2211">
        <w:rPr>
          <w:lang w:val="en-CA"/>
        </w:rPr>
        <w:t>362,510</w:t>
      </w:r>
      <w:r w:rsidR="00934619" w:rsidRPr="00FC2211">
        <w:rPr>
          <w:lang w:val="en-CA"/>
        </w:rPr>
        <w:t>)</w:t>
      </w:r>
      <w:r w:rsidRPr="00FC2211">
        <w:rPr>
          <w:lang w:val="en-CA"/>
        </w:rPr>
        <w:t xml:space="preserve"> </w:t>
      </w:r>
      <w:r w:rsidR="00B30B49" w:rsidRPr="00FC2211">
        <w:rPr>
          <w:lang w:val="en-CA"/>
        </w:rPr>
        <w:t>and current</w:t>
      </w:r>
      <w:r w:rsidRPr="00FC2211">
        <w:rPr>
          <w:lang w:val="en-CA"/>
        </w:rPr>
        <w:t xml:space="preserve"> liabilities </w:t>
      </w:r>
      <w:r w:rsidR="76BBCBA1" w:rsidRPr="00FC2211">
        <w:rPr>
          <w:lang w:val="en-CA"/>
        </w:rPr>
        <w:t>balance of</w:t>
      </w:r>
      <w:r w:rsidRPr="00FC2211">
        <w:rPr>
          <w:lang w:val="en-CA"/>
        </w:rPr>
        <w:t xml:space="preserve"> </w:t>
      </w:r>
      <w:r w:rsidR="00950B45" w:rsidRPr="00FC2211">
        <w:rPr>
          <w:lang w:val="en-CA"/>
        </w:rPr>
        <w:t>$</w:t>
      </w:r>
      <w:r w:rsidR="00E067C5" w:rsidRPr="00FC2211">
        <w:rPr>
          <w:lang w:val="en-CA"/>
        </w:rPr>
        <w:t>1,</w:t>
      </w:r>
      <w:r w:rsidR="00DD7162" w:rsidRPr="00FC2211">
        <w:rPr>
          <w:lang w:val="en-CA"/>
        </w:rPr>
        <w:t>569</w:t>
      </w:r>
      <w:r w:rsidR="00CC1987" w:rsidRPr="00FC2211">
        <w:rPr>
          <w:lang w:val="en-CA"/>
        </w:rPr>
        <w:t>,</w:t>
      </w:r>
      <w:r w:rsidR="00AB0F1C" w:rsidRPr="00FC2211">
        <w:rPr>
          <w:lang w:val="en-CA"/>
        </w:rPr>
        <w:t>988</w:t>
      </w:r>
      <w:r w:rsidR="00950B45" w:rsidRPr="00FC2211">
        <w:rPr>
          <w:lang w:val="en-CA"/>
        </w:rPr>
        <w:t xml:space="preserve"> (June 30, 202</w:t>
      </w:r>
      <w:r w:rsidR="00CC1987" w:rsidRPr="00FC2211">
        <w:rPr>
          <w:lang w:val="en-CA"/>
        </w:rPr>
        <w:t>3</w:t>
      </w:r>
      <w:r w:rsidR="00950B45" w:rsidRPr="00FC2211">
        <w:rPr>
          <w:lang w:val="en-CA"/>
        </w:rPr>
        <w:t xml:space="preserve"> – </w:t>
      </w:r>
      <w:r w:rsidRPr="00FC2211">
        <w:rPr>
          <w:lang w:val="en-CA"/>
        </w:rPr>
        <w:t>$</w:t>
      </w:r>
      <w:r w:rsidR="00CC1987" w:rsidRPr="00FC2211">
        <w:rPr>
          <w:lang w:val="en-CA"/>
        </w:rPr>
        <w:t>1,027</w:t>
      </w:r>
      <w:r w:rsidR="00E067C5" w:rsidRPr="00FC2211">
        <w:rPr>
          <w:lang w:val="en-CA"/>
        </w:rPr>
        <w:t>,</w:t>
      </w:r>
      <w:r w:rsidR="00CC1987" w:rsidRPr="00FC2211">
        <w:rPr>
          <w:lang w:val="en-CA"/>
        </w:rPr>
        <w:t>442</w:t>
      </w:r>
      <w:r w:rsidR="00950B45" w:rsidRPr="00FC2211">
        <w:rPr>
          <w:lang w:val="en-CA"/>
        </w:rPr>
        <w:t>)</w:t>
      </w:r>
      <w:r w:rsidRPr="00FC2211">
        <w:rPr>
          <w:lang w:val="en-CA"/>
        </w:rPr>
        <w:t xml:space="preserve">. The Company manages its liquidity risk by attempting to maintain sufficient cash balances to enable settlement of transactions on the due date. </w:t>
      </w:r>
      <w:r w:rsidR="009B5760" w:rsidRPr="00FC2211">
        <w:rPr>
          <w:lang w:val="en-CA"/>
        </w:rPr>
        <w:t>As the Company has limited sources of revenue</w:t>
      </w:r>
      <w:r w:rsidR="00AB0F1C" w:rsidRPr="00FC2211">
        <w:rPr>
          <w:lang w:val="en-CA"/>
        </w:rPr>
        <w:t>,</w:t>
      </w:r>
      <w:r w:rsidR="009B5760" w:rsidRPr="00FC2211">
        <w:rPr>
          <w:lang w:val="en-CA"/>
        </w:rPr>
        <w:t xml:space="preserve"> additional financing </w:t>
      </w:r>
      <w:r w:rsidR="00AB0F1C" w:rsidRPr="00FC2211">
        <w:rPr>
          <w:lang w:val="en-CA"/>
        </w:rPr>
        <w:t xml:space="preserve">is necessary </w:t>
      </w:r>
      <w:r w:rsidR="009B5760" w:rsidRPr="00FC2211">
        <w:rPr>
          <w:lang w:val="en-CA"/>
        </w:rPr>
        <w:t>to accomplish its long-term strategic objectives.</w:t>
      </w:r>
      <w:r w:rsidR="00271925" w:rsidRPr="00FC2211">
        <w:rPr>
          <w:lang w:val="en-CA"/>
        </w:rPr>
        <w:br w:type="page"/>
      </w:r>
    </w:p>
    <w:p w14:paraId="15EB9911" w14:textId="18BD454E" w:rsidR="00D83B1A" w:rsidRPr="00FC2211" w:rsidRDefault="00351BE0" w:rsidP="00625512">
      <w:pPr>
        <w:pStyle w:val="Heading1"/>
        <w:rPr>
          <w:rFonts w:cstheme="minorHAnsi"/>
          <w:szCs w:val="20"/>
          <w:lang w:val="en-GB"/>
        </w:rPr>
      </w:pPr>
      <w:bookmarkStart w:id="8" w:name="_Hlk95828161"/>
      <w:r w:rsidRPr="00FC2211">
        <w:rPr>
          <w:rFonts w:cstheme="minorHAnsi"/>
          <w:szCs w:val="20"/>
          <w:lang w:val="en-GB"/>
        </w:rPr>
        <w:lastRenderedPageBreak/>
        <w:t>20</w:t>
      </w:r>
      <w:r w:rsidR="00625512" w:rsidRPr="00FC2211">
        <w:rPr>
          <w:rFonts w:cstheme="minorHAnsi"/>
          <w:szCs w:val="20"/>
          <w:lang w:val="en-GB"/>
        </w:rPr>
        <w:t xml:space="preserve">.   </w:t>
      </w:r>
      <w:r w:rsidR="00D83B1A" w:rsidRPr="00FC2211">
        <w:rPr>
          <w:rFonts w:cstheme="minorHAnsi"/>
          <w:szCs w:val="20"/>
          <w:lang w:val="en-GB"/>
        </w:rPr>
        <w:t>RIGHT-OF-</w:t>
      </w:r>
      <w:r w:rsidR="00FF6E86" w:rsidRPr="00FC2211">
        <w:rPr>
          <w:rFonts w:cstheme="minorHAnsi"/>
          <w:szCs w:val="20"/>
          <w:lang w:val="en-GB"/>
        </w:rPr>
        <w:t>USE ASSET</w:t>
      </w:r>
    </w:p>
    <w:bookmarkEnd w:id="8"/>
    <w:p w14:paraId="0A5BEF41" w14:textId="77777777" w:rsidR="005A32E7" w:rsidRPr="00FC2211" w:rsidRDefault="005A32E7" w:rsidP="006E1AEC">
      <w:pPr>
        <w:ind w:left="284"/>
        <w:rPr>
          <w:rFonts w:cstheme="minorHAnsi"/>
          <w:szCs w:val="20"/>
        </w:rPr>
      </w:pPr>
    </w:p>
    <w:p w14:paraId="03F64E6F" w14:textId="3D6C27F0" w:rsidR="007D2528" w:rsidRPr="00FC2211" w:rsidRDefault="0069552C" w:rsidP="00D02C78">
      <w:pPr>
        <w:ind w:left="432"/>
        <w:jc w:val="both"/>
        <w:rPr>
          <w:rFonts w:cstheme="minorHAnsi"/>
          <w:szCs w:val="20"/>
        </w:rPr>
      </w:pPr>
      <w:r w:rsidRPr="00FC2211">
        <w:rPr>
          <w:rFonts w:cstheme="minorHAnsi"/>
          <w:szCs w:val="20"/>
        </w:rPr>
        <w:t xml:space="preserve">On March 6, 2020, the Company entered into a 5-year lease agreement for leased premises in Surrey, British Columbia, commencing </w:t>
      </w:r>
      <w:r w:rsidR="00734AC0" w:rsidRPr="00FC2211">
        <w:rPr>
          <w:rFonts w:cstheme="minorHAnsi"/>
          <w:szCs w:val="20"/>
        </w:rPr>
        <w:t>April 1</w:t>
      </w:r>
      <w:r w:rsidRPr="00FC2211">
        <w:rPr>
          <w:rFonts w:cstheme="minorHAnsi"/>
          <w:szCs w:val="20"/>
        </w:rPr>
        <w:t>, 2020</w:t>
      </w:r>
      <w:r w:rsidR="00526B95" w:rsidRPr="00FC2211">
        <w:rPr>
          <w:rFonts w:cstheme="minorHAnsi"/>
          <w:szCs w:val="20"/>
        </w:rPr>
        <w:t>,</w:t>
      </w:r>
      <w:r w:rsidRPr="00FC2211">
        <w:rPr>
          <w:rFonts w:cstheme="minorHAnsi"/>
          <w:szCs w:val="20"/>
        </w:rPr>
        <w:t xml:space="preserve"> and ending on </w:t>
      </w:r>
      <w:r w:rsidR="00CD3D34" w:rsidRPr="00FC2211">
        <w:rPr>
          <w:rFonts w:cstheme="minorHAnsi"/>
          <w:szCs w:val="20"/>
        </w:rPr>
        <w:t>March 9</w:t>
      </w:r>
      <w:r w:rsidRPr="00FC2211">
        <w:rPr>
          <w:rFonts w:cstheme="minorHAnsi"/>
          <w:szCs w:val="20"/>
        </w:rPr>
        <w:t>, 202</w:t>
      </w:r>
      <w:r w:rsidR="000D715B" w:rsidRPr="00FC2211">
        <w:rPr>
          <w:rFonts w:cstheme="minorHAnsi"/>
          <w:szCs w:val="20"/>
        </w:rPr>
        <w:t>5</w:t>
      </w:r>
      <w:r w:rsidRPr="00FC2211">
        <w:rPr>
          <w:rFonts w:cstheme="minorHAnsi"/>
          <w:szCs w:val="20"/>
        </w:rPr>
        <w:t xml:space="preserve">. The minimum </w:t>
      </w:r>
      <w:r w:rsidR="00C83304" w:rsidRPr="00FC2211">
        <w:rPr>
          <w:rFonts w:cstheme="minorHAnsi"/>
          <w:szCs w:val="20"/>
        </w:rPr>
        <w:t>monthly base rent</w:t>
      </w:r>
      <w:r w:rsidRPr="00FC2211">
        <w:rPr>
          <w:rFonts w:cstheme="minorHAnsi"/>
          <w:szCs w:val="20"/>
        </w:rPr>
        <w:t xml:space="preserve"> for years 1 to 5 of the 5-year lease </w:t>
      </w:r>
      <w:r w:rsidR="00E067C5" w:rsidRPr="00FC2211">
        <w:rPr>
          <w:rFonts w:cstheme="minorHAnsi"/>
          <w:szCs w:val="20"/>
        </w:rPr>
        <w:t>is</w:t>
      </w:r>
      <w:r w:rsidRPr="00FC2211">
        <w:rPr>
          <w:rFonts w:cstheme="minorHAnsi"/>
          <w:szCs w:val="20"/>
        </w:rPr>
        <w:t xml:space="preserve"> $3,290 for year 1, $3,360 for year 2, $3,430 for year 3, $3,500 for year 4</w:t>
      </w:r>
      <w:r w:rsidR="00E067C5" w:rsidRPr="00FC2211">
        <w:rPr>
          <w:rFonts w:cstheme="minorHAnsi"/>
          <w:szCs w:val="20"/>
        </w:rPr>
        <w:t>,</w:t>
      </w:r>
      <w:r w:rsidRPr="00FC2211">
        <w:rPr>
          <w:rFonts w:cstheme="minorHAnsi"/>
          <w:szCs w:val="20"/>
        </w:rPr>
        <w:t xml:space="preserve"> and $3,570 for year 5</w:t>
      </w:r>
      <w:r w:rsidR="00A457DC" w:rsidRPr="00FC2211">
        <w:rPr>
          <w:rFonts w:cstheme="minorHAnsi"/>
          <w:szCs w:val="20"/>
        </w:rPr>
        <w:t>, respectively</w:t>
      </w:r>
      <w:r w:rsidRPr="00FC2211">
        <w:rPr>
          <w:rFonts w:cstheme="minorHAnsi"/>
          <w:szCs w:val="20"/>
        </w:rPr>
        <w:t xml:space="preserve">. In accordance with IFRS 16, the Company recognized </w:t>
      </w:r>
      <w:r w:rsidR="00E067C5" w:rsidRPr="00FC2211">
        <w:rPr>
          <w:rFonts w:cstheme="minorHAnsi"/>
          <w:szCs w:val="20"/>
        </w:rPr>
        <w:t xml:space="preserve">a </w:t>
      </w:r>
      <w:r w:rsidRPr="00FC2211">
        <w:rPr>
          <w:rFonts w:cstheme="minorHAnsi"/>
          <w:szCs w:val="20"/>
        </w:rPr>
        <w:t>right-of-use asset of $155,260 as at March 6, 2020</w:t>
      </w:r>
      <w:r w:rsidR="00E067C5" w:rsidRPr="00FC2211">
        <w:rPr>
          <w:rFonts w:cstheme="minorHAnsi"/>
          <w:szCs w:val="20"/>
        </w:rPr>
        <w:t>,</w:t>
      </w:r>
      <w:r w:rsidRPr="00FC2211">
        <w:rPr>
          <w:rFonts w:cstheme="minorHAnsi"/>
          <w:szCs w:val="20"/>
        </w:rPr>
        <w:t xml:space="preserve"> equal to the present value of all remaining lease payments discounted at an incremental borrowing rate of 12.5%. The Company depreciates the right-of-use assets on a straight-line basis over the lease term.</w:t>
      </w:r>
    </w:p>
    <w:tbl>
      <w:tblPr>
        <w:tblW w:w="4940" w:type="dxa"/>
        <w:jc w:val="center"/>
        <w:tblLook w:val="04A0" w:firstRow="1" w:lastRow="0" w:firstColumn="1" w:lastColumn="0" w:noHBand="0" w:noVBand="1"/>
      </w:tblPr>
      <w:tblGrid>
        <w:gridCol w:w="3240"/>
        <w:gridCol w:w="1700"/>
      </w:tblGrid>
      <w:tr w:rsidR="00271925" w:rsidRPr="00FC2211" w14:paraId="5051BF97" w14:textId="77777777" w:rsidTr="009B47FE">
        <w:trPr>
          <w:trHeight w:val="288"/>
          <w:jc w:val="center"/>
        </w:trPr>
        <w:tc>
          <w:tcPr>
            <w:tcW w:w="3240" w:type="dxa"/>
            <w:tcBorders>
              <w:top w:val="nil"/>
              <w:left w:val="nil"/>
              <w:bottom w:val="single" w:sz="8" w:space="0" w:color="auto"/>
              <w:right w:val="nil"/>
            </w:tcBorders>
            <w:shd w:val="clear" w:color="auto" w:fill="auto"/>
            <w:vAlign w:val="center"/>
            <w:hideMark/>
          </w:tcPr>
          <w:p w14:paraId="79913CC9" w14:textId="77777777" w:rsidR="00271925" w:rsidRPr="00FC2211" w:rsidRDefault="00271925" w:rsidP="00271925">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Cost</w:t>
            </w:r>
          </w:p>
        </w:tc>
        <w:tc>
          <w:tcPr>
            <w:tcW w:w="1700" w:type="dxa"/>
            <w:tcBorders>
              <w:top w:val="nil"/>
              <w:left w:val="nil"/>
              <w:bottom w:val="single" w:sz="8" w:space="0" w:color="auto"/>
              <w:right w:val="nil"/>
            </w:tcBorders>
            <w:shd w:val="clear" w:color="auto" w:fill="auto"/>
            <w:vAlign w:val="center"/>
            <w:hideMark/>
          </w:tcPr>
          <w:p w14:paraId="53D5E8D3" w14:textId="77777777" w:rsidR="00271925" w:rsidRPr="00FC2211" w:rsidRDefault="00271925" w:rsidP="00271925">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Amount </w:t>
            </w:r>
          </w:p>
        </w:tc>
      </w:tr>
      <w:tr w:rsidR="00271925" w:rsidRPr="00FC2211" w14:paraId="2E6EABB4" w14:textId="77777777" w:rsidTr="009B47FE">
        <w:trPr>
          <w:trHeight w:val="276"/>
          <w:jc w:val="center"/>
        </w:trPr>
        <w:tc>
          <w:tcPr>
            <w:tcW w:w="3240" w:type="dxa"/>
            <w:tcBorders>
              <w:top w:val="single" w:sz="8" w:space="0" w:color="auto"/>
              <w:left w:val="nil"/>
              <w:bottom w:val="single" w:sz="4" w:space="0" w:color="auto"/>
              <w:right w:val="nil"/>
            </w:tcBorders>
            <w:shd w:val="clear" w:color="auto" w:fill="auto"/>
            <w:vAlign w:val="center"/>
            <w:hideMark/>
          </w:tcPr>
          <w:p w14:paraId="6B2FF4FF" w14:textId="1FC2FBB1" w:rsidR="00271925" w:rsidRPr="00FC2211" w:rsidRDefault="00271925" w:rsidP="00271925">
            <w:pPr>
              <w:rPr>
                <w:rFonts w:ascii="Calibri" w:hAnsi="Calibri" w:cs="Calibri"/>
                <w:color w:val="000000"/>
                <w:szCs w:val="20"/>
                <w:lang w:val="en-CA" w:eastAsia="en-CA"/>
              </w:rPr>
            </w:pPr>
            <w:r w:rsidRPr="00FC2211">
              <w:rPr>
                <w:rFonts w:ascii="Calibri" w:hAnsi="Calibri" w:cs="Calibri"/>
                <w:color w:val="000000"/>
                <w:szCs w:val="20"/>
                <w:lang w:val="en-CA" w:eastAsia="en-CA"/>
              </w:rPr>
              <w:t>Balance, June 30, 2022</w:t>
            </w:r>
            <w:r w:rsidR="009B47FE" w:rsidRPr="00FC2211">
              <w:rPr>
                <w:rFonts w:ascii="Calibri" w:hAnsi="Calibri" w:cs="Calibri"/>
                <w:color w:val="000000"/>
                <w:szCs w:val="20"/>
                <w:lang w:val="en-CA" w:eastAsia="en-CA"/>
              </w:rPr>
              <w:t>, 2023, and December 31, 2023</w:t>
            </w:r>
          </w:p>
        </w:tc>
        <w:tc>
          <w:tcPr>
            <w:tcW w:w="1700" w:type="dxa"/>
            <w:tcBorders>
              <w:top w:val="single" w:sz="8" w:space="0" w:color="auto"/>
              <w:left w:val="nil"/>
              <w:bottom w:val="single" w:sz="4" w:space="0" w:color="auto"/>
              <w:right w:val="nil"/>
            </w:tcBorders>
            <w:shd w:val="clear" w:color="auto" w:fill="auto"/>
            <w:vAlign w:val="center"/>
            <w:hideMark/>
          </w:tcPr>
          <w:p w14:paraId="29D6BF1E" w14:textId="64F2B9E3" w:rsidR="00271925" w:rsidRPr="00FC2211" w:rsidRDefault="00271925" w:rsidP="00271925">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155,260 </w:t>
            </w:r>
          </w:p>
        </w:tc>
      </w:tr>
      <w:tr w:rsidR="00271925" w:rsidRPr="00FC2211" w14:paraId="13D009F8" w14:textId="77777777" w:rsidTr="009B47FE">
        <w:trPr>
          <w:trHeight w:val="276"/>
          <w:jc w:val="center"/>
        </w:trPr>
        <w:tc>
          <w:tcPr>
            <w:tcW w:w="3240" w:type="dxa"/>
            <w:tcBorders>
              <w:top w:val="single" w:sz="4" w:space="0" w:color="auto"/>
              <w:left w:val="nil"/>
              <w:bottom w:val="nil"/>
              <w:right w:val="nil"/>
            </w:tcBorders>
            <w:shd w:val="clear" w:color="auto" w:fill="auto"/>
            <w:vAlign w:val="center"/>
            <w:hideMark/>
          </w:tcPr>
          <w:p w14:paraId="395A595E" w14:textId="77777777" w:rsidR="00271925" w:rsidRPr="00FC2211" w:rsidRDefault="00271925" w:rsidP="00271925">
            <w:pPr>
              <w:jc w:val="right"/>
              <w:rPr>
                <w:rFonts w:ascii="Calibri" w:hAnsi="Calibri" w:cs="Calibri"/>
                <w:b/>
                <w:bCs/>
                <w:color w:val="000000"/>
                <w:szCs w:val="20"/>
                <w:lang w:val="en-CA" w:eastAsia="en-CA"/>
              </w:rPr>
            </w:pPr>
          </w:p>
        </w:tc>
        <w:tc>
          <w:tcPr>
            <w:tcW w:w="1700" w:type="dxa"/>
            <w:tcBorders>
              <w:top w:val="single" w:sz="4" w:space="0" w:color="auto"/>
              <w:left w:val="nil"/>
              <w:bottom w:val="nil"/>
              <w:right w:val="nil"/>
            </w:tcBorders>
            <w:shd w:val="clear" w:color="auto" w:fill="auto"/>
            <w:vAlign w:val="center"/>
            <w:hideMark/>
          </w:tcPr>
          <w:p w14:paraId="5A2335B3" w14:textId="77777777" w:rsidR="00271925" w:rsidRPr="00FC2211" w:rsidRDefault="00271925" w:rsidP="00271925">
            <w:pPr>
              <w:jc w:val="right"/>
              <w:rPr>
                <w:rFonts w:ascii="Times New Roman" w:hAnsi="Times New Roman"/>
                <w:szCs w:val="20"/>
                <w:lang w:val="en-CA" w:eastAsia="en-CA"/>
              </w:rPr>
            </w:pPr>
          </w:p>
        </w:tc>
      </w:tr>
      <w:tr w:rsidR="00271925" w:rsidRPr="00FC2211" w14:paraId="75D5CCF8" w14:textId="77777777" w:rsidTr="00271925">
        <w:trPr>
          <w:trHeight w:val="288"/>
          <w:jc w:val="center"/>
        </w:trPr>
        <w:tc>
          <w:tcPr>
            <w:tcW w:w="3240" w:type="dxa"/>
            <w:tcBorders>
              <w:top w:val="nil"/>
              <w:left w:val="nil"/>
              <w:bottom w:val="single" w:sz="8" w:space="0" w:color="auto"/>
              <w:right w:val="nil"/>
            </w:tcBorders>
            <w:shd w:val="clear" w:color="auto" w:fill="auto"/>
            <w:vAlign w:val="center"/>
            <w:hideMark/>
          </w:tcPr>
          <w:p w14:paraId="2F1B1ED3" w14:textId="77777777" w:rsidR="00271925" w:rsidRPr="00FC2211" w:rsidRDefault="00271925" w:rsidP="00271925">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Accumulated depreciation</w:t>
            </w:r>
          </w:p>
        </w:tc>
        <w:tc>
          <w:tcPr>
            <w:tcW w:w="1700" w:type="dxa"/>
            <w:tcBorders>
              <w:top w:val="nil"/>
              <w:left w:val="nil"/>
              <w:bottom w:val="single" w:sz="8" w:space="0" w:color="auto"/>
              <w:right w:val="nil"/>
            </w:tcBorders>
            <w:shd w:val="clear" w:color="auto" w:fill="auto"/>
            <w:vAlign w:val="center"/>
            <w:hideMark/>
          </w:tcPr>
          <w:p w14:paraId="3E7A532D" w14:textId="77777777" w:rsidR="00271925" w:rsidRPr="00FC2211" w:rsidRDefault="00271925" w:rsidP="00271925">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w:t>
            </w:r>
          </w:p>
        </w:tc>
      </w:tr>
      <w:tr w:rsidR="00271925" w:rsidRPr="00FC2211" w14:paraId="5426DC96" w14:textId="77777777" w:rsidTr="00271925">
        <w:trPr>
          <w:trHeight w:val="276"/>
          <w:jc w:val="center"/>
        </w:trPr>
        <w:tc>
          <w:tcPr>
            <w:tcW w:w="3240" w:type="dxa"/>
            <w:tcBorders>
              <w:top w:val="nil"/>
              <w:left w:val="nil"/>
              <w:bottom w:val="nil"/>
              <w:right w:val="nil"/>
            </w:tcBorders>
            <w:shd w:val="clear" w:color="auto" w:fill="auto"/>
            <w:vAlign w:val="center"/>
            <w:hideMark/>
          </w:tcPr>
          <w:p w14:paraId="26254E51" w14:textId="77777777" w:rsidR="00271925" w:rsidRPr="00FC2211" w:rsidRDefault="00271925" w:rsidP="00271925">
            <w:pPr>
              <w:rPr>
                <w:rFonts w:ascii="Calibri" w:hAnsi="Calibri" w:cs="Calibri"/>
                <w:color w:val="000000"/>
                <w:szCs w:val="20"/>
                <w:lang w:val="en-CA" w:eastAsia="en-CA"/>
              </w:rPr>
            </w:pPr>
            <w:r w:rsidRPr="00FC2211">
              <w:rPr>
                <w:rFonts w:ascii="Calibri" w:hAnsi="Calibri" w:cs="Calibri"/>
                <w:color w:val="000000"/>
                <w:szCs w:val="20"/>
                <w:lang w:val="en-CA" w:eastAsia="en-CA"/>
              </w:rPr>
              <w:t>Balance, June 30, 2022</w:t>
            </w:r>
          </w:p>
        </w:tc>
        <w:tc>
          <w:tcPr>
            <w:tcW w:w="1700" w:type="dxa"/>
            <w:tcBorders>
              <w:top w:val="nil"/>
              <w:left w:val="nil"/>
              <w:bottom w:val="nil"/>
              <w:right w:val="nil"/>
            </w:tcBorders>
            <w:shd w:val="clear" w:color="auto" w:fill="auto"/>
            <w:vAlign w:val="center"/>
            <w:hideMark/>
          </w:tcPr>
          <w:p w14:paraId="003A3599" w14:textId="00D59C23" w:rsidR="00271925" w:rsidRPr="00FC2211" w:rsidRDefault="00271925" w:rsidP="00271925">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(72,455)</w:t>
            </w:r>
          </w:p>
        </w:tc>
      </w:tr>
      <w:tr w:rsidR="00271925" w:rsidRPr="00FC2211" w14:paraId="734D6642" w14:textId="77777777" w:rsidTr="00271925">
        <w:trPr>
          <w:trHeight w:val="276"/>
          <w:jc w:val="center"/>
        </w:trPr>
        <w:tc>
          <w:tcPr>
            <w:tcW w:w="3240" w:type="dxa"/>
            <w:tcBorders>
              <w:top w:val="nil"/>
              <w:left w:val="nil"/>
              <w:bottom w:val="nil"/>
              <w:right w:val="nil"/>
            </w:tcBorders>
            <w:shd w:val="clear" w:color="auto" w:fill="auto"/>
            <w:vAlign w:val="center"/>
            <w:hideMark/>
          </w:tcPr>
          <w:p w14:paraId="71E95490" w14:textId="77777777" w:rsidR="00271925" w:rsidRPr="00FC2211" w:rsidRDefault="00271925" w:rsidP="00271925">
            <w:pPr>
              <w:rPr>
                <w:rFonts w:ascii="Calibri" w:hAnsi="Calibri" w:cs="Calibri"/>
                <w:color w:val="000000"/>
                <w:szCs w:val="20"/>
                <w:lang w:val="en-CA" w:eastAsia="en-CA"/>
              </w:rPr>
            </w:pPr>
            <w:r w:rsidRPr="00FC2211">
              <w:rPr>
                <w:rFonts w:ascii="Calibri" w:hAnsi="Calibri" w:cs="Calibri"/>
                <w:color w:val="000000"/>
                <w:szCs w:val="20"/>
                <w:lang w:val="en-CA" w:eastAsia="en-CA"/>
              </w:rPr>
              <w:t>Additions</w:t>
            </w:r>
          </w:p>
        </w:tc>
        <w:tc>
          <w:tcPr>
            <w:tcW w:w="1700" w:type="dxa"/>
            <w:tcBorders>
              <w:top w:val="nil"/>
              <w:left w:val="nil"/>
              <w:bottom w:val="nil"/>
              <w:right w:val="nil"/>
            </w:tcBorders>
            <w:shd w:val="clear" w:color="auto" w:fill="auto"/>
            <w:vAlign w:val="center"/>
            <w:hideMark/>
          </w:tcPr>
          <w:p w14:paraId="1F5DFA05" w14:textId="0D283274" w:rsidR="00271925" w:rsidRPr="00FC2211" w:rsidRDefault="00271925" w:rsidP="00271925">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(31,052)</w:t>
            </w:r>
          </w:p>
        </w:tc>
      </w:tr>
      <w:tr w:rsidR="00271925" w:rsidRPr="00FC2211" w14:paraId="40D2C719" w14:textId="77777777" w:rsidTr="00271925">
        <w:trPr>
          <w:trHeight w:val="276"/>
          <w:jc w:val="center"/>
        </w:trPr>
        <w:tc>
          <w:tcPr>
            <w:tcW w:w="3240" w:type="dxa"/>
            <w:tcBorders>
              <w:top w:val="single" w:sz="4" w:space="0" w:color="auto"/>
              <w:left w:val="nil"/>
              <w:bottom w:val="single" w:sz="4" w:space="0" w:color="auto"/>
              <w:right w:val="nil"/>
            </w:tcBorders>
            <w:shd w:val="clear" w:color="auto" w:fill="auto"/>
            <w:vAlign w:val="center"/>
            <w:hideMark/>
          </w:tcPr>
          <w:p w14:paraId="7B58E703" w14:textId="77777777" w:rsidR="00271925" w:rsidRPr="00FC2211" w:rsidRDefault="00271925" w:rsidP="00271925">
            <w:pPr>
              <w:rPr>
                <w:rFonts w:ascii="Calibri" w:hAnsi="Calibri" w:cs="Calibri"/>
                <w:color w:val="000000"/>
                <w:szCs w:val="20"/>
                <w:lang w:val="en-CA" w:eastAsia="en-CA"/>
              </w:rPr>
            </w:pPr>
            <w:r w:rsidRPr="00FC2211">
              <w:rPr>
                <w:rFonts w:ascii="Calibri" w:hAnsi="Calibri" w:cs="Calibri"/>
                <w:color w:val="000000"/>
                <w:szCs w:val="20"/>
                <w:lang w:val="en-CA" w:eastAsia="en-CA"/>
              </w:rPr>
              <w:t>Balance, June 30, 2023</w:t>
            </w:r>
          </w:p>
        </w:tc>
        <w:tc>
          <w:tcPr>
            <w:tcW w:w="1700" w:type="dxa"/>
            <w:tcBorders>
              <w:top w:val="single" w:sz="4" w:space="0" w:color="auto"/>
              <w:left w:val="nil"/>
              <w:bottom w:val="single" w:sz="4" w:space="0" w:color="auto"/>
              <w:right w:val="nil"/>
            </w:tcBorders>
            <w:shd w:val="clear" w:color="auto" w:fill="auto"/>
            <w:vAlign w:val="center"/>
            <w:hideMark/>
          </w:tcPr>
          <w:p w14:paraId="1CA353CE" w14:textId="49791BD2" w:rsidR="00271925" w:rsidRPr="00FC2211" w:rsidRDefault="00271925" w:rsidP="00271925">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(103,507)</w:t>
            </w:r>
          </w:p>
        </w:tc>
      </w:tr>
      <w:tr w:rsidR="00271925" w:rsidRPr="00FC2211" w14:paraId="16DAFF8D" w14:textId="77777777" w:rsidTr="00271925">
        <w:trPr>
          <w:trHeight w:val="276"/>
          <w:jc w:val="center"/>
        </w:trPr>
        <w:tc>
          <w:tcPr>
            <w:tcW w:w="3240" w:type="dxa"/>
            <w:tcBorders>
              <w:top w:val="nil"/>
              <w:left w:val="nil"/>
              <w:bottom w:val="nil"/>
              <w:right w:val="nil"/>
            </w:tcBorders>
            <w:shd w:val="clear" w:color="auto" w:fill="auto"/>
            <w:vAlign w:val="center"/>
            <w:hideMark/>
          </w:tcPr>
          <w:p w14:paraId="712CEBF0" w14:textId="77777777" w:rsidR="00271925" w:rsidRPr="00FC2211" w:rsidRDefault="00271925" w:rsidP="00271925">
            <w:pPr>
              <w:rPr>
                <w:rFonts w:ascii="Calibri" w:hAnsi="Calibri" w:cs="Calibri"/>
                <w:color w:val="000000"/>
                <w:szCs w:val="20"/>
                <w:lang w:val="en-CA" w:eastAsia="en-CA"/>
              </w:rPr>
            </w:pPr>
            <w:r w:rsidRPr="00FC2211">
              <w:rPr>
                <w:rFonts w:ascii="Calibri" w:hAnsi="Calibri" w:cs="Calibri"/>
                <w:color w:val="000000"/>
                <w:szCs w:val="20"/>
                <w:lang w:val="en-CA" w:eastAsia="en-CA"/>
              </w:rPr>
              <w:t>Additions</w:t>
            </w:r>
          </w:p>
        </w:tc>
        <w:tc>
          <w:tcPr>
            <w:tcW w:w="1700" w:type="dxa"/>
            <w:tcBorders>
              <w:top w:val="nil"/>
              <w:left w:val="nil"/>
              <w:bottom w:val="nil"/>
              <w:right w:val="nil"/>
            </w:tcBorders>
            <w:shd w:val="clear" w:color="auto" w:fill="auto"/>
            <w:vAlign w:val="center"/>
            <w:hideMark/>
          </w:tcPr>
          <w:p w14:paraId="63643891" w14:textId="34E12C49" w:rsidR="00271925" w:rsidRPr="00FC2211" w:rsidRDefault="00271925" w:rsidP="00271925">
            <w:pPr>
              <w:ind w:right="-62"/>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951C53" w:rsidRPr="00FC2211">
              <w:rPr>
                <w:rFonts w:ascii="Calibri" w:hAnsi="Calibri" w:cs="Calibri"/>
                <w:color w:val="000000"/>
                <w:szCs w:val="20"/>
                <w:lang w:val="en-CA" w:eastAsia="en-CA"/>
              </w:rPr>
              <w:t>(15,526</w:t>
            </w:r>
            <w:r w:rsidRPr="00FC2211">
              <w:rPr>
                <w:rFonts w:ascii="Calibri" w:hAnsi="Calibri" w:cs="Calibri"/>
                <w:color w:val="000000"/>
                <w:szCs w:val="20"/>
                <w:lang w:val="en-CA" w:eastAsia="en-CA"/>
              </w:rPr>
              <w:t>)</w:t>
            </w:r>
          </w:p>
        </w:tc>
      </w:tr>
      <w:tr w:rsidR="00271925" w:rsidRPr="00FC2211" w14:paraId="37BE8DAF" w14:textId="77777777" w:rsidTr="00271925">
        <w:trPr>
          <w:trHeight w:val="288"/>
          <w:jc w:val="center"/>
        </w:trPr>
        <w:tc>
          <w:tcPr>
            <w:tcW w:w="3240" w:type="dxa"/>
            <w:tcBorders>
              <w:top w:val="single" w:sz="4" w:space="0" w:color="auto"/>
              <w:left w:val="nil"/>
              <w:bottom w:val="single" w:sz="8" w:space="0" w:color="auto"/>
              <w:right w:val="nil"/>
            </w:tcBorders>
            <w:shd w:val="clear" w:color="auto" w:fill="auto"/>
            <w:vAlign w:val="center"/>
            <w:hideMark/>
          </w:tcPr>
          <w:p w14:paraId="6A8A74C6" w14:textId="528B073D" w:rsidR="00271925" w:rsidRPr="00FC2211" w:rsidRDefault="00271925" w:rsidP="00271925">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Balance, </w:t>
            </w:r>
            <w:bookmarkStart w:id="9" w:name="_Hlk157417157"/>
            <w:r w:rsidR="00FD6582" w:rsidRPr="00FC2211">
              <w:rPr>
                <w:rFonts w:ascii="Calibri" w:hAnsi="Calibri" w:cs="Calibri"/>
                <w:b/>
                <w:bCs/>
                <w:color w:val="000000"/>
                <w:szCs w:val="20"/>
                <w:lang w:val="en-CA" w:eastAsia="en-CA"/>
              </w:rPr>
              <w:t>December 31</w:t>
            </w:r>
            <w:bookmarkEnd w:id="9"/>
            <w:r w:rsidRPr="00FC2211">
              <w:rPr>
                <w:rFonts w:ascii="Calibri" w:hAnsi="Calibri" w:cs="Calibri"/>
                <w:b/>
                <w:bCs/>
                <w:color w:val="000000"/>
                <w:szCs w:val="20"/>
                <w:lang w:val="en-CA" w:eastAsia="en-CA"/>
              </w:rPr>
              <w:t>, 2023</w:t>
            </w:r>
          </w:p>
        </w:tc>
        <w:tc>
          <w:tcPr>
            <w:tcW w:w="1700" w:type="dxa"/>
            <w:tcBorders>
              <w:top w:val="single" w:sz="4" w:space="0" w:color="auto"/>
              <w:left w:val="nil"/>
              <w:bottom w:val="single" w:sz="8" w:space="0" w:color="auto"/>
              <w:right w:val="nil"/>
            </w:tcBorders>
            <w:shd w:val="clear" w:color="auto" w:fill="auto"/>
            <w:vAlign w:val="center"/>
            <w:hideMark/>
          </w:tcPr>
          <w:p w14:paraId="5CAEC4BE" w14:textId="29D67A7E" w:rsidR="00271925" w:rsidRPr="00FC2211" w:rsidRDefault="00271925" w:rsidP="00271925">
            <w:pPr>
              <w:ind w:right="-62"/>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(11</w:t>
            </w:r>
            <w:r w:rsidR="00951C53" w:rsidRPr="00FC2211">
              <w:rPr>
                <w:rFonts w:ascii="Calibri" w:hAnsi="Calibri" w:cs="Calibri"/>
                <w:b/>
                <w:bCs/>
                <w:color w:val="000000"/>
                <w:szCs w:val="20"/>
                <w:lang w:val="en-CA" w:eastAsia="en-CA"/>
              </w:rPr>
              <w:t>9</w:t>
            </w:r>
            <w:r w:rsidRPr="00FC2211">
              <w:rPr>
                <w:rFonts w:ascii="Calibri" w:hAnsi="Calibri" w:cs="Calibri"/>
                <w:b/>
                <w:bCs/>
                <w:color w:val="000000"/>
                <w:szCs w:val="20"/>
                <w:lang w:val="en-CA" w:eastAsia="en-CA"/>
              </w:rPr>
              <w:t>,</w:t>
            </w:r>
            <w:r w:rsidR="00951C53" w:rsidRPr="00FC2211">
              <w:rPr>
                <w:rFonts w:ascii="Calibri" w:hAnsi="Calibri" w:cs="Calibri"/>
                <w:b/>
                <w:bCs/>
                <w:color w:val="000000"/>
                <w:szCs w:val="20"/>
                <w:lang w:val="en-CA" w:eastAsia="en-CA"/>
              </w:rPr>
              <w:t>033</w:t>
            </w:r>
            <w:r w:rsidRPr="00FC2211">
              <w:rPr>
                <w:rFonts w:ascii="Calibri" w:hAnsi="Calibri" w:cs="Calibri"/>
                <w:b/>
                <w:bCs/>
                <w:color w:val="000000"/>
                <w:szCs w:val="20"/>
                <w:lang w:val="en-CA" w:eastAsia="en-CA"/>
              </w:rPr>
              <w:t>)</w:t>
            </w:r>
          </w:p>
        </w:tc>
      </w:tr>
      <w:tr w:rsidR="00271925" w:rsidRPr="00FC2211" w14:paraId="768A085E" w14:textId="77777777" w:rsidTr="00271925">
        <w:trPr>
          <w:trHeight w:val="276"/>
          <w:jc w:val="center"/>
        </w:trPr>
        <w:tc>
          <w:tcPr>
            <w:tcW w:w="3240" w:type="dxa"/>
            <w:tcBorders>
              <w:top w:val="nil"/>
              <w:left w:val="nil"/>
              <w:bottom w:val="nil"/>
              <w:right w:val="nil"/>
            </w:tcBorders>
            <w:shd w:val="clear" w:color="auto" w:fill="auto"/>
            <w:noWrap/>
            <w:vAlign w:val="bottom"/>
            <w:hideMark/>
          </w:tcPr>
          <w:p w14:paraId="244E3231" w14:textId="77777777" w:rsidR="00271925" w:rsidRPr="00FC2211" w:rsidRDefault="00271925" w:rsidP="00271925">
            <w:pPr>
              <w:jc w:val="right"/>
              <w:rPr>
                <w:rFonts w:ascii="Calibri" w:hAnsi="Calibri" w:cs="Calibri"/>
                <w:b/>
                <w:bCs/>
                <w:color w:val="000000"/>
                <w:szCs w:val="20"/>
                <w:lang w:val="en-CA" w:eastAsia="en-CA"/>
              </w:rPr>
            </w:pPr>
          </w:p>
        </w:tc>
        <w:tc>
          <w:tcPr>
            <w:tcW w:w="1700" w:type="dxa"/>
            <w:tcBorders>
              <w:top w:val="nil"/>
              <w:left w:val="nil"/>
              <w:bottom w:val="nil"/>
              <w:right w:val="nil"/>
            </w:tcBorders>
            <w:shd w:val="clear" w:color="auto" w:fill="auto"/>
            <w:noWrap/>
            <w:vAlign w:val="bottom"/>
            <w:hideMark/>
          </w:tcPr>
          <w:p w14:paraId="66E83D71" w14:textId="77777777" w:rsidR="00271925" w:rsidRPr="00FC2211" w:rsidRDefault="00271925" w:rsidP="00271925">
            <w:pPr>
              <w:jc w:val="right"/>
              <w:rPr>
                <w:rFonts w:ascii="Times New Roman" w:hAnsi="Times New Roman"/>
                <w:szCs w:val="20"/>
                <w:lang w:val="en-CA" w:eastAsia="en-CA"/>
              </w:rPr>
            </w:pPr>
          </w:p>
        </w:tc>
      </w:tr>
      <w:tr w:rsidR="00271925" w:rsidRPr="00FC2211" w14:paraId="5838D1A0" w14:textId="77777777" w:rsidTr="00271925">
        <w:trPr>
          <w:trHeight w:val="288"/>
          <w:jc w:val="center"/>
        </w:trPr>
        <w:tc>
          <w:tcPr>
            <w:tcW w:w="3240" w:type="dxa"/>
            <w:tcBorders>
              <w:top w:val="nil"/>
              <w:left w:val="nil"/>
              <w:bottom w:val="single" w:sz="8" w:space="0" w:color="auto"/>
              <w:right w:val="nil"/>
            </w:tcBorders>
            <w:shd w:val="clear" w:color="auto" w:fill="auto"/>
            <w:vAlign w:val="center"/>
            <w:hideMark/>
          </w:tcPr>
          <w:p w14:paraId="286FE2B4" w14:textId="77777777" w:rsidR="00271925" w:rsidRPr="00FC2211" w:rsidRDefault="00271925" w:rsidP="00271925">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Net Book Value</w:t>
            </w:r>
          </w:p>
        </w:tc>
        <w:tc>
          <w:tcPr>
            <w:tcW w:w="1700" w:type="dxa"/>
            <w:tcBorders>
              <w:top w:val="nil"/>
              <w:left w:val="nil"/>
              <w:bottom w:val="single" w:sz="8" w:space="0" w:color="auto"/>
              <w:right w:val="nil"/>
            </w:tcBorders>
            <w:shd w:val="clear" w:color="auto" w:fill="auto"/>
            <w:vAlign w:val="center"/>
            <w:hideMark/>
          </w:tcPr>
          <w:p w14:paraId="6758E43C" w14:textId="77777777" w:rsidR="00271925" w:rsidRPr="00FC2211" w:rsidRDefault="00271925" w:rsidP="00271925">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w:t>
            </w:r>
          </w:p>
        </w:tc>
      </w:tr>
      <w:tr w:rsidR="00271925" w:rsidRPr="00FC2211" w14:paraId="78DBC495" w14:textId="77777777" w:rsidTr="00271925">
        <w:trPr>
          <w:trHeight w:val="288"/>
          <w:jc w:val="center"/>
        </w:trPr>
        <w:tc>
          <w:tcPr>
            <w:tcW w:w="3240" w:type="dxa"/>
            <w:tcBorders>
              <w:top w:val="nil"/>
              <w:left w:val="nil"/>
              <w:bottom w:val="single" w:sz="8" w:space="0" w:color="auto"/>
              <w:right w:val="nil"/>
            </w:tcBorders>
            <w:shd w:val="clear" w:color="auto" w:fill="auto"/>
            <w:vAlign w:val="center"/>
            <w:hideMark/>
          </w:tcPr>
          <w:p w14:paraId="16CEBC52" w14:textId="77777777" w:rsidR="00271925" w:rsidRPr="00FC2211" w:rsidRDefault="00271925" w:rsidP="00271925">
            <w:pPr>
              <w:rPr>
                <w:rFonts w:ascii="Calibri" w:hAnsi="Calibri" w:cs="Calibri"/>
                <w:color w:val="000000"/>
                <w:szCs w:val="20"/>
                <w:lang w:val="en-CA" w:eastAsia="en-CA"/>
              </w:rPr>
            </w:pPr>
            <w:r w:rsidRPr="00FC2211">
              <w:rPr>
                <w:rFonts w:ascii="Calibri" w:hAnsi="Calibri" w:cs="Calibri"/>
                <w:color w:val="000000"/>
                <w:szCs w:val="20"/>
                <w:lang w:val="en-CA" w:eastAsia="en-CA"/>
              </w:rPr>
              <w:t>Balance, June 30, 2023</w:t>
            </w:r>
          </w:p>
        </w:tc>
        <w:tc>
          <w:tcPr>
            <w:tcW w:w="1700" w:type="dxa"/>
            <w:tcBorders>
              <w:top w:val="nil"/>
              <w:left w:val="nil"/>
              <w:bottom w:val="single" w:sz="8" w:space="0" w:color="auto"/>
              <w:right w:val="nil"/>
            </w:tcBorders>
            <w:shd w:val="clear" w:color="auto" w:fill="auto"/>
            <w:vAlign w:val="center"/>
            <w:hideMark/>
          </w:tcPr>
          <w:p w14:paraId="141B5D6C" w14:textId="5E2D93A1" w:rsidR="00271925" w:rsidRPr="00FC2211" w:rsidRDefault="00271925" w:rsidP="00271925">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51,753 </w:t>
            </w:r>
          </w:p>
        </w:tc>
      </w:tr>
      <w:tr w:rsidR="00271925" w:rsidRPr="00FC2211" w14:paraId="269D8937" w14:textId="77777777" w:rsidTr="00271925">
        <w:trPr>
          <w:trHeight w:val="288"/>
          <w:jc w:val="center"/>
        </w:trPr>
        <w:tc>
          <w:tcPr>
            <w:tcW w:w="3240" w:type="dxa"/>
            <w:tcBorders>
              <w:top w:val="single" w:sz="4" w:space="0" w:color="auto"/>
              <w:left w:val="nil"/>
              <w:bottom w:val="single" w:sz="8" w:space="0" w:color="auto"/>
              <w:right w:val="nil"/>
            </w:tcBorders>
            <w:shd w:val="clear" w:color="auto" w:fill="auto"/>
            <w:vAlign w:val="center"/>
            <w:hideMark/>
          </w:tcPr>
          <w:p w14:paraId="22118BDB" w14:textId="0D0274F9" w:rsidR="00271925" w:rsidRPr="00FC2211" w:rsidRDefault="00271925" w:rsidP="00271925">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Balance, </w:t>
            </w:r>
            <w:r w:rsidR="00FD6582" w:rsidRPr="00FC2211">
              <w:rPr>
                <w:rFonts w:ascii="Calibri" w:hAnsi="Calibri" w:cs="Calibri"/>
                <w:b/>
                <w:bCs/>
                <w:color w:val="000000"/>
                <w:szCs w:val="20"/>
                <w:lang w:val="en-CA" w:eastAsia="en-CA"/>
              </w:rPr>
              <w:t>December 31</w:t>
            </w:r>
            <w:r w:rsidRPr="00FC2211">
              <w:rPr>
                <w:rFonts w:ascii="Calibri" w:hAnsi="Calibri" w:cs="Calibri"/>
                <w:b/>
                <w:bCs/>
                <w:color w:val="000000"/>
                <w:szCs w:val="20"/>
                <w:lang w:val="en-CA" w:eastAsia="en-CA"/>
              </w:rPr>
              <w:t>, 2023</w:t>
            </w:r>
          </w:p>
        </w:tc>
        <w:tc>
          <w:tcPr>
            <w:tcW w:w="1700" w:type="dxa"/>
            <w:tcBorders>
              <w:top w:val="nil"/>
              <w:left w:val="nil"/>
              <w:bottom w:val="single" w:sz="8" w:space="0" w:color="auto"/>
              <w:right w:val="nil"/>
            </w:tcBorders>
            <w:shd w:val="clear" w:color="auto" w:fill="auto"/>
            <w:vAlign w:val="center"/>
            <w:hideMark/>
          </w:tcPr>
          <w:p w14:paraId="162F10A0" w14:textId="10BE3A3A" w:rsidR="00271925" w:rsidRPr="00FC2211" w:rsidRDefault="00271925" w:rsidP="00271925">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951C53" w:rsidRPr="00FC2211">
              <w:rPr>
                <w:rFonts w:ascii="Calibri" w:hAnsi="Calibri" w:cs="Calibri"/>
                <w:b/>
                <w:bCs/>
                <w:color w:val="000000"/>
                <w:szCs w:val="20"/>
                <w:lang w:val="en-CA" w:eastAsia="en-CA"/>
              </w:rPr>
              <w:t>36,227</w:t>
            </w:r>
            <w:r w:rsidRPr="00FC2211">
              <w:rPr>
                <w:rFonts w:ascii="Calibri" w:hAnsi="Calibri" w:cs="Calibri"/>
                <w:b/>
                <w:bCs/>
                <w:color w:val="000000"/>
                <w:szCs w:val="20"/>
                <w:lang w:val="en-CA" w:eastAsia="en-CA"/>
              </w:rPr>
              <w:t xml:space="preserve"> </w:t>
            </w:r>
          </w:p>
        </w:tc>
      </w:tr>
    </w:tbl>
    <w:p w14:paraId="1B2BA62F" w14:textId="77777777" w:rsidR="000C232A" w:rsidRPr="00FC2211" w:rsidRDefault="000C232A" w:rsidP="001F7249">
      <w:pPr>
        <w:ind w:left="737"/>
        <w:rPr>
          <w:rFonts w:cstheme="minorHAnsi"/>
          <w:szCs w:val="20"/>
        </w:rPr>
      </w:pPr>
    </w:p>
    <w:p w14:paraId="68915800" w14:textId="38BE6C95" w:rsidR="009D5119" w:rsidRPr="00FC2211" w:rsidRDefault="00351BE0" w:rsidP="000C232A">
      <w:pPr>
        <w:pStyle w:val="Heading1"/>
        <w:rPr>
          <w:lang w:val="en-GB"/>
        </w:rPr>
      </w:pPr>
      <w:bookmarkStart w:id="10" w:name="_Hlk83822489"/>
      <w:r w:rsidRPr="00FC2211">
        <w:rPr>
          <w:lang w:val="en-GB"/>
        </w:rPr>
        <w:t>21</w:t>
      </w:r>
      <w:r w:rsidR="000C232A" w:rsidRPr="00FC2211">
        <w:rPr>
          <w:lang w:val="en-GB"/>
        </w:rPr>
        <w:t xml:space="preserve">. </w:t>
      </w:r>
      <w:r w:rsidR="00506AE2" w:rsidRPr="00FC2211">
        <w:rPr>
          <w:lang w:val="en-GB"/>
        </w:rPr>
        <w:t xml:space="preserve">  </w:t>
      </w:r>
      <w:r w:rsidR="009D5119" w:rsidRPr="00FC2211">
        <w:rPr>
          <w:lang w:val="en-GB"/>
        </w:rPr>
        <w:t>LEASE LIABILITY</w:t>
      </w:r>
    </w:p>
    <w:bookmarkEnd w:id="10"/>
    <w:p w14:paraId="2AE9D3F0" w14:textId="77777777" w:rsidR="00636598" w:rsidRPr="00FC2211" w:rsidRDefault="00636598" w:rsidP="00943107">
      <w:pPr>
        <w:suppressLineNumbers/>
        <w:tabs>
          <w:tab w:val="left" w:pos="426"/>
        </w:tabs>
        <w:ind w:left="425"/>
        <w:rPr>
          <w:rFonts w:cstheme="minorHAnsi"/>
          <w:szCs w:val="20"/>
          <w:lang w:val="en-GB"/>
        </w:rPr>
      </w:pPr>
    </w:p>
    <w:p w14:paraId="67747327" w14:textId="73DBA250" w:rsidR="004D3668" w:rsidRPr="00FC2211" w:rsidRDefault="004D3668" w:rsidP="00D02C78">
      <w:pPr>
        <w:tabs>
          <w:tab w:val="left" w:pos="426"/>
        </w:tabs>
        <w:ind w:left="426"/>
        <w:jc w:val="both"/>
        <w:rPr>
          <w:rFonts w:cstheme="minorHAnsi"/>
          <w:szCs w:val="20"/>
          <w:lang w:val="en-GB"/>
        </w:rPr>
      </w:pPr>
      <w:r w:rsidRPr="00FC2211">
        <w:rPr>
          <w:rFonts w:cstheme="minorHAnsi"/>
          <w:szCs w:val="20"/>
          <w:lang w:val="en-GB"/>
        </w:rPr>
        <w:t xml:space="preserve">The </w:t>
      </w:r>
      <w:r w:rsidRPr="00FC2211">
        <w:rPr>
          <w:rFonts w:cstheme="minorHAnsi"/>
          <w:szCs w:val="20"/>
        </w:rPr>
        <w:t xml:space="preserve">lease liability is initially measured at the present value of the lease payments to be made over the lease term, using the effective interest method for the present value determination. As the rate implicit in the lease cannot be readily determined, the Company applied an average incremental borrowing rate. The Company used </w:t>
      </w:r>
      <w:r w:rsidR="00A457DC" w:rsidRPr="00FC2211">
        <w:rPr>
          <w:rFonts w:cstheme="minorHAnsi"/>
          <w:szCs w:val="20"/>
        </w:rPr>
        <w:t xml:space="preserve">a </w:t>
      </w:r>
      <w:r w:rsidRPr="00FC2211">
        <w:rPr>
          <w:rFonts w:cstheme="minorHAnsi"/>
          <w:szCs w:val="20"/>
        </w:rPr>
        <w:t xml:space="preserve">discount rate of 12.5% to calculate the present value of its lease payments. Total interest expense on lease </w:t>
      </w:r>
      <w:r w:rsidR="00036F84" w:rsidRPr="00FC2211">
        <w:rPr>
          <w:rFonts w:cstheme="minorHAnsi"/>
          <w:szCs w:val="20"/>
        </w:rPr>
        <w:t xml:space="preserve">liabilities </w:t>
      </w:r>
      <w:r w:rsidR="00EC0240" w:rsidRPr="00FC2211">
        <w:rPr>
          <w:rFonts w:cstheme="minorHAnsi"/>
          <w:szCs w:val="20"/>
          <w:lang w:val="en-GB"/>
        </w:rPr>
        <w:t xml:space="preserve">for the </w:t>
      </w:r>
      <w:r w:rsidR="00243692" w:rsidRPr="00FC2211">
        <w:rPr>
          <w:rFonts w:cstheme="minorHAnsi"/>
          <w:szCs w:val="20"/>
          <w:lang w:val="en-GB"/>
        </w:rPr>
        <w:t>six</w:t>
      </w:r>
      <w:r w:rsidR="00B82FE0" w:rsidRPr="00FC2211">
        <w:rPr>
          <w:rFonts w:cstheme="minorHAnsi"/>
          <w:szCs w:val="20"/>
          <w:lang w:val="en-GB"/>
        </w:rPr>
        <w:t xml:space="preserve"> months ended </w:t>
      </w:r>
      <w:r w:rsidR="00951C53" w:rsidRPr="00FC2211">
        <w:rPr>
          <w:rFonts w:cstheme="minorHAnsi"/>
          <w:szCs w:val="20"/>
          <w:lang w:val="en-GB"/>
        </w:rPr>
        <w:t>December 31</w:t>
      </w:r>
      <w:r w:rsidR="00417438" w:rsidRPr="00FC2211">
        <w:rPr>
          <w:rFonts w:cstheme="minorHAnsi"/>
          <w:szCs w:val="20"/>
          <w:lang w:val="en-GB"/>
        </w:rPr>
        <w:t>, 202</w:t>
      </w:r>
      <w:r w:rsidR="002D41EF" w:rsidRPr="00FC2211">
        <w:rPr>
          <w:rFonts w:cstheme="minorHAnsi"/>
          <w:szCs w:val="20"/>
          <w:lang w:val="en-GB"/>
        </w:rPr>
        <w:t>3</w:t>
      </w:r>
      <w:r w:rsidR="00C76D95" w:rsidRPr="00FC2211">
        <w:rPr>
          <w:rFonts w:cstheme="minorHAnsi"/>
          <w:szCs w:val="20"/>
          <w:lang w:val="en-GB"/>
        </w:rPr>
        <w:t>,</w:t>
      </w:r>
      <w:r w:rsidRPr="00FC2211">
        <w:rPr>
          <w:rFonts w:cstheme="minorHAnsi"/>
          <w:szCs w:val="20"/>
          <w:lang w:val="en-GB"/>
        </w:rPr>
        <w:t xml:space="preserve"> was $</w:t>
      </w:r>
      <w:r w:rsidR="00243692" w:rsidRPr="00FC2211">
        <w:rPr>
          <w:rFonts w:cstheme="minorHAnsi"/>
          <w:szCs w:val="20"/>
          <w:lang w:val="en-GB"/>
        </w:rPr>
        <w:t>3,527</w:t>
      </w:r>
      <w:r w:rsidRPr="00FC2211">
        <w:rPr>
          <w:rFonts w:cstheme="minorHAnsi"/>
          <w:szCs w:val="20"/>
          <w:lang w:val="en-GB"/>
        </w:rPr>
        <w:t xml:space="preserve"> (</w:t>
      </w:r>
      <w:r w:rsidR="00951C53" w:rsidRPr="00FC2211">
        <w:rPr>
          <w:rFonts w:cstheme="minorHAnsi"/>
          <w:szCs w:val="20"/>
          <w:lang w:val="en-GB"/>
        </w:rPr>
        <w:t>December 31</w:t>
      </w:r>
      <w:r w:rsidR="00ED7FC8" w:rsidRPr="00FC2211">
        <w:rPr>
          <w:rFonts w:cstheme="minorHAnsi"/>
          <w:szCs w:val="20"/>
          <w:lang w:val="en-GB"/>
        </w:rPr>
        <w:t>, 202</w:t>
      </w:r>
      <w:r w:rsidR="00AE0598" w:rsidRPr="00FC2211">
        <w:rPr>
          <w:rFonts w:cstheme="minorHAnsi"/>
          <w:szCs w:val="20"/>
          <w:lang w:val="en-GB"/>
        </w:rPr>
        <w:t>2</w:t>
      </w:r>
      <w:r w:rsidRPr="00FC2211">
        <w:rPr>
          <w:rFonts w:cstheme="minorHAnsi"/>
          <w:szCs w:val="20"/>
          <w:lang w:val="en-GB"/>
        </w:rPr>
        <w:t xml:space="preserve"> - $</w:t>
      </w:r>
      <w:r w:rsidR="002E5A41" w:rsidRPr="00FC2211">
        <w:rPr>
          <w:rFonts w:cstheme="minorHAnsi"/>
          <w:szCs w:val="20"/>
          <w:lang w:val="en-GB"/>
        </w:rPr>
        <w:t>5,547</w:t>
      </w:r>
      <w:r w:rsidRPr="00FC2211">
        <w:rPr>
          <w:rFonts w:cstheme="minorHAnsi"/>
          <w:szCs w:val="20"/>
          <w:lang w:val="en-GB"/>
        </w:rPr>
        <w:t xml:space="preserve">). The following table represents </w:t>
      </w:r>
      <w:r w:rsidR="00A457DC" w:rsidRPr="00FC2211">
        <w:rPr>
          <w:rFonts w:cstheme="minorHAnsi"/>
          <w:szCs w:val="20"/>
          <w:lang w:val="en-GB"/>
        </w:rPr>
        <w:t xml:space="preserve">the </w:t>
      </w:r>
      <w:r w:rsidRPr="00FC2211">
        <w:rPr>
          <w:rFonts w:cstheme="minorHAnsi"/>
          <w:szCs w:val="20"/>
          <w:lang w:val="en-GB"/>
        </w:rPr>
        <w:t>lease obligation for the Company:</w:t>
      </w:r>
    </w:p>
    <w:p w14:paraId="2A7C21C0" w14:textId="77777777" w:rsidR="00D02C78" w:rsidRPr="00FC2211" w:rsidRDefault="00D02C78" w:rsidP="002B36BD">
      <w:pPr>
        <w:tabs>
          <w:tab w:val="left" w:pos="426"/>
        </w:tabs>
        <w:ind w:left="426"/>
        <w:rPr>
          <w:rFonts w:cstheme="minorHAnsi"/>
          <w:szCs w:val="20"/>
          <w:lang w:val="en-GB"/>
        </w:rPr>
      </w:pPr>
    </w:p>
    <w:tbl>
      <w:tblPr>
        <w:tblW w:w="6307" w:type="dxa"/>
        <w:jc w:val="center"/>
        <w:tblLook w:val="04A0" w:firstRow="1" w:lastRow="0" w:firstColumn="1" w:lastColumn="0" w:noHBand="0" w:noVBand="1"/>
      </w:tblPr>
      <w:tblGrid>
        <w:gridCol w:w="2835"/>
        <w:gridCol w:w="2132"/>
        <w:gridCol w:w="1340"/>
      </w:tblGrid>
      <w:tr w:rsidR="00C603A8" w:rsidRPr="00FC2211" w14:paraId="66744D6D" w14:textId="77777777" w:rsidTr="00C603A8">
        <w:trPr>
          <w:trHeight w:val="288"/>
          <w:jc w:val="center"/>
        </w:trPr>
        <w:tc>
          <w:tcPr>
            <w:tcW w:w="2835" w:type="dxa"/>
            <w:tcBorders>
              <w:top w:val="nil"/>
              <w:left w:val="nil"/>
              <w:bottom w:val="single" w:sz="8" w:space="0" w:color="auto"/>
              <w:right w:val="nil"/>
            </w:tcBorders>
            <w:shd w:val="clear" w:color="auto" w:fill="auto"/>
            <w:vAlign w:val="center"/>
            <w:hideMark/>
          </w:tcPr>
          <w:p w14:paraId="4681DFCB" w14:textId="77777777" w:rsidR="00C603A8" w:rsidRPr="00FC2211" w:rsidRDefault="00C603A8" w:rsidP="00C603A8">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w:t>
            </w:r>
          </w:p>
        </w:tc>
        <w:tc>
          <w:tcPr>
            <w:tcW w:w="2132" w:type="dxa"/>
            <w:tcBorders>
              <w:top w:val="nil"/>
              <w:left w:val="nil"/>
              <w:bottom w:val="single" w:sz="8" w:space="0" w:color="auto"/>
              <w:right w:val="nil"/>
            </w:tcBorders>
            <w:shd w:val="clear" w:color="auto" w:fill="auto"/>
            <w:vAlign w:val="center"/>
            <w:hideMark/>
          </w:tcPr>
          <w:p w14:paraId="7F735060" w14:textId="7DBE2A11" w:rsidR="00C603A8" w:rsidRPr="00FC2211" w:rsidRDefault="00951C53" w:rsidP="00C603A8">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December 31</w:t>
            </w:r>
            <w:r w:rsidR="00C603A8" w:rsidRPr="00FC2211">
              <w:rPr>
                <w:rFonts w:ascii="Calibri" w:hAnsi="Calibri" w:cs="Calibri"/>
                <w:b/>
                <w:bCs/>
                <w:color w:val="000000"/>
                <w:szCs w:val="20"/>
                <w:lang w:val="en-CA" w:eastAsia="en-CA"/>
              </w:rPr>
              <w:t>, 2023</w:t>
            </w:r>
          </w:p>
        </w:tc>
        <w:tc>
          <w:tcPr>
            <w:tcW w:w="1340" w:type="dxa"/>
            <w:tcBorders>
              <w:top w:val="nil"/>
              <w:left w:val="nil"/>
              <w:bottom w:val="single" w:sz="8" w:space="0" w:color="auto"/>
              <w:right w:val="nil"/>
            </w:tcBorders>
            <w:shd w:val="clear" w:color="auto" w:fill="auto"/>
            <w:vAlign w:val="center"/>
            <w:hideMark/>
          </w:tcPr>
          <w:p w14:paraId="05DF66B8" w14:textId="77777777" w:rsidR="00C603A8" w:rsidRPr="00FC2211" w:rsidRDefault="00C603A8" w:rsidP="00C603A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June 30, 2023</w:t>
            </w:r>
          </w:p>
        </w:tc>
      </w:tr>
      <w:tr w:rsidR="00C603A8" w:rsidRPr="00FC2211" w14:paraId="14ACBDB3" w14:textId="77777777" w:rsidTr="00C603A8">
        <w:trPr>
          <w:trHeight w:val="276"/>
          <w:jc w:val="center"/>
        </w:trPr>
        <w:tc>
          <w:tcPr>
            <w:tcW w:w="2835" w:type="dxa"/>
            <w:tcBorders>
              <w:top w:val="nil"/>
              <w:left w:val="nil"/>
              <w:bottom w:val="nil"/>
              <w:right w:val="nil"/>
            </w:tcBorders>
            <w:shd w:val="clear" w:color="auto" w:fill="auto"/>
            <w:vAlign w:val="center"/>
            <w:hideMark/>
          </w:tcPr>
          <w:p w14:paraId="16CB2B5D" w14:textId="77777777" w:rsidR="00C603A8" w:rsidRPr="00FC2211" w:rsidRDefault="00C603A8" w:rsidP="00C603A8">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Current </w:t>
            </w:r>
          </w:p>
        </w:tc>
        <w:tc>
          <w:tcPr>
            <w:tcW w:w="2132" w:type="dxa"/>
            <w:tcBorders>
              <w:top w:val="nil"/>
              <w:left w:val="nil"/>
              <w:bottom w:val="nil"/>
              <w:right w:val="nil"/>
            </w:tcBorders>
            <w:shd w:val="clear" w:color="auto" w:fill="auto"/>
            <w:vAlign w:val="center"/>
            <w:hideMark/>
          </w:tcPr>
          <w:p w14:paraId="0B4B3D52" w14:textId="7D94DD96" w:rsidR="00C603A8" w:rsidRPr="00FC2211" w:rsidRDefault="00C603A8" w:rsidP="00C603A8">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243692" w:rsidRPr="00FC2211">
              <w:rPr>
                <w:rFonts w:ascii="Calibri" w:hAnsi="Calibri" w:cs="Calibri"/>
                <w:b/>
                <w:bCs/>
                <w:color w:val="000000"/>
                <w:szCs w:val="20"/>
                <w:lang w:val="en-CA" w:eastAsia="en-CA"/>
              </w:rPr>
              <w:t>39,115</w:t>
            </w:r>
            <w:r w:rsidRPr="00FC2211">
              <w:rPr>
                <w:rFonts w:ascii="Calibri" w:hAnsi="Calibri" w:cs="Calibri"/>
                <w:b/>
                <w:bCs/>
                <w:color w:val="000000"/>
                <w:szCs w:val="20"/>
                <w:lang w:val="en-CA" w:eastAsia="en-CA"/>
              </w:rPr>
              <w:t xml:space="preserve"> </w:t>
            </w:r>
          </w:p>
        </w:tc>
        <w:tc>
          <w:tcPr>
            <w:tcW w:w="1340" w:type="dxa"/>
            <w:tcBorders>
              <w:top w:val="nil"/>
              <w:left w:val="nil"/>
              <w:bottom w:val="nil"/>
              <w:right w:val="nil"/>
            </w:tcBorders>
            <w:shd w:val="clear" w:color="auto" w:fill="auto"/>
            <w:vAlign w:val="center"/>
            <w:hideMark/>
          </w:tcPr>
          <w:p w14:paraId="607C1E8C" w14:textId="16B6A9B4" w:rsidR="00C603A8" w:rsidRPr="00FC2211" w:rsidRDefault="00C603A8" w:rsidP="00C603A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36,352 </w:t>
            </w:r>
          </w:p>
        </w:tc>
      </w:tr>
      <w:tr w:rsidR="00C603A8" w:rsidRPr="00FC2211" w14:paraId="01786699" w14:textId="77777777" w:rsidTr="00C603A8">
        <w:trPr>
          <w:trHeight w:val="276"/>
          <w:jc w:val="center"/>
        </w:trPr>
        <w:tc>
          <w:tcPr>
            <w:tcW w:w="2835" w:type="dxa"/>
            <w:tcBorders>
              <w:top w:val="nil"/>
              <w:left w:val="nil"/>
              <w:bottom w:val="nil"/>
              <w:right w:val="nil"/>
            </w:tcBorders>
            <w:shd w:val="clear" w:color="auto" w:fill="auto"/>
            <w:vAlign w:val="center"/>
            <w:hideMark/>
          </w:tcPr>
          <w:p w14:paraId="41F63187" w14:textId="77777777" w:rsidR="00C603A8" w:rsidRPr="00FC2211" w:rsidRDefault="00C603A8" w:rsidP="00C603A8">
            <w:pPr>
              <w:rPr>
                <w:rFonts w:ascii="Calibri" w:hAnsi="Calibri" w:cs="Calibri"/>
                <w:color w:val="000000"/>
                <w:szCs w:val="20"/>
                <w:lang w:val="en-CA" w:eastAsia="en-CA"/>
              </w:rPr>
            </w:pPr>
            <w:r w:rsidRPr="00FC2211">
              <w:rPr>
                <w:rFonts w:ascii="Calibri" w:hAnsi="Calibri" w:cs="Calibri"/>
                <w:color w:val="000000"/>
                <w:szCs w:val="20"/>
                <w:lang w:val="en-CA" w:eastAsia="en-CA"/>
              </w:rPr>
              <w:t>Non-current</w:t>
            </w:r>
          </w:p>
        </w:tc>
        <w:tc>
          <w:tcPr>
            <w:tcW w:w="2132" w:type="dxa"/>
            <w:tcBorders>
              <w:top w:val="nil"/>
              <w:left w:val="nil"/>
              <w:bottom w:val="nil"/>
              <w:right w:val="nil"/>
            </w:tcBorders>
            <w:shd w:val="clear" w:color="auto" w:fill="auto"/>
            <w:vAlign w:val="center"/>
            <w:hideMark/>
          </w:tcPr>
          <w:p w14:paraId="1CD6D60C" w14:textId="3137FDED" w:rsidR="00C603A8" w:rsidRPr="00FC2211" w:rsidRDefault="00C603A8" w:rsidP="00C603A8">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243692" w:rsidRPr="00FC2211">
              <w:rPr>
                <w:rFonts w:ascii="Calibri" w:hAnsi="Calibri" w:cs="Calibri"/>
                <w:b/>
                <w:bCs/>
                <w:color w:val="000000"/>
                <w:szCs w:val="20"/>
                <w:lang w:val="en-CA" w:eastAsia="en-CA"/>
              </w:rPr>
              <w:t>7,030</w:t>
            </w:r>
            <w:r w:rsidRPr="00FC2211">
              <w:rPr>
                <w:rFonts w:ascii="Calibri" w:hAnsi="Calibri" w:cs="Calibri"/>
                <w:b/>
                <w:bCs/>
                <w:color w:val="000000"/>
                <w:szCs w:val="20"/>
                <w:lang w:val="en-CA" w:eastAsia="en-CA"/>
              </w:rPr>
              <w:t xml:space="preserve"> </w:t>
            </w:r>
          </w:p>
        </w:tc>
        <w:tc>
          <w:tcPr>
            <w:tcW w:w="1340" w:type="dxa"/>
            <w:tcBorders>
              <w:top w:val="nil"/>
              <w:left w:val="nil"/>
              <w:bottom w:val="nil"/>
              <w:right w:val="nil"/>
            </w:tcBorders>
            <w:shd w:val="clear" w:color="auto" w:fill="auto"/>
            <w:vAlign w:val="center"/>
            <w:hideMark/>
          </w:tcPr>
          <w:p w14:paraId="78DE4134" w14:textId="7899160F" w:rsidR="00C603A8" w:rsidRPr="00FC2211" w:rsidRDefault="00C603A8" w:rsidP="00C603A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27,266 </w:t>
            </w:r>
          </w:p>
        </w:tc>
      </w:tr>
      <w:tr w:rsidR="00C603A8" w:rsidRPr="00FC2211" w14:paraId="14F7944D" w14:textId="77777777" w:rsidTr="00C603A8">
        <w:trPr>
          <w:trHeight w:val="288"/>
          <w:jc w:val="center"/>
        </w:trPr>
        <w:tc>
          <w:tcPr>
            <w:tcW w:w="2835" w:type="dxa"/>
            <w:tcBorders>
              <w:top w:val="single" w:sz="4" w:space="0" w:color="auto"/>
              <w:left w:val="nil"/>
              <w:bottom w:val="single" w:sz="8" w:space="0" w:color="auto"/>
              <w:right w:val="nil"/>
            </w:tcBorders>
            <w:shd w:val="clear" w:color="auto" w:fill="auto"/>
            <w:vAlign w:val="center"/>
            <w:hideMark/>
          </w:tcPr>
          <w:p w14:paraId="0304B50E" w14:textId="77777777" w:rsidR="00C603A8" w:rsidRPr="00FC2211" w:rsidRDefault="00C603A8" w:rsidP="00C603A8">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Total lease obligation </w:t>
            </w:r>
          </w:p>
        </w:tc>
        <w:tc>
          <w:tcPr>
            <w:tcW w:w="2132" w:type="dxa"/>
            <w:tcBorders>
              <w:top w:val="single" w:sz="4" w:space="0" w:color="auto"/>
              <w:left w:val="nil"/>
              <w:bottom w:val="single" w:sz="8" w:space="0" w:color="auto"/>
              <w:right w:val="nil"/>
            </w:tcBorders>
            <w:shd w:val="clear" w:color="auto" w:fill="auto"/>
            <w:vAlign w:val="center"/>
            <w:hideMark/>
          </w:tcPr>
          <w:p w14:paraId="66A299C6" w14:textId="060E68B8" w:rsidR="00C603A8" w:rsidRPr="00FC2211" w:rsidRDefault="00C603A8" w:rsidP="00C603A8">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243692" w:rsidRPr="00FC2211">
              <w:rPr>
                <w:rFonts w:ascii="Calibri" w:hAnsi="Calibri" w:cs="Calibri"/>
                <w:b/>
                <w:bCs/>
                <w:color w:val="000000"/>
                <w:szCs w:val="20"/>
                <w:lang w:val="en-CA" w:eastAsia="en-CA"/>
              </w:rPr>
              <w:t>46,145</w:t>
            </w:r>
            <w:r w:rsidRPr="00FC2211">
              <w:rPr>
                <w:rFonts w:ascii="Calibri" w:hAnsi="Calibri" w:cs="Calibri"/>
                <w:b/>
                <w:bCs/>
                <w:color w:val="000000"/>
                <w:szCs w:val="20"/>
                <w:lang w:val="en-CA" w:eastAsia="en-CA"/>
              </w:rPr>
              <w:t xml:space="preserve"> </w:t>
            </w:r>
          </w:p>
        </w:tc>
        <w:tc>
          <w:tcPr>
            <w:tcW w:w="1340" w:type="dxa"/>
            <w:tcBorders>
              <w:top w:val="single" w:sz="4" w:space="0" w:color="auto"/>
              <w:left w:val="nil"/>
              <w:bottom w:val="single" w:sz="8" w:space="0" w:color="auto"/>
              <w:right w:val="nil"/>
            </w:tcBorders>
            <w:shd w:val="clear" w:color="auto" w:fill="auto"/>
            <w:vAlign w:val="center"/>
            <w:hideMark/>
          </w:tcPr>
          <w:p w14:paraId="06F23568" w14:textId="523DA434" w:rsidR="00C603A8" w:rsidRPr="00FC2211" w:rsidRDefault="00C603A8" w:rsidP="00C603A8">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63,618 </w:t>
            </w:r>
          </w:p>
        </w:tc>
      </w:tr>
    </w:tbl>
    <w:p w14:paraId="15C9111B" w14:textId="77777777" w:rsidR="000B1C84" w:rsidRPr="00FC2211" w:rsidRDefault="000B1C84" w:rsidP="0027731B">
      <w:pPr>
        <w:tabs>
          <w:tab w:val="left" w:pos="180"/>
          <w:tab w:val="left" w:pos="360"/>
        </w:tabs>
        <w:ind w:left="288"/>
        <w:rPr>
          <w:rFonts w:cstheme="minorHAnsi"/>
          <w:szCs w:val="20"/>
          <w:lang w:val="en-GB"/>
        </w:rPr>
      </w:pPr>
    </w:p>
    <w:p w14:paraId="1AC05800" w14:textId="4C312742" w:rsidR="00832C48" w:rsidRPr="00FC2211" w:rsidRDefault="006507F5" w:rsidP="00832C48">
      <w:pPr>
        <w:tabs>
          <w:tab w:val="left" w:pos="426"/>
        </w:tabs>
        <w:ind w:left="426"/>
        <w:rPr>
          <w:rFonts w:cstheme="minorHAnsi"/>
          <w:szCs w:val="20"/>
          <w:lang w:val="en-GB"/>
        </w:rPr>
      </w:pPr>
      <w:r w:rsidRPr="00FC2211">
        <w:rPr>
          <w:rFonts w:cstheme="minorHAnsi"/>
          <w:szCs w:val="20"/>
          <w:lang w:val="en-GB"/>
        </w:rPr>
        <w:t>The following table shows the roll</w:t>
      </w:r>
      <w:r w:rsidR="00C5170A" w:rsidRPr="00FC2211">
        <w:rPr>
          <w:rFonts w:cstheme="minorHAnsi"/>
          <w:szCs w:val="20"/>
          <w:lang w:val="en-GB"/>
        </w:rPr>
        <w:t xml:space="preserve"> </w:t>
      </w:r>
      <w:r w:rsidRPr="00FC2211">
        <w:rPr>
          <w:rFonts w:cstheme="minorHAnsi"/>
          <w:szCs w:val="20"/>
          <w:lang w:val="en-GB"/>
        </w:rPr>
        <w:t>forward of lease obligations for the</w:t>
      </w:r>
      <w:r w:rsidR="00243692" w:rsidRPr="00FC2211">
        <w:rPr>
          <w:rFonts w:cstheme="minorHAnsi"/>
          <w:szCs w:val="20"/>
          <w:lang w:val="en-GB"/>
        </w:rPr>
        <w:t xml:space="preserve"> six</w:t>
      </w:r>
      <w:r w:rsidR="005E677D" w:rsidRPr="00FC2211">
        <w:rPr>
          <w:rFonts w:cstheme="minorHAnsi"/>
          <w:szCs w:val="20"/>
          <w:lang w:val="en-GB"/>
        </w:rPr>
        <w:t xml:space="preserve"> months</w:t>
      </w:r>
      <w:r w:rsidR="00C8286E" w:rsidRPr="00FC2211">
        <w:rPr>
          <w:rFonts w:cstheme="minorHAnsi"/>
          <w:szCs w:val="20"/>
          <w:lang w:val="en-GB"/>
        </w:rPr>
        <w:t xml:space="preserve"> ended </w:t>
      </w:r>
      <w:r w:rsidR="00243692" w:rsidRPr="00FC2211">
        <w:rPr>
          <w:rFonts w:cstheme="minorHAnsi"/>
          <w:szCs w:val="20"/>
          <w:lang w:val="en-GB"/>
        </w:rPr>
        <w:t>December 31</w:t>
      </w:r>
      <w:r w:rsidR="00417438" w:rsidRPr="00FC2211">
        <w:rPr>
          <w:rFonts w:cstheme="minorHAnsi"/>
          <w:szCs w:val="20"/>
          <w:lang w:val="en-GB"/>
        </w:rPr>
        <w:t>, 202</w:t>
      </w:r>
      <w:r w:rsidR="002D41EF" w:rsidRPr="00FC2211">
        <w:rPr>
          <w:rFonts w:cstheme="minorHAnsi"/>
          <w:szCs w:val="20"/>
          <w:lang w:val="en-GB"/>
        </w:rPr>
        <w:t>3</w:t>
      </w:r>
      <w:r w:rsidR="00FB780D" w:rsidRPr="00FC2211">
        <w:rPr>
          <w:rFonts w:cstheme="minorHAnsi"/>
          <w:szCs w:val="20"/>
          <w:lang w:val="en-GB"/>
        </w:rPr>
        <w:t xml:space="preserve"> </w:t>
      </w:r>
      <w:r w:rsidR="00C8286E" w:rsidRPr="00FC2211">
        <w:rPr>
          <w:rFonts w:cstheme="minorHAnsi"/>
          <w:szCs w:val="20"/>
          <w:lang w:val="en-GB"/>
        </w:rPr>
        <w:t>and</w:t>
      </w:r>
      <w:r w:rsidR="002D41EF" w:rsidRPr="00FC2211">
        <w:rPr>
          <w:rFonts w:cstheme="minorHAnsi"/>
          <w:szCs w:val="20"/>
          <w:lang w:val="en-GB"/>
        </w:rPr>
        <w:t xml:space="preserve"> </w:t>
      </w:r>
      <w:r w:rsidR="005E677D" w:rsidRPr="00FC2211">
        <w:rPr>
          <w:rFonts w:cstheme="minorHAnsi"/>
          <w:szCs w:val="20"/>
          <w:lang w:val="en-GB"/>
        </w:rPr>
        <w:t xml:space="preserve">for the year ended June 30, </w:t>
      </w:r>
      <w:r w:rsidR="002D41EF" w:rsidRPr="00FC2211">
        <w:rPr>
          <w:rFonts w:cstheme="minorHAnsi"/>
          <w:szCs w:val="20"/>
          <w:lang w:val="en-GB"/>
        </w:rPr>
        <w:t>202</w:t>
      </w:r>
      <w:r w:rsidR="005E677D" w:rsidRPr="00FC2211">
        <w:rPr>
          <w:rFonts w:cstheme="minorHAnsi"/>
          <w:szCs w:val="20"/>
          <w:lang w:val="en-GB"/>
        </w:rPr>
        <w:t>3</w:t>
      </w:r>
      <w:r w:rsidRPr="00FC2211">
        <w:rPr>
          <w:rFonts w:cstheme="minorHAnsi"/>
          <w:szCs w:val="20"/>
          <w:lang w:val="en-GB"/>
        </w:rPr>
        <w:t>:</w:t>
      </w:r>
    </w:p>
    <w:tbl>
      <w:tblPr>
        <w:tblW w:w="6212" w:type="dxa"/>
        <w:jc w:val="center"/>
        <w:tblLook w:val="04A0" w:firstRow="1" w:lastRow="0" w:firstColumn="1" w:lastColumn="0" w:noHBand="0" w:noVBand="1"/>
      </w:tblPr>
      <w:tblGrid>
        <w:gridCol w:w="2410"/>
        <w:gridCol w:w="2132"/>
        <w:gridCol w:w="1670"/>
      </w:tblGrid>
      <w:tr w:rsidR="0075014D" w:rsidRPr="00FC2211" w14:paraId="7B481AC4" w14:textId="77777777" w:rsidTr="0075014D">
        <w:trPr>
          <w:trHeight w:val="288"/>
          <w:jc w:val="center"/>
        </w:trPr>
        <w:tc>
          <w:tcPr>
            <w:tcW w:w="2410" w:type="dxa"/>
            <w:tcBorders>
              <w:top w:val="nil"/>
              <w:left w:val="nil"/>
              <w:bottom w:val="single" w:sz="8" w:space="0" w:color="auto"/>
              <w:right w:val="nil"/>
            </w:tcBorders>
            <w:shd w:val="clear" w:color="auto" w:fill="auto"/>
            <w:hideMark/>
          </w:tcPr>
          <w:p w14:paraId="40A12493" w14:textId="77777777" w:rsidR="0075014D" w:rsidRPr="00FC2211" w:rsidRDefault="0075014D" w:rsidP="0075014D">
            <w:pPr>
              <w:rPr>
                <w:rFonts w:ascii="Times New Roman" w:hAnsi="Times New Roman"/>
                <w:color w:val="000000"/>
                <w:szCs w:val="20"/>
                <w:lang w:val="en-CA" w:eastAsia="en-CA"/>
              </w:rPr>
            </w:pPr>
            <w:r w:rsidRPr="00FC2211">
              <w:rPr>
                <w:rFonts w:ascii="Times New Roman" w:hAnsi="Times New Roman"/>
                <w:color w:val="000000"/>
                <w:szCs w:val="20"/>
                <w:lang w:val="en-CA" w:eastAsia="en-CA"/>
              </w:rPr>
              <w:t> </w:t>
            </w:r>
          </w:p>
        </w:tc>
        <w:tc>
          <w:tcPr>
            <w:tcW w:w="2132" w:type="dxa"/>
            <w:tcBorders>
              <w:top w:val="nil"/>
              <w:left w:val="nil"/>
              <w:bottom w:val="single" w:sz="8" w:space="0" w:color="auto"/>
              <w:right w:val="nil"/>
            </w:tcBorders>
            <w:shd w:val="clear" w:color="auto" w:fill="auto"/>
            <w:vAlign w:val="center"/>
            <w:hideMark/>
          </w:tcPr>
          <w:p w14:paraId="0104EB81" w14:textId="698FC428" w:rsidR="0075014D" w:rsidRPr="00FC2211" w:rsidRDefault="00243692" w:rsidP="0075014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December 31</w:t>
            </w:r>
            <w:r w:rsidR="0075014D" w:rsidRPr="00FC2211">
              <w:rPr>
                <w:rFonts w:ascii="Calibri" w:hAnsi="Calibri" w:cs="Calibri"/>
                <w:b/>
                <w:bCs/>
                <w:color w:val="000000"/>
                <w:szCs w:val="20"/>
                <w:lang w:val="en-CA" w:eastAsia="en-CA"/>
              </w:rPr>
              <w:t>, 2023</w:t>
            </w:r>
          </w:p>
        </w:tc>
        <w:tc>
          <w:tcPr>
            <w:tcW w:w="1670" w:type="dxa"/>
            <w:tcBorders>
              <w:top w:val="nil"/>
              <w:left w:val="nil"/>
              <w:bottom w:val="single" w:sz="8" w:space="0" w:color="auto"/>
              <w:right w:val="nil"/>
            </w:tcBorders>
            <w:shd w:val="clear" w:color="auto" w:fill="auto"/>
            <w:vAlign w:val="center"/>
            <w:hideMark/>
          </w:tcPr>
          <w:p w14:paraId="34CB6E02" w14:textId="77777777" w:rsidR="0075014D" w:rsidRPr="00FC2211" w:rsidRDefault="0075014D" w:rsidP="0075014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June 30, 2023</w:t>
            </w:r>
          </w:p>
        </w:tc>
      </w:tr>
      <w:tr w:rsidR="0075014D" w:rsidRPr="00FC2211" w14:paraId="0EA3134B" w14:textId="77777777" w:rsidTr="0075014D">
        <w:trPr>
          <w:trHeight w:val="276"/>
          <w:jc w:val="center"/>
        </w:trPr>
        <w:tc>
          <w:tcPr>
            <w:tcW w:w="2410" w:type="dxa"/>
            <w:tcBorders>
              <w:top w:val="nil"/>
              <w:left w:val="nil"/>
              <w:bottom w:val="nil"/>
              <w:right w:val="nil"/>
            </w:tcBorders>
            <w:shd w:val="clear" w:color="auto" w:fill="auto"/>
            <w:vAlign w:val="center"/>
            <w:hideMark/>
          </w:tcPr>
          <w:p w14:paraId="1837C6F5" w14:textId="77777777" w:rsidR="0075014D" w:rsidRPr="00FC2211" w:rsidRDefault="0075014D" w:rsidP="0075014D">
            <w:pPr>
              <w:rPr>
                <w:rFonts w:ascii="Calibri" w:hAnsi="Calibri" w:cs="Calibri"/>
                <w:color w:val="000000"/>
                <w:szCs w:val="20"/>
                <w:lang w:val="en-CA" w:eastAsia="en-CA"/>
              </w:rPr>
            </w:pPr>
            <w:r w:rsidRPr="00FC2211">
              <w:rPr>
                <w:rFonts w:ascii="Calibri" w:hAnsi="Calibri" w:cs="Calibri"/>
                <w:color w:val="000000"/>
                <w:szCs w:val="20"/>
                <w:lang w:val="en-CA" w:eastAsia="en-CA"/>
              </w:rPr>
              <w:t>Beginning balance</w:t>
            </w:r>
          </w:p>
        </w:tc>
        <w:tc>
          <w:tcPr>
            <w:tcW w:w="2132" w:type="dxa"/>
            <w:tcBorders>
              <w:top w:val="nil"/>
              <w:left w:val="nil"/>
              <w:bottom w:val="nil"/>
              <w:right w:val="nil"/>
            </w:tcBorders>
            <w:shd w:val="clear" w:color="auto" w:fill="auto"/>
            <w:vAlign w:val="center"/>
            <w:hideMark/>
          </w:tcPr>
          <w:p w14:paraId="2ED85688" w14:textId="42A0005F" w:rsidR="0075014D" w:rsidRPr="00FC2211" w:rsidRDefault="0075014D" w:rsidP="0075014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63,618 </w:t>
            </w:r>
          </w:p>
        </w:tc>
        <w:tc>
          <w:tcPr>
            <w:tcW w:w="1670" w:type="dxa"/>
            <w:tcBorders>
              <w:top w:val="nil"/>
              <w:left w:val="nil"/>
              <w:bottom w:val="nil"/>
              <w:right w:val="nil"/>
            </w:tcBorders>
            <w:shd w:val="clear" w:color="auto" w:fill="auto"/>
            <w:vAlign w:val="center"/>
            <w:hideMark/>
          </w:tcPr>
          <w:p w14:paraId="3C7C7BB8" w14:textId="263E017E" w:rsidR="0075014D" w:rsidRPr="00FC2211" w:rsidRDefault="0075014D" w:rsidP="0075014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94,934 </w:t>
            </w:r>
          </w:p>
        </w:tc>
      </w:tr>
      <w:tr w:rsidR="0075014D" w:rsidRPr="00FC2211" w14:paraId="02A3183F" w14:textId="77777777" w:rsidTr="0075014D">
        <w:trPr>
          <w:trHeight w:val="276"/>
          <w:jc w:val="center"/>
        </w:trPr>
        <w:tc>
          <w:tcPr>
            <w:tcW w:w="2410" w:type="dxa"/>
            <w:tcBorders>
              <w:top w:val="nil"/>
              <w:left w:val="nil"/>
              <w:bottom w:val="nil"/>
              <w:right w:val="nil"/>
            </w:tcBorders>
            <w:shd w:val="clear" w:color="auto" w:fill="auto"/>
            <w:vAlign w:val="center"/>
            <w:hideMark/>
          </w:tcPr>
          <w:p w14:paraId="2127E8BC" w14:textId="77777777" w:rsidR="0075014D" w:rsidRPr="00FC2211" w:rsidRDefault="0075014D" w:rsidP="0075014D">
            <w:pPr>
              <w:rPr>
                <w:rFonts w:ascii="Calibri" w:hAnsi="Calibri" w:cs="Calibri"/>
                <w:color w:val="000000"/>
                <w:szCs w:val="20"/>
                <w:lang w:val="en-CA" w:eastAsia="en-CA"/>
              </w:rPr>
            </w:pPr>
            <w:r w:rsidRPr="00FC2211">
              <w:rPr>
                <w:rFonts w:ascii="Calibri" w:hAnsi="Calibri" w:cs="Calibri"/>
                <w:color w:val="000000"/>
                <w:szCs w:val="20"/>
                <w:lang w:val="en-CA" w:eastAsia="en-CA"/>
              </w:rPr>
              <w:t>Interest expense</w:t>
            </w:r>
          </w:p>
        </w:tc>
        <w:tc>
          <w:tcPr>
            <w:tcW w:w="2132" w:type="dxa"/>
            <w:tcBorders>
              <w:top w:val="nil"/>
              <w:left w:val="nil"/>
              <w:bottom w:val="nil"/>
              <w:right w:val="nil"/>
            </w:tcBorders>
            <w:shd w:val="clear" w:color="auto" w:fill="auto"/>
            <w:vAlign w:val="center"/>
            <w:hideMark/>
          </w:tcPr>
          <w:p w14:paraId="13182886" w14:textId="762ED1FE" w:rsidR="0075014D" w:rsidRPr="00FC2211" w:rsidRDefault="0075014D" w:rsidP="0075014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243692" w:rsidRPr="00FC2211">
              <w:rPr>
                <w:rFonts w:ascii="Calibri" w:hAnsi="Calibri" w:cs="Calibri"/>
                <w:b/>
                <w:bCs/>
                <w:color w:val="000000"/>
                <w:szCs w:val="20"/>
                <w:lang w:val="en-CA" w:eastAsia="en-CA"/>
              </w:rPr>
              <w:t>3,527</w:t>
            </w:r>
            <w:r w:rsidRPr="00FC2211">
              <w:rPr>
                <w:rFonts w:ascii="Calibri" w:hAnsi="Calibri" w:cs="Calibri"/>
                <w:b/>
                <w:bCs/>
                <w:color w:val="000000"/>
                <w:szCs w:val="20"/>
                <w:lang w:val="en-CA" w:eastAsia="en-CA"/>
              </w:rPr>
              <w:t xml:space="preserve"> </w:t>
            </w:r>
          </w:p>
        </w:tc>
        <w:tc>
          <w:tcPr>
            <w:tcW w:w="1670" w:type="dxa"/>
            <w:tcBorders>
              <w:top w:val="nil"/>
              <w:left w:val="nil"/>
              <w:bottom w:val="nil"/>
              <w:right w:val="nil"/>
            </w:tcBorders>
            <w:shd w:val="clear" w:color="auto" w:fill="auto"/>
            <w:vAlign w:val="center"/>
            <w:hideMark/>
          </w:tcPr>
          <w:p w14:paraId="20D7674F" w14:textId="62193E39" w:rsidR="0075014D" w:rsidRPr="00FC2211" w:rsidRDefault="0075014D" w:rsidP="0075014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10,124 </w:t>
            </w:r>
          </w:p>
        </w:tc>
      </w:tr>
      <w:tr w:rsidR="0075014D" w:rsidRPr="00FC2211" w14:paraId="6D9FC46C" w14:textId="77777777" w:rsidTr="0075014D">
        <w:trPr>
          <w:trHeight w:val="276"/>
          <w:jc w:val="center"/>
        </w:trPr>
        <w:tc>
          <w:tcPr>
            <w:tcW w:w="2410" w:type="dxa"/>
            <w:tcBorders>
              <w:top w:val="nil"/>
              <w:left w:val="nil"/>
              <w:bottom w:val="nil"/>
              <w:right w:val="nil"/>
            </w:tcBorders>
            <w:shd w:val="clear" w:color="auto" w:fill="auto"/>
            <w:vAlign w:val="center"/>
            <w:hideMark/>
          </w:tcPr>
          <w:p w14:paraId="45E5D47F" w14:textId="77777777" w:rsidR="0075014D" w:rsidRPr="00FC2211" w:rsidRDefault="0075014D" w:rsidP="0075014D">
            <w:pPr>
              <w:rPr>
                <w:rFonts w:ascii="Calibri" w:hAnsi="Calibri" w:cs="Calibri"/>
                <w:color w:val="000000"/>
                <w:szCs w:val="20"/>
                <w:lang w:val="en-CA" w:eastAsia="en-CA"/>
              </w:rPr>
            </w:pPr>
            <w:r w:rsidRPr="00FC2211">
              <w:rPr>
                <w:rFonts w:ascii="Calibri" w:hAnsi="Calibri" w:cs="Calibri"/>
                <w:color w:val="000000"/>
                <w:szCs w:val="20"/>
                <w:lang w:val="en-CA" w:eastAsia="en-CA"/>
              </w:rPr>
              <w:t>Lease payments</w:t>
            </w:r>
          </w:p>
        </w:tc>
        <w:tc>
          <w:tcPr>
            <w:tcW w:w="2132" w:type="dxa"/>
            <w:tcBorders>
              <w:top w:val="nil"/>
              <w:left w:val="nil"/>
              <w:bottom w:val="nil"/>
              <w:right w:val="nil"/>
            </w:tcBorders>
            <w:shd w:val="clear" w:color="auto" w:fill="auto"/>
            <w:vAlign w:val="center"/>
            <w:hideMark/>
          </w:tcPr>
          <w:p w14:paraId="1D15DB0A" w14:textId="5B2F3B7C" w:rsidR="0075014D" w:rsidRPr="00FC2211" w:rsidRDefault="0075014D" w:rsidP="0075014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243692" w:rsidRPr="00FC2211">
              <w:rPr>
                <w:rFonts w:ascii="Calibri" w:hAnsi="Calibri" w:cs="Calibri"/>
                <w:b/>
                <w:bCs/>
                <w:color w:val="000000"/>
                <w:szCs w:val="20"/>
                <w:lang w:val="en-CA" w:eastAsia="en-CA"/>
              </w:rPr>
              <w:t>21,000</w:t>
            </w:r>
            <w:r w:rsidRPr="00FC2211">
              <w:rPr>
                <w:rFonts w:ascii="Calibri" w:hAnsi="Calibri" w:cs="Calibri"/>
                <w:b/>
                <w:bCs/>
                <w:color w:val="000000"/>
                <w:szCs w:val="20"/>
                <w:lang w:val="en-CA" w:eastAsia="en-CA"/>
              </w:rPr>
              <w:t>)</w:t>
            </w:r>
          </w:p>
        </w:tc>
        <w:tc>
          <w:tcPr>
            <w:tcW w:w="1670" w:type="dxa"/>
            <w:tcBorders>
              <w:top w:val="nil"/>
              <w:left w:val="nil"/>
              <w:bottom w:val="nil"/>
              <w:right w:val="nil"/>
            </w:tcBorders>
            <w:shd w:val="clear" w:color="auto" w:fill="auto"/>
            <w:vAlign w:val="center"/>
            <w:hideMark/>
          </w:tcPr>
          <w:p w14:paraId="6A80E360" w14:textId="7D74F6D5" w:rsidR="0075014D" w:rsidRPr="00FC2211" w:rsidRDefault="0075014D" w:rsidP="0075014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(41,440)</w:t>
            </w:r>
          </w:p>
        </w:tc>
      </w:tr>
      <w:tr w:rsidR="0075014D" w:rsidRPr="00FC2211" w14:paraId="0FC6AD48" w14:textId="77777777" w:rsidTr="0075014D">
        <w:trPr>
          <w:trHeight w:val="288"/>
          <w:jc w:val="center"/>
        </w:trPr>
        <w:tc>
          <w:tcPr>
            <w:tcW w:w="2410" w:type="dxa"/>
            <w:tcBorders>
              <w:top w:val="single" w:sz="4" w:space="0" w:color="auto"/>
              <w:left w:val="nil"/>
              <w:bottom w:val="single" w:sz="8" w:space="0" w:color="auto"/>
              <w:right w:val="nil"/>
            </w:tcBorders>
            <w:shd w:val="clear" w:color="auto" w:fill="auto"/>
            <w:vAlign w:val="center"/>
            <w:hideMark/>
          </w:tcPr>
          <w:p w14:paraId="253F4851" w14:textId="77777777" w:rsidR="0075014D" w:rsidRPr="00FC2211" w:rsidRDefault="0075014D" w:rsidP="0075014D">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Ending balance</w:t>
            </w:r>
          </w:p>
        </w:tc>
        <w:tc>
          <w:tcPr>
            <w:tcW w:w="2132" w:type="dxa"/>
            <w:tcBorders>
              <w:top w:val="single" w:sz="4" w:space="0" w:color="auto"/>
              <w:left w:val="nil"/>
              <w:bottom w:val="single" w:sz="8" w:space="0" w:color="auto"/>
              <w:right w:val="nil"/>
            </w:tcBorders>
            <w:shd w:val="clear" w:color="auto" w:fill="auto"/>
            <w:vAlign w:val="center"/>
            <w:hideMark/>
          </w:tcPr>
          <w:p w14:paraId="07C60041" w14:textId="366A5915" w:rsidR="0075014D" w:rsidRPr="00FC2211" w:rsidRDefault="0075014D" w:rsidP="0075014D">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243692" w:rsidRPr="00FC2211">
              <w:rPr>
                <w:rFonts w:ascii="Calibri" w:hAnsi="Calibri" w:cs="Calibri"/>
                <w:b/>
                <w:bCs/>
                <w:color w:val="000000"/>
                <w:szCs w:val="20"/>
                <w:lang w:val="en-CA" w:eastAsia="en-CA"/>
              </w:rPr>
              <w:t>46,145</w:t>
            </w:r>
            <w:r w:rsidRPr="00FC2211">
              <w:rPr>
                <w:rFonts w:ascii="Calibri" w:hAnsi="Calibri" w:cs="Calibri"/>
                <w:b/>
                <w:bCs/>
                <w:color w:val="000000"/>
                <w:szCs w:val="20"/>
                <w:lang w:val="en-CA" w:eastAsia="en-CA"/>
              </w:rPr>
              <w:t xml:space="preserve"> </w:t>
            </w:r>
          </w:p>
        </w:tc>
        <w:tc>
          <w:tcPr>
            <w:tcW w:w="1670" w:type="dxa"/>
            <w:tcBorders>
              <w:top w:val="single" w:sz="4" w:space="0" w:color="auto"/>
              <w:left w:val="nil"/>
              <w:bottom w:val="single" w:sz="8" w:space="0" w:color="auto"/>
              <w:right w:val="nil"/>
            </w:tcBorders>
            <w:shd w:val="clear" w:color="auto" w:fill="auto"/>
            <w:vAlign w:val="center"/>
            <w:hideMark/>
          </w:tcPr>
          <w:p w14:paraId="52047343" w14:textId="0759E705" w:rsidR="0075014D" w:rsidRPr="00FC2211" w:rsidRDefault="0075014D" w:rsidP="0075014D">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63,618 </w:t>
            </w:r>
          </w:p>
        </w:tc>
      </w:tr>
    </w:tbl>
    <w:p w14:paraId="52C83585" w14:textId="1778ED82" w:rsidR="00943311" w:rsidRPr="00FC2211" w:rsidRDefault="00351BE0" w:rsidP="00943311">
      <w:pPr>
        <w:pStyle w:val="Heading1"/>
        <w:rPr>
          <w:lang w:val="en-GB"/>
        </w:rPr>
      </w:pPr>
      <w:r w:rsidRPr="00FC2211">
        <w:rPr>
          <w:lang w:val="en-GB"/>
        </w:rPr>
        <w:lastRenderedPageBreak/>
        <w:t>21</w:t>
      </w:r>
      <w:r w:rsidR="00943311" w:rsidRPr="00FC2211">
        <w:rPr>
          <w:lang w:val="en-GB"/>
        </w:rPr>
        <w:t>.   LEASE LIABILITY (CONTINUED)</w:t>
      </w:r>
    </w:p>
    <w:p w14:paraId="1206F535" w14:textId="77777777" w:rsidR="00B77076" w:rsidRPr="00FC2211" w:rsidRDefault="00B77076">
      <w:pPr>
        <w:rPr>
          <w:rFonts w:cstheme="minorHAnsi"/>
          <w:szCs w:val="20"/>
          <w:lang w:val="en-GB"/>
        </w:rPr>
      </w:pPr>
    </w:p>
    <w:p w14:paraId="2FF9B278" w14:textId="06200232" w:rsidR="006F5C86" w:rsidRPr="00FC2211" w:rsidRDefault="006B49CC" w:rsidP="002B36BD">
      <w:pPr>
        <w:tabs>
          <w:tab w:val="left" w:pos="426"/>
        </w:tabs>
        <w:ind w:left="426"/>
        <w:rPr>
          <w:rFonts w:cstheme="minorHAnsi"/>
          <w:szCs w:val="20"/>
          <w:lang w:val="en-GB"/>
        </w:rPr>
      </w:pPr>
      <w:r w:rsidRPr="00FC2211">
        <w:rPr>
          <w:rFonts w:cstheme="minorHAnsi"/>
          <w:szCs w:val="20"/>
          <w:lang w:val="en-GB"/>
        </w:rPr>
        <w:t xml:space="preserve">The following table presents the contractual undiscounted </w:t>
      </w:r>
      <w:r w:rsidR="000B7E24" w:rsidRPr="00FC2211">
        <w:rPr>
          <w:rFonts w:cstheme="minorHAnsi"/>
          <w:szCs w:val="20"/>
          <w:lang w:val="en-GB"/>
        </w:rPr>
        <w:t>cash flows</w:t>
      </w:r>
      <w:r w:rsidRPr="00FC2211">
        <w:rPr>
          <w:rFonts w:cstheme="minorHAnsi"/>
          <w:szCs w:val="20"/>
          <w:lang w:val="en-GB"/>
        </w:rPr>
        <w:t xml:space="preserve"> for lease obligation </w:t>
      </w:r>
      <w:r w:rsidR="00496C3A" w:rsidRPr="00FC2211">
        <w:rPr>
          <w:rFonts w:cstheme="minorHAnsi"/>
          <w:szCs w:val="20"/>
          <w:lang w:val="en-GB"/>
        </w:rPr>
        <w:t xml:space="preserve">for the </w:t>
      </w:r>
      <w:r w:rsidR="00214BC7" w:rsidRPr="00FC2211">
        <w:rPr>
          <w:rFonts w:cstheme="minorHAnsi"/>
          <w:szCs w:val="20"/>
          <w:lang w:val="en-GB"/>
        </w:rPr>
        <w:t>six</w:t>
      </w:r>
      <w:r w:rsidR="00496C3A" w:rsidRPr="00FC2211">
        <w:rPr>
          <w:rFonts w:cstheme="minorHAnsi"/>
          <w:szCs w:val="20"/>
          <w:lang w:val="en-GB"/>
        </w:rPr>
        <w:t xml:space="preserve"> months ended </w:t>
      </w:r>
      <w:r w:rsidR="00214BC7" w:rsidRPr="00FC2211">
        <w:rPr>
          <w:rFonts w:cstheme="minorHAnsi"/>
          <w:szCs w:val="20"/>
          <w:lang w:val="en-GB"/>
        </w:rPr>
        <w:t>December 31</w:t>
      </w:r>
      <w:r w:rsidR="00496C3A" w:rsidRPr="00FC2211">
        <w:rPr>
          <w:rFonts w:cstheme="minorHAnsi"/>
          <w:szCs w:val="20"/>
          <w:lang w:val="en-GB"/>
        </w:rPr>
        <w:t>, 2023 and for the year ended June 30, 2023:</w:t>
      </w:r>
    </w:p>
    <w:p w14:paraId="0872A54C" w14:textId="77777777" w:rsidR="00BE5E33" w:rsidRPr="00FC2211" w:rsidRDefault="00BE5E33" w:rsidP="002B36BD">
      <w:pPr>
        <w:tabs>
          <w:tab w:val="left" w:pos="426"/>
        </w:tabs>
        <w:ind w:left="426"/>
        <w:rPr>
          <w:rFonts w:cstheme="minorHAnsi"/>
          <w:szCs w:val="20"/>
          <w:lang w:val="en-GB"/>
        </w:rPr>
      </w:pPr>
    </w:p>
    <w:tbl>
      <w:tblPr>
        <w:tblW w:w="7340" w:type="dxa"/>
        <w:jc w:val="center"/>
        <w:tblLook w:val="04A0" w:firstRow="1" w:lastRow="0" w:firstColumn="1" w:lastColumn="0" w:noHBand="0" w:noVBand="1"/>
      </w:tblPr>
      <w:tblGrid>
        <w:gridCol w:w="3680"/>
        <w:gridCol w:w="2132"/>
        <w:gridCol w:w="1528"/>
      </w:tblGrid>
      <w:tr w:rsidR="00BE5E33" w:rsidRPr="00FC2211" w14:paraId="2ADA10FB" w14:textId="77777777" w:rsidTr="00BE5E33">
        <w:trPr>
          <w:trHeight w:val="288"/>
          <w:jc w:val="center"/>
        </w:trPr>
        <w:tc>
          <w:tcPr>
            <w:tcW w:w="3680" w:type="dxa"/>
            <w:tcBorders>
              <w:top w:val="nil"/>
              <w:left w:val="nil"/>
              <w:bottom w:val="single" w:sz="8" w:space="0" w:color="auto"/>
              <w:right w:val="nil"/>
            </w:tcBorders>
            <w:shd w:val="clear" w:color="auto" w:fill="auto"/>
            <w:vAlign w:val="center"/>
            <w:hideMark/>
          </w:tcPr>
          <w:p w14:paraId="7F4CA2F0" w14:textId="77777777" w:rsidR="00BE5E33" w:rsidRPr="00FC2211" w:rsidRDefault="00BE5E33" w:rsidP="00BE5E33">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 </w:t>
            </w:r>
          </w:p>
        </w:tc>
        <w:tc>
          <w:tcPr>
            <w:tcW w:w="2132" w:type="dxa"/>
            <w:tcBorders>
              <w:top w:val="nil"/>
              <w:left w:val="nil"/>
              <w:bottom w:val="single" w:sz="8" w:space="0" w:color="auto"/>
              <w:right w:val="nil"/>
            </w:tcBorders>
            <w:shd w:val="clear" w:color="auto" w:fill="auto"/>
            <w:vAlign w:val="center"/>
            <w:hideMark/>
          </w:tcPr>
          <w:p w14:paraId="3A13D3A3" w14:textId="2309F914" w:rsidR="00BE5E33" w:rsidRPr="00FC2211" w:rsidRDefault="00214BC7" w:rsidP="00BE5E33">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December 31</w:t>
            </w:r>
            <w:r w:rsidR="00BE5E33" w:rsidRPr="00FC2211">
              <w:rPr>
                <w:rFonts w:ascii="Calibri" w:hAnsi="Calibri" w:cs="Calibri"/>
                <w:b/>
                <w:bCs/>
                <w:color w:val="000000"/>
                <w:szCs w:val="20"/>
                <w:lang w:val="en-CA" w:eastAsia="en-CA"/>
              </w:rPr>
              <w:t>, 2023</w:t>
            </w:r>
          </w:p>
        </w:tc>
        <w:tc>
          <w:tcPr>
            <w:tcW w:w="1528" w:type="dxa"/>
            <w:tcBorders>
              <w:top w:val="nil"/>
              <w:left w:val="nil"/>
              <w:bottom w:val="single" w:sz="8" w:space="0" w:color="auto"/>
              <w:right w:val="nil"/>
            </w:tcBorders>
            <w:shd w:val="clear" w:color="auto" w:fill="auto"/>
            <w:vAlign w:val="center"/>
            <w:hideMark/>
          </w:tcPr>
          <w:p w14:paraId="25AAF732" w14:textId="77777777" w:rsidR="00BE5E33" w:rsidRPr="00FC2211" w:rsidRDefault="00BE5E33" w:rsidP="00BE5E33">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June 30, 2023</w:t>
            </w:r>
          </w:p>
        </w:tc>
      </w:tr>
      <w:tr w:rsidR="00BE5E33" w:rsidRPr="00FC2211" w14:paraId="1FAC828E" w14:textId="77777777" w:rsidTr="00BE5E33">
        <w:trPr>
          <w:trHeight w:val="276"/>
          <w:jc w:val="center"/>
        </w:trPr>
        <w:tc>
          <w:tcPr>
            <w:tcW w:w="3680" w:type="dxa"/>
            <w:tcBorders>
              <w:top w:val="nil"/>
              <w:left w:val="nil"/>
              <w:bottom w:val="nil"/>
              <w:right w:val="nil"/>
            </w:tcBorders>
            <w:shd w:val="clear" w:color="auto" w:fill="auto"/>
            <w:vAlign w:val="center"/>
            <w:hideMark/>
          </w:tcPr>
          <w:p w14:paraId="0ACA4288" w14:textId="77777777" w:rsidR="00BE5E33" w:rsidRPr="00FC2211" w:rsidRDefault="00BE5E33" w:rsidP="00BE5E33">
            <w:pPr>
              <w:rPr>
                <w:rFonts w:ascii="Calibri" w:hAnsi="Calibri" w:cs="Calibri"/>
                <w:color w:val="000000"/>
                <w:szCs w:val="20"/>
                <w:lang w:val="en-CA" w:eastAsia="en-CA"/>
              </w:rPr>
            </w:pPr>
            <w:r w:rsidRPr="00FC2211">
              <w:rPr>
                <w:rFonts w:ascii="Calibri" w:hAnsi="Calibri" w:cs="Calibri"/>
                <w:color w:val="000000"/>
                <w:szCs w:val="20"/>
                <w:lang w:val="en-CA" w:eastAsia="en-CA"/>
              </w:rPr>
              <w:t xml:space="preserve">Less than one year </w:t>
            </w:r>
          </w:p>
        </w:tc>
        <w:tc>
          <w:tcPr>
            <w:tcW w:w="2132" w:type="dxa"/>
            <w:tcBorders>
              <w:top w:val="nil"/>
              <w:left w:val="nil"/>
              <w:bottom w:val="nil"/>
              <w:right w:val="nil"/>
            </w:tcBorders>
            <w:shd w:val="clear" w:color="auto" w:fill="auto"/>
            <w:vAlign w:val="center"/>
            <w:hideMark/>
          </w:tcPr>
          <w:p w14:paraId="0C670A9D" w14:textId="54255CB7" w:rsidR="00BE5E33" w:rsidRPr="00FC2211" w:rsidRDefault="00BE5E33" w:rsidP="00BE5E33">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42,</w:t>
            </w:r>
            <w:r w:rsidR="00214BC7" w:rsidRPr="00FC2211">
              <w:rPr>
                <w:rFonts w:ascii="Calibri" w:hAnsi="Calibri" w:cs="Calibri"/>
                <w:b/>
                <w:bCs/>
                <w:color w:val="000000"/>
                <w:szCs w:val="20"/>
                <w:lang w:val="en-CA" w:eastAsia="en-CA"/>
              </w:rPr>
              <w:t>700</w:t>
            </w:r>
            <w:r w:rsidRPr="00FC2211">
              <w:rPr>
                <w:rFonts w:ascii="Calibri" w:hAnsi="Calibri" w:cs="Calibri"/>
                <w:b/>
                <w:bCs/>
                <w:color w:val="000000"/>
                <w:szCs w:val="20"/>
                <w:lang w:val="en-CA" w:eastAsia="en-CA"/>
              </w:rPr>
              <w:t xml:space="preserve"> </w:t>
            </w:r>
          </w:p>
        </w:tc>
        <w:tc>
          <w:tcPr>
            <w:tcW w:w="1528" w:type="dxa"/>
            <w:tcBorders>
              <w:top w:val="nil"/>
              <w:left w:val="nil"/>
              <w:bottom w:val="nil"/>
              <w:right w:val="nil"/>
            </w:tcBorders>
            <w:shd w:val="clear" w:color="auto" w:fill="auto"/>
            <w:vAlign w:val="center"/>
            <w:hideMark/>
          </w:tcPr>
          <w:p w14:paraId="680EED25" w14:textId="668459CF" w:rsidR="00BE5E33" w:rsidRPr="00FC2211" w:rsidRDefault="00BE5E33" w:rsidP="00BE5E33">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42,280 </w:t>
            </w:r>
          </w:p>
        </w:tc>
      </w:tr>
      <w:tr w:rsidR="00BE5E33" w:rsidRPr="00FC2211" w14:paraId="09C65384" w14:textId="77777777" w:rsidTr="00BE5E33">
        <w:trPr>
          <w:trHeight w:val="276"/>
          <w:jc w:val="center"/>
        </w:trPr>
        <w:tc>
          <w:tcPr>
            <w:tcW w:w="3680" w:type="dxa"/>
            <w:tcBorders>
              <w:top w:val="nil"/>
              <w:left w:val="nil"/>
              <w:bottom w:val="nil"/>
              <w:right w:val="nil"/>
            </w:tcBorders>
            <w:shd w:val="clear" w:color="auto" w:fill="auto"/>
            <w:vAlign w:val="center"/>
            <w:hideMark/>
          </w:tcPr>
          <w:p w14:paraId="38193A75" w14:textId="77777777" w:rsidR="00BE5E33" w:rsidRPr="00FC2211" w:rsidRDefault="00BE5E33" w:rsidP="00BE5E33">
            <w:pPr>
              <w:rPr>
                <w:rFonts w:ascii="Calibri" w:hAnsi="Calibri" w:cs="Calibri"/>
                <w:color w:val="000000"/>
                <w:szCs w:val="20"/>
                <w:lang w:val="en-CA" w:eastAsia="en-CA"/>
              </w:rPr>
            </w:pPr>
            <w:r w:rsidRPr="00FC2211">
              <w:rPr>
                <w:rFonts w:ascii="Calibri" w:hAnsi="Calibri" w:cs="Calibri"/>
                <w:color w:val="000000"/>
                <w:szCs w:val="20"/>
                <w:lang w:val="en-CA" w:eastAsia="en-CA"/>
              </w:rPr>
              <w:t>One to five years</w:t>
            </w:r>
          </w:p>
        </w:tc>
        <w:tc>
          <w:tcPr>
            <w:tcW w:w="2132" w:type="dxa"/>
            <w:tcBorders>
              <w:top w:val="nil"/>
              <w:left w:val="nil"/>
              <w:bottom w:val="nil"/>
              <w:right w:val="nil"/>
            </w:tcBorders>
            <w:shd w:val="clear" w:color="auto" w:fill="auto"/>
            <w:vAlign w:val="center"/>
            <w:hideMark/>
          </w:tcPr>
          <w:p w14:paraId="3AE46F2C" w14:textId="2E8C057A" w:rsidR="00BE5E33" w:rsidRPr="00FC2211" w:rsidRDefault="00BE5E33" w:rsidP="00BE5E33">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214BC7" w:rsidRPr="00FC2211">
              <w:rPr>
                <w:rFonts w:ascii="Calibri" w:hAnsi="Calibri" w:cs="Calibri"/>
                <w:b/>
                <w:bCs/>
                <w:color w:val="000000"/>
                <w:szCs w:val="20"/>
                <w:lang w:val="en-CA" w:eastAsia="en-CA"/>
              </w:rPr>
              <w:t>7,140</w:t>
            </w:r>
            <w:r w:rsidRPr="00FC2211">
              <w:rPr>
                <w:rFonts w:ascii="Calibri" w:hAnsi="Calibri" w:cs="Calibri"/>
                <w:b/>
                <w:bCs/>
                <w:color w:val="000000"/>
                <w:szCs w:val="20"/>
                <w:lang w:val="en-CA" w:eastAsia="en-CA"/>
              </w:rPr>
              <w:t xml:space="preserve"> </w:t>
            </w:r>
          </w:p>
        </w:tc>
        <w:tc>
          <w:tcPr>
            <w:tcW w:w="1528" w:type="dxa"/>
            <w:tcBorders>
              <w:top w:val="nil"/>
              <w:left w:val="nil"/>
              <w:bottom w:val="nil"/>
              <w:right w:val="nil"/>
            </w:tcBorders>
            <w:shd w:val="clear" w:color="auto" w:fill="auto"/>
            <w:vAlign w:val="center"/>
            <w:hideMark/>
          </w:tcPr>
          <w:p w14:paraId="6889CE90" w14:textId="18890BDE" w:rsidR="00BE5E33" w:rsidRPr="00FC2211" w:rsidRDefault="00BE5E33" w:rsidP="00BE5E33">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28,560 </w:t>
            </w:r>
          </w:p>
        </w:tc>
      </w:tr>
      <w:tr w:rsidR="00BE5E33" w:rsidRPr="00FC2211" w14:paraId="6FCA1A2E" w14:textId="77777777" w:rsidTr="00BE5E33">
        <w:trPr>
          <w:trHeight w:val="288"/>
          <w:jc w:val="center"/>
        </w:trPr>
        <w:tc>
          <w:tcPr>
            <w:tcW w:w="3680" w:type="dxa"/>
            <w:tcBorders>
              <w:top w:val="single" w:sz="4" w:space="0" w:color="auto"/>
              <w:left w:val="nil"/>
              <w:bottom w:val="single" w:sz="8" w:space="0" w:color="auto"/>
              <w:right w:val="nil"/>
            </w:tcBorders>
            <w:shd w:val="clear" w:color="auto" w:fill="auto"/>
            <w:vAlign w:val="center"/>
            <w:hideMark/>
          </w:tcPr>
          <w:p w14:paraId="187EA355" w14:textId="77777777" w:rsidR="00BE5E33" w:rsidRPr="00FC2211" w:rsidRDefault="00BE5E33" w:rsidP="00BE5E33">
            <w:pPr>
              <w:rPr>
                <w:rFonts w:ascii="Calibri" w:hAnsi="Calibri" w:cs="Calibri"/>
                <w:b/>
                <w:bCs/>
                <w:color w:val="000000"/>
                <w:szCs w:val="20"/>
                <w:lang w:val="en-CA" w:eastAsia="en-CA"/>
              </w:rPr>
            </w:pPr>
            <w:r w:rsidRPr="00FC2211">
              <w:rPr>
                <w:rFonts w:ascii="Calibri" w:hAnsi="Calibri" w:cs="Calibri"/>
                <w:b/>
                <w:bCs/>
                <w:color w:val="000000"/>
                <w:szCs w:val="20"/>
                <w:lang w:val="en-CA" w:eastAsia="en-CA"/>
              </w:rPr>
              <w:t>Total undiscounted lease obligation</w:t>
            </w:r>
          </w:p>
        </w:tc>
        <w:tc>
          <w:tcPr>
            <w:tcW w:w="2132" w:type="dxa"/>
            <w:tcBorders>
              <w:top w:val="single" w:sz="4" w:space="0" w:color="auto"/>
              <w:left w:val="nil"/>
              <w:bottom w:val="single" w:sz="8" w:space="0" w:color="auto"/>
              <w:right w:val="nil"/>
            </w:tcBorders>
            <w:shd w:val="clear" w:color="auto" w:fill="auto"/>
            <w:vAlign w:val="center"/>
            <w:hideMark/>
          </w:tcPr>
          <w:p w14:paraId="4D4CA615" w14:textId="40F27086" w:rsidR="00BE5E33" w:rsidRPr="00FC2211" w:rsidRDefault="00BE5E33" w:rsidP="00BE5E33">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  </w:t>
            </w:r>
            <w:r w:rsidR="00D77FC8" w:rsidRPr="00FC2211">
              <w:rPr>
                <w:rFonts w:ascii="Calibri" w:hAnsi="Calibri" w:cs="Calibri"/>
                <w:b/>
                <w:bCs/>
                <w:color w:val="000000"/>
                <w:szCs w:val="20"/>
                <w:lang w:val="en-CA" w:eastAsia="en-CA"/>
              </w:rPr>
              <w:t>49,840</w:t>
            </w:r>
            <w:r w:rsidRPr="00FC2211">
              <w:rPr>
                <w:rFonts w:ascii="Calibri" w:hAnsi="Calibri" w:cs="Calibri"/>
                <w:b/>
                <w:bCs/>
                <w:color w:val="000000"/>
                <w:szCs w:val="20"/>
                <w:lang w:val="en-CA" w:eastAsia="en-CA"/>
              </w:rPr>
              <w:t xml:space="preserve"> </w:t>
            </w:r>
          </w:p>
        </w:tc>
        <w:tc>
          <w:tcPr>
            <w:tcW w:w="1528" w:type="dxa"/>
            <w:tcBorders>
              <w:top w:val="single" w:sz="4" w:space="0" w:color="auto"/>
              <w:left w:val="nil"/>
              <w:bottom w:val="single" w:sz="8" w:space="0" w:color="auto"/>
              <w:right w:val="nil"/>
            </w:tcBorders>
            <w:shd w:val="clear" w:color="auto" w:fill="auto"/>
            <w:vAlign w:val="center"/>
            <w:hideMark/>
          </w:tcPr>
          <w:p w14:paraId="108C41EF" w14:textId="5C98FCD1" w:rsidR="00BE5E33" w:rsidRPr="00FC2211" w:rsidRDefault="00BE5E33" w:rsidP="00BE5E33">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  70,840 </w:t>
            </w:r>
          </w:p>
        </w:tc>
      </w:tr>
    </w:tbl>
    <w:p w14:paraId="492A9B53" w14:textId="77777777" w:rsidR="00566385" w:rsidRPr="00FC2211" w:rsidRDefault="00566385" w:rsidP="002B36BD">
      <w:pPr>
        <w:tabs>
          <w:tab w:val="left" w:pos="426"/>
        </w:tabs>
        <w:ind w:left="426"/>
        <w:rPr>
          <w:rFonts w:cstheme="minorHAnsi"/>
          <w:szCs w:val="20"/>
          <w:lang w:val="en-GB"/>
        </w:rPr>
      </w:pPr>
    </w:p>
    <w:p w14:paraId="02959732" w14:textId="2CB3DABE" w:rsidR="00624024" w:rsidRPr="00FC2211" w:rsidRDefault="006D57A9" w:rsidP="002B36BD">
      <w:pPr>
        <w:tabs>
          <w:tab w:val="left" w:pos="426"/>
        </w:tabs>
        <w:ind w:left="426"/>
        <w:rPr>
          <w:rFonts w:cstheme="minorHAnsi"/>
          <w:szCs w:val="20"/>
          <w:lang w:val="en-GB"/>
        </w:rPr>
      </w:pPr>
      <w:r w:rsidRPr="00FC2211">
        <w:rPr>
          <w:rFonts w:cstheme="minorHAnsi"/>
          <w:szCs w:val="20"/>
          <w:lang w:val="en-GB"/>
        </w:rPr>
        <w:t>D</w:t>
      </w:r>
      <w:r w:rsidR="00115ED2" w:rsidRPr="00FC2211">
        <w:rPr>
          <w:rFonts w:cstheme="minorHAnsi"/>
          <w:szCs w:val="20"/>
          <w:lang w:val="en-GB"/>
        </w:rPr>
        <w:t xml:space="preserve">uring the </w:t>
      </w:r>
      <w:r w:rsidR="00D77FC8" w:rsidRPr="00FC2211">
        <w:rPr>
          <w:rFonts w:cstheme="minorHAnsi"/>
          <w:szCs w:val="20"/>
          <w:lang w:val="en-GB"/>
        </w:rPr>
        <w:t>six</w:t>
      </w:r>
      <w:r w:rsidR="00BE5E33" w:rsidRPr="00FC2211">
        <w:rPr>
          <w:rFonts w:cstheme="minorHAnsi"/>
          <w:szCs w:val="20"/>
          <w:lang w:val="en-GB"/>
        </w:rPr>
        <w:t xml:space="preserve"> months</w:t>
      </w:r>
      <w:r w:rsidR="002D0812" w:rsidRPr="00FC2211">
        <w:rPr>
          <w:rFonts w:cstheme="minorHAnsi"/>
          <w:szCs w:val="20"/>
          <w:lang w:val="en-GB"/>
        </w:rPr>
        <w:t xml:space="preserve"> </w:t>
      </w:r>
      <w:r w:rsidR="00FB780D" w:rsidRPr="00FC2211">
        <w:rPr>
          <w:rFonts w:cstheme="minorHAnsi"/>
          <w:szCs w:val="20"/>
          <w:lang w:val="en-GB"/>
        </w:rPr>
        <w:t xml:space="preserve">ended </w:t>
      </w:r>
      <w:r w:rsidR="00D77FC8" w:rsidRPr="00FC2211">
        <w:rPr>
          <w:rFonts w:cstheme="minorHAnsi"/>
          <w:szCs w:val="20"/>
          <w:lang w:val="en-GB"/>
        </w:rPr>
        <w:t>December 31</w:t>
      </w:r>
      <w:r w:rsidR="00417438" w:rsidRPr="00FC2211">
        <w:rPr>
          <w:rFonts w:cstheme="minorHAnsi"/>
          <w:szCs w:val="20"/>
          <w:lang w:val="en-GB"/>
        </w:rPr>
        <w:t>, 202</w:t>
      </w:r>
      <w:r w:rsidR="00943311" w:rsidRPr="00FC2211">
        <w:rPr>
          <w:rFonts w:cstheme="minorHAnsi"/>
          <w:szCs w:val="20"/>
          <w:lang w:val="en-GB"/>
        </w:rPr>
        <w:t>3</w:t>
      </w:r>
      <w:r w:rsidR="00115ED2" w:rsidRPr="00FC2211">
        <w:rPr>
          <w:rFonts w:cstheme="minorHAnsi"/>
          <w:szCs w:val="20"/>
          <w:lang w:val="en-GB"/>
        </w:rPr>
        <w:t>, the Company expensed $</w:t>
      </w:r>
      <w:r w:rsidR="00311553" w:rsidRPr="00FC2211">
        <w:rPr>
          <w:rFonts w:cstheme="minorHAnsi"/>
          <w:szCs w:val="20"/>
          <w:lang w:val="en-GB"/>
        </w:rPr>
        <w:t>21,800</w:t>
      </w:r>
      <w:r w:rsidR="00503059" w:rsidRPr="00FC2211">
        <w:rPr>
          <w:rFonts w:cstheme="minorHAnsi"/>
          <w:szCs w:val="20"/>
          <w:lang w:val="en-GB"/>
        </w:rPr>
        <w:t xml:space="preserve"> </w:t>
      </w:r>
      <w:r w:rsidR="00115ED2" w:rsidRPr="00FC2211">
        <w:rPr>
          <w:rFonts w:cstheme="minorHAnsi"/>
          <w:szCs w:val="20"/>
          <w:lang w:val="en-GB"/>
        </w:rPr>
        <w:t>in short</w:t>
      </w:r>
      <w:r w:rsidR="00F953D9" w:rsidRPr="00FC2211">
        <w:rPr>
          <w:rFonts w:cstheme="minorHAnsi"/>
          <w:szCs w:val="20"/>
          <w:lang w:val="en-GB"/>
        </w:rPr>
        <w:t>-</w:t>
      </w:r>
      <w:r w:rsidR="00115ED2" w:rsidRPr="00FC2211">
        <w:rPr>
          <w:rFonts w:cstheme="minorHAnsi"/>
          <w:szCs w:val="20"/>
          <w:lang w:val="en-GB"/>
        </w:rPr>
        <w:t xml:space="preserve">term and </w:t>
      </w:r>
      <w:r w:rsidR="00D02C78" w:rsidRPr="00FC2211">
        <w:rPr>
          <w:rFonts w:cstheme="minorHAnsi"/>
          <w:szCs w:val="20"/>
          <w:lang w:val="en-GB"/>
        </w:rPr>
        <w:t>low-value</w:t>
      </w:r>
      <w:r w:rsidR="00115ED2" w:rsidRPr="00FC2211">
        <w:rPr>
          <w:rFonts w:cstheme="minorHAnsi"/>
          <w:szCs w:val="20"/>
          <w:lang w:val="en-GB"/>
        </w:rPr>
        <w:t xml:space="preserve"> leases</w:t>
      </w:r>
      <w:r w:rsidR="007442A6" w:rsidRPr="00FC2211">
        <w:rPr>
          <w:rFonts w:cstheme="minorHAnsi"/>
          <w:szCs w:val="20"/>
          <w:lang w:val="en-GB"/>
        </w:rPr>
        <w:t xml:space="preserve"> (</w:t>
      </w:r>
      <w:r w:rsidR="00AD01A7" w:rsidRPr="00FC2211">
        <w:rPr>
          <w:rFonts w:cstheme="minorHAnsi"/>
          <w:szCs w:val="20"/>
          <w:lang w:val="en-GB"/>
        </w:rPr>
        <w:t>December 31</w:t>
      </w:r>
      <w:r w:rsidR="00E11176" w:rsidRPr="00FC2211">
        <w:rPr>
          <w:rFonts w:cstheme="minorHAnsi"/>
          <w:szCs w:val="20"/>
          <w:lang w:val="en-GB"/>
        </w:rPr>
        <w:t>, 202</w:t>
      </w:r>
      <w:r w:rsidR="009162EE" w:rsidRPr="00FC2211">
        <w:rPr>
          <w:rFonts w:cstheme="minorHAnsi"/>
          <w:szCs w:val="20"/>
          <w:lang w:val="en-GB"/>
        </w:rPr>
        <w:t>2</w:t>
      </w:r>
      <w:r w:rsidR="007442A6" w:rsidRPr="00FC2211">
        <w:rPr>
          <w:rFonts w:cstheme="minorHAnsi"/>
          <w:szCs w:val="20"/>
          <w:lang w:val="en-GB"/>
        </w:rPr>
        <w:t xml:space="preserve"> – $</w:t>
      </w:r>
      <w:r w:rsidR="00311553" w:rsidRPr="00FC2211">
        <w:rPr>
          <w:rFonts w:cstheme="minorHAnsi"/>
          <w:szCs w:val="20"/>
          <w:lang w:val="en-GB"/>
        </w:rPr>
        <w:t>19,056</w:t>
      </w:r>
      <w:r w:rsidR="007442A6" w:rsidRPr="00FC2211">
        <w:rPr>
          <w:rFonts w:cstheme="minorHAnsi"/>
          <w:szCs w:val="20"/>
          <w:lang w:val="en-GB"/>
        </w:rPr>
        <w:t>)</w:t>
      </w:r>
      <w:r w:rsidR="00115ED2" w:rsidRPr="00FC2211">
        <w:rPr>
          <w:rFonts w:cstheme="minorHAnsi"/>
          <w:szCs w:val="20"/>
          <w:lang w:val="en-GB"/>
        </w:rPr>
        <w:t>.</w:t>
      </w:r>
    </w:p>
    <w:p w14:paraId="71F6AF8B" w14:textId="77777777" w:rsidR="00E9211A" w:rsidRPr="00FC2211" w:rsidRDefault="00E9211A" w:rsidP="00E9211A">
      <w:pPr>
        <w:tabs>
          <w:tab w:val="right" w:pos="10080"/>
        </w:tabs>
        <w:rPr>
          <w:rFonts w:cstheme="minorHAnsi"/>
          <w:b/>
          <w:bCs/>
          <w:szCs w:val="20"/>
          <w:lang w:val="en-GB"/>
        </w:rPr>
      </w:pPr>
    </w:p>
    <w:p w14:paraId="142544EF" w14:textId="2AEBD9FA" w:rsidR="00794B55" w:rsidRPr="00FC2211" w:rsidRDefault="00351BE0" w:rsidP="00351BE0">
      <w:pPr>
        <w:pStyle w:val="Heading1"/>
        <w:rPr>
          <w:lang w:val="en-GB"/>
        </w:rPr>
      </w:pPr>
      <w:bookmarkStart w:id="11" w:name="_Hlk95893495"/>
      <w:r w:rsidRPr="00FC2211">
        <w:rPr>
          <w:lang w:val="en-GB"/>
        </w:rPr>
        <w:t>22</w:t>
      </w:r>
      <w:r w:rsidR="00714F68">
        <w:rPr>
          <w:lang w:val="en-GB"/>
        </w:rPr>
        <w:t>.</w:t>
      </w:r>
      <w:r w:rsidRPr="00FC2211">
        <w:rPr>
          <w:lang w:val="en-GB"/>
        </w:rPr>
        <w:t xml:space="preserve"> </w:t>
      </w:r>
      <w:r w:rsidR="00E0783F" w:rsidRPr="00FC2211">
        <w:rPr>
          <w:lang w:val="en-GB"/>
        </w:rPr>
        <w:t xml:space="preserve">  </w:t>
      </w:r>
      <w:r w:rsidR="00794B55" w:rsidRPr="00FC2211">
        <w:rPr>
          <w:lang w:val="en-GB"/>
        </w:rPr>
        <w:t>SEGMENTED INFO</w:t>
      </w:r>
      <w:r w:rsidR="005B4ECC" w:rsidRPr="00FC2211">
        <w:rPr>
          <w:lang w:val="en-GB"/>
        </w:rPr>
        <w:t>RMATION</w:t>
      </w:r>
      <w:r w:rsidR="004035DA" w:rsidRPr="00FC2211">
        <w:rPr>
          <w:lang w:val="en-GB"/>
        </w:rPr>
        <w:t xml:space="preserve"> </w:t>
      </w:r>
    </w:p>
    <w:bookmarkEnd w:id="11"/>
    <w:p w14:paraId="74D23AB2" w14:textId="77777777" w:rsidR="003829B3" w:rsidRPr="00FC2211" w:rsidRDefault="003829B3" w:rsidP="002B36BD">
      <w:pPr>
        <w:ind w:left="426" w:firstLine="1"/>
        <w:rPr>
          <w:rFonts w:cstheme="minorHAnsi"/>
          <w:szCs w:val="20"/>
          <w:lang w:val="en-GB"/>
        </w:rPr>
      </w:pPr>
    </w:p>
    <w:p w14:paraId="4022AF82" w14:textId="5B1E44D9" w:rsidR="00B65585" w:rsidRPr="00FC2211" w:rsidRDefault="005924E9" w:rsidP="00D02C78">
      <w:pPr>
        <w:ind w:left="426" w:firstLine="1"/>
        <w:jc w:val="both"/>
        <w:rPr>
          <w:rFonts w:cstheme="minorHAnsi"/>
          <w:szCs w:val="20"/>
          <w:lang w:val="en-GB"/>
        </w:rPr>
      </w:pPr>
      <w:r w:rsidRPr="00FC2211">
        <w:rPr>
          <w:rFonts w:cstheme="minorHAnsi"/>
          <w:szCs w:val="20"/>
          <w:lang w:val="en-GB"/>
        </w:rPr>
        <w:t>T</w:t>
      </w:r>
      <w:r w:rsidR="00B65585" w:rsidRPr="00FC2211">
        <w:rPr>
          <w:rFonts w:cstheme="minorHAnsi"/>
          <w:szCs w:val="20"/>
          <w:lang w:val="en-GB"/>
        </w:rPr>
        <w:t xml:space="preserve">he Company has </w:t>
      </w:r>
      <w:r w:rsidRPr="00FC2211">
        <w:rPr>
          <w:rFonts w:cstheme="minorHAnsi"/>
          <w:szCs w:val="20"/>
          <w:lang w:val="en-GB"/>
        </w:rPr>
        <w:t xml:space="preserve">the following </w:t>
      </w:r>
      <w:r w:rsidR="00B65585" w:rsidRPr="00FC2211">
        <w:rPr>
          <w:rFonts w:cstheme="minorHAnsi"/>
          <w:szCs w:val="20"/>
          <w:lang w:val="en-GB"/>
        </w:rPr>
        <w:t xml:space="preserve">reporting segments: corporate and </w:t>
      </w:r>
      <w:r w:rsidR="001548F0" w:rsidRPr="00FC2211">
        <w:rPr>
          <w:rFonts w:cstheme="minorHAnsi"/>
          <w:szCs w:val="20"/>
          <w:lang w:val="en-GB"/>
        </w:rPr>
        <w:t>administration</w:t>
      </w:r>
      <w:r w:rsidR="003556B9" w:rsidRPr="00FC2211">
        <w:rPr>
          <w:rFonts w:cstheme="minorHAnsi"/>
          <w:szCs w:val="20"/>
          <w:lang w:val="en-GB"/>
        </w:rPr>
        <w:t>,</w:t>
      </w:r>
      <w:r w:rsidR="00B65585" w:rsidRPr="00FC2211">
        <w:rPr>
          <w:rFonts w:cstheme="minorHAnsi"/>
          <w:szCs w:val="20"/>
          <w:lang w:val="en-GB"/>
        </w:rPr>
        <w:t xml:space="preserve"> </w:t>
      </w:r>
      <w:r w:rsidR="00CE3F66" w:rsidRPr="00FC2211">
        <w:rPr>
          <w:rFonts w:cstheme="minorHAnsi"/>
          <w:szCs w:val="20"/>
          <w:lang w:val="en-GB"/>
        </w:rPr>
        <w:t>loss prevention</w:t>
      </w:r>
      <w:r w:rsidR="00B25DDB" w:rsidRPr="00FC2211">
        <w:rPr>
          <w:rFonts w:cstheme="minorHAnsi"/>
          <w:szCs w:val="20"/>
          <w:lang w:val="en-GB"/>
        </w:rPr>
        <w:t xml:space="preserve">, </w:t>
      </w:r>
      <w:r w:rsidR="002E5A41" w:rsidRPr="00FC2211">
        <w:rPr>
          <w:rFonts w:cstheme="minorHAnsi"/>
          <w:szCs w:val="20"/>
          <w:lang w:val="en-GB"/>
        </w:rPr>
        <w:t>retail media</w:t>
      </w:r>
      <w:r w:rsidR="00C83304" w:rsidRPr="00FC2211">
        <w:rPr>
          <w:rFonts w:cstheme="minorHAnsi"/>
          <w:szCs w:val="20"/>
          <w:lang w:val="en-GB"/>
        </w:rPr>
        <w:t>,</w:t>
      </w:r>
      <w:r w:rsidR="00276AFD" w:rsidRPr="00FC2211">
        <w:rPr>
          <w:rFonts w:cstheme="minorHAnsi"/>
          <w:szCs w:val="20"/>
          <w:lang w:val="en-GB"/>
        </w:rPr>
        <w:t xml:space="preserve"> and </w:t>
      </w:r>
      <w:r w:rsidR="00CE3F66" w:rsidRPr="00FC2211">
        <w:rPr>
          <w:rFonts w:cstheme="minorHAnsi"/>
          <w:szCs w:val="20"/>
          <w:lang w:val="en-GB"/>
        </w:rPr>
        <w:t>fabrication</w:t>
      </w:r>
      <w:r w:rsidR="00B65585" w:rsidRPr="00FC2211">
        <w:rPr>
          <w:rFonts w:cstheme="minorHAnsi"/>
          <w:szCs w:val="20"/>
          <w:lang w:val="en-GB"/>
        </w:rPr>
        <w:t xml:space="preserve">. </w:t>
      </w:r>
    </w:p>
    <w:p w14:paraId="0DB3D6FC" w14:textId="77777777" w:rsidR="00B65585" w:rsidRPr="00FC2211" w:rsidRDefault="00276AFD" w:rsidP="00D02C78">
      <w:pPr>
        <w:ind w:left="426"/>
        <w:jc w:val="both"/>
        <w:rPr>
          <w:rFonts w:cstheme="minorHAnsi"/>
          <w:szCs w:val="20"/>
          <w:lang w:val="en-GB"/>
        </w:rPr>
      </w:pPr>
      <w:r w:rsidRPr="00FC2211">
        <w:rPr>
          <w:rFonts w:cstheme="minorHAnsi"/>
          <w:szCs w:val="20"/>
          <w:lang w:val="en-GB"/>
        </w:rPr>
        <w:tab/>
      </w:r>
      <w:r w:rsidRPr="00FC2211">
        <w:rPr>
          <w:rFonts w:cstheme="minorHAnsi"/>
          <w:szCs w:val="20"/>
          <w:lang w:val="en-GB"/>
        </w:rPr>
        <w:tab/>
      </w:r>
    </w:p>
    <w:p w14:paraId="474B4355" w14:textId="23005325" w:rsidR="006364BA" w:rsidRPr="00FC2211" w:rsidRDefault="00B65585" w:rsidP="00D02C78">
      <w:pPr>
        <w:ind w:left="426"/>
        <w:jc w:val="both"/>
        <w:rPr>
          <w:rFonts w:cstheme="minorHAnsi"/>
          <w:szCs w:val="20"/>
          <w:lang w:val="en-GB"/>
        </w:rPr>
      </w:pPr>
      <w:r w:rsidRPr="00FC2211">
        <w:rPr>
          <w:rFonts w:cstheme="minorHAnsi"/>
          <w:szCs w:val="20"/>
          <w:lang w:val="en-GB"/>
        </w:rPr>
        <w:t xml:space="preserve">Reportable segments are defined as components of an enterprise </w:t>
      </w:r>
      <w:r w:rsidR="009F3B3A" w:rsidRPr="00FC2211">
        <w:rPr>
          <w:rFonts w:cstheme="minorHAnsi"/>
          <w:szCs w:val="20"/>
          <w:lang w:val="en-GB"/>
        </w:rPr>
        <w:t xml:space="preserve">for </w:t>
      </w:r>
      <w:r w:rsidRPr="00FC2211">
        <w:rPr>
          <w:rFonts w:cstheme="minorHAnsi"/>
          <w:szCs w:val="20"/>
          <w:lang w:val="en-GB"/>
        </w:rPr>
        <w:t xml:space="preserve">which separate financial information is </w:t>
      </w:r>
      <w:r w:rsidR="00DA2EFA" w:rsidRPr="00FC2211">
        <w:rPr>
          <w:rFonts w:cstheme="minorHAnsi"/>
          <w:szCs w:val="20"/>
          <w:lang w:val="en-GB"/>
        </w:rPr>
        <w:t>available</w:t>
      </w:r>
      <w:r w:rsidR="00C83304" w:rsidRPr="00FC2211">
        <w:rPr>
          <w:rFonts w:cstheme="minorHAnsi"/>
          <w:szCs w:val="20"/>
          <w:lang w:val="en-GB"/>
        </w:rPr>
        <w:t>. They are</w:t>
      </w:r>
      <w:r w:rsidRPr="00FC2211">
        <w:rPr>
          <w:rFonts w:cstheme="minorHAnsi"/>
          <w:szCs w:val="20"/>
          <w:lang w:val="en-GB"/>
        </w:rPr>
        <w:t xml:space="preserve"> evaluated regularly by the chief operating decision maker </w:t>
      </w:r>
      <w:r w:rsidR="00EF4733" w:rsidRPr="00FC2211">
        <w:rPr>
          <w:rFonts w:cstheme="minorHAnsi"/>
          <w:szCs w:val="20"/>
          <w:lang w:val="en-GB"/>
        </w:rPr>
        <w:t>when</w:t>
      </w:r>
      <w:r w:rsidRPr="00FC2211">
        <w:rPr>
          <w:rFonts w:cstheme="minorHAnsi"/>
          <w:szCs w:val="20"/>
          <w:lang w:val="en-GB"/>
        </w:rPr>
        <w:t xml:space="preserve"> deciding how to allocate resources and </w:t>
      </w:r>
      <w:r w:rsidR="00C83304" w:rsidRPr="00FC2211">
        <w:rPr>
          <w:rFonts w:cstheme="minorHAnsi"/>
          <w:szCs w:val="20"/>
          <w:lang w:val="en-GB"/>
        </w:rPr>
        <w:t>assess</w:t>
      </w:r>
      <w:r w:rsidRPr="00FC2211">
        <w:rPr>
          <w:rFonts w:cstheme="minorHAnsi"/>
          <w:szCs w:val="20"/>
          <w:lang w:val="en-GB"/>
        </w:rPr>
        <w:t xml:space="preserve"> performance.</w:t>
      </w:r>
      <w:r w:rsidR="005B4ECC" w:rsidRPr="00FC2211">
        <w:rPr>
          <w:rFonts w:cstheme="minorHAnsi"/>
          <w:szCs w:val="20"/>
          <w:lang w:val="en-GB"/>
        </w:rPr>
        <w:t xml:space="preserve"> </w:t>
      </w:r>
      <w:r w:rsidR="006364BA" w:rsidRPr="00FC2211">
        <w:rPr>
          <w:rFonts w:cstheme="minorHAnsi"/>
          <w:szCs w:val="20"/>
          <w:lang w:val="en-GB"/>
        </w:rPr>
        <w:br w:type="page"/>
      </w:r>
    </w:p>
    <w:p w14:paraId="33EEC4F2" w14:textId="35161480" w:rsidR="006364BA" w:rsidRPr="00FC2211" w:rsidRDefault="006364BA" w:rsidP="006364BA">
      <w:pPr>
        <w:pStyle w:val="Heading1"/>
        <w:rPr>
          <w:lang w:val="en-GB"/>
        </w:rPr>
      </w:pPr>
      <w:r w:rsidRPr="00FC2211">
        <w:rPr>
          <w:lang w:val="en-GB"/>
        </w:rPr>
        <w:lastRenderedPageBreak/>
        <w:t>22</w:t>
      </w:r>
      <w:r w:rsidR="00714F68">
        <w:rPr>
          <w:lang w:val="en-GB"/>
        </w:rPr>
        <w:t>.</w:t>
      </w:r>
      <w:r w:rsidRPr="00FC2211">
        <w:rPr>
          <w:lang w:val="en-GB"/>
        </w:rPr>
        <w:t xml:space="preserve">   SEGMENTED INFORMATION (CONTINUED)</w:t>
      </w:r>
    </w:p>
    <w:p w14:paraId="1E033E69" w14:textId="77777777" w:rsidR="006364BA" w:rsidRPr="00FC2211" w:rsidRDefault="006364BA" w:rsidP="00A31793">
      <w:pPr>
        <w:ind w:left="426"/>
        <w:jc w:val="both"/>
        <w:rPr>
          <w:rFonts w:cstheme="minorHAnsi"/>
          <w:szCs w:val="20"/>
          <w:lang w:val="en-GB"/>
        </w:rPr>
      </w:pPr>
    </w:p>
    <w:p w14:paraId="609B4BC8" w14:textId="1A6428E5" w:rsidR="00984917" w:rsidRPr="00FC2211" w:rsidRDefault="005B4ECC" w:rsidP="00A31793">
      <w:pPr>
        <w:ind w:left="426"/>
        <w:jc w:val="both"/>
        <w:rPr>
          <w:rFonts w:cstheme="minorHAnsi"/>
          <w:szCs w:val="20"/>
          <w:lang w:val="en-GB"/>
        </w:rPr>
      </w:pPr>
      <w:r w:rsidRPr="00FC2211">
        <w:rPr>
          <w:rFonts w:cstheme="minorHAnsi"/>
          <w:szCs w:val="20"/>
          <w:lang w:val="en-GB"/>
        </w:rPr>
        <w:t xml:space="preserve">The reportable segments were determined based on the nature of the services provided and goods sold. Loss Prevention refers to sales of </w:t>
      </w:r>
      <w:r w:rsidR="00C22882" w:rsidRPr="00FC2211">
        <w:rPr>
          <w:rFonts w:cstheme="minorHAnsi"/>
          <w:szCs w:val="20"/>
          <w:lang w:val="en-GB"/>
        </w:rPr>
        <w:t xml:space="preserve">security technology, </w:t>
      </w:r>
      <w:r w:rsidR="00D25148" w:rsidRPr="00FC2211">
        <w:rPr>
          <w:rFonts w:cstheme="minorHAnsi"/>
          <w:szCs w:val="20"/>
          <w:lang w:val="en-GB"/>
        </w:rPr>
        <w:t>electronic article surveillance systems</w:t>
      </w:r>
      <w:r w:rsidR="002B484B" w:rsidRPr="00FC2211">
        <w:rPr>
          <w:rFonts w:cstheme="minorHAnsi"/>
          <w:szCs w:val="20"/>
          <w:lang w:val="en-GB"/>
        </w:rPr>
        <w:t>,</w:t>
      </w:r>
      <w:r w:rsidR="00D25148" w:rsidRPr="00FC2211">
        <w:rPr>
          <w:rFonts w:cstheme="minorHAnsi"/>
          <w:szCs w:val="20"/>
          <w:lang w:val="en-GB"/>
        </w:rPr>
        <w:t xml:space="preserve"> and</w:t>
      </w:r>
      <w:r w:rsidR="002F47C0" w:rsidRPr="00FC2211">
        <w:rPr>
          <w:rFonts w:cstheme="minorHAnsi"/>
          <w:szCs w:val="20"/>
          <w:lang w:val="en-GB"/>
        </w:rPr>
        <w:t xml:space="preserve"> </w:t>
      </w:r>
      <w:r w:rsidR="00922E2A" w:rsidRPr="00FC2211">
        <w:rPr>
          <w:rFonts w:cstheme="minorHAnsi"/>
          <w:szCs w:val="20"/>
          <w:lang w:val="en-GB"/>
        </w:rPr>
        <w:t>supplies</w:t>
      </w:r>
      <w:r w:rsidR="00D70FB5" w:rsidRPr="00FC2211">
        <w:rPr>
          <w:rFonts w:cstheme="minorHAnsi"/>
          <w:szCs w:val="20"/>
          <w:lang w:val="en-GB"/>
        </w:rPr>
        <w:t>.</w:t>
      </w:r>
      <w:r w:rsidR="00C22882" w:rsidRPr="00FC2211">
        <w:rPr>
          <w:rFonts w:cstheme="minorHAnsi"/>
          <w:szCs w:val="20"/>
          <w:lang w:val="en-GB"/>
        </w:rPr>
        <w:t xml:space="preserve"> Fabrication</w:t>
      </w:r>
      <w:r w:rsidR="00DB647A" w:rsidRPr="00FC2211">
        <w:rPr>
          <w:rFonts w:cstheme="minorHAnsi"/>
          <w:szCs w:val="20"/>
          <w:lang w:val="en-GB"/>
        </w:rPr>
        <w:t xml:space="preserve"> specializes in </w:t>
      </w:r>
      <w:r w:rsidR="00970AA3" w:rsidRPr="00FC2211">
        <w:rPr>
          <w:rFonts w:cstheme="minorHAnsi"/>
          <w:szCs w:val="20"/>
          <w:lang w:val="en-GB"/>
        </w:rPr>
        <w:t xml:space="preserve">precision </w:t>
      </w:r>
      <w:r w:rsidR="00211ACD" w:rsidRPr="00FC2211">
        <w:rPr>
          <w:rFonts w:cstheme="minorHAnsi"/>
          <w:szCs w:val="20"/>
          <w:lang w:val="en-GB"/>
        </w:rPr>
        <w:t>CNC</w:t>
      </w:r>
      <w:r w:rsidR="00C22882" w:rsidRPr="00FC2211">
        <w:rPr>
          <w:rFonts w:cstheme="minorHAnsi"/>
          <w:szCs w:val="20"/>
          <w:lang w:val="en-GB"/>
        </w:rPr>
        <w:t xml:space="preserve"> cutting, </w:t>
      </w:r>
      <w:r w:rsidR="00DB647A" w:rsidRPr="00FC2211">
        <w:rPr>
          <w:rFonts w:cstheme="minorHAnsi"/>
          <w:szCs w:val="20"/>
          <w:lang w:val="en-GB"/>
        </w:rPr>
        <w:t>routing</w:t>
      </w:r>
      <w:r w:rsidR="002B484B" w:rsidRPr="00FC2211">
        <w:rPr>
          <w:rFonts w:cstheme="minorHAnsi"/>
          <w:szCs w:val="20"/>
          <w:lang w:val="en-GB"/>
        </w:rPr>
        <w:t>,</w:t>
      </w:r>
      <w:r w:rsidR="00DB647A" w:rsidRPr="00FC2211">
        <w:rPr>
          <w:rFonts w:cstheme="minorHAnsi"/>
          <w:szCs w:val="20"/>
          <w:lang w:val="en-GB"/>
        </w:rPr>
        <w:t xml:space="preserve"> and drilling for </w:t>
      </w:r>
      <w:r w:rsidR="00C83304" w:rsidRPr="00FC2211">
        <w:rPr>
          <w:rFonts w:cstheme="minorHAnsi"/>
          <w:szCs w:val="20"/>
          <w:lang w:val="en-GB"/>
        </w:rPr>
        <w:t>various</w:t>
      </w:r>
      <w:r w:rsidR="00DB647A" w:rsidRPr="00FC2211">
        <w:rPr>
          <w:rFonts w:cstheme="minorHAnsi"/>
          <w:szCs w:val="20"/>
          <w:lang w:val="en-GB"/>
        </w:rPr>
        <w:t xml:space="preserve"> industries and sectors.</w:t>
      </w:r>
      <w:r w:rsidR="009463E5" w:rsidRPr="00FC2211">
        <w:rPr>
          <w:rFonts w:cstheme="minorHAnsi"/>
          <w:szCs w:val="20"/>
          <w:lang w:val="en-GB"/>
        </w:rPr>
        <w:t xml:space="preserve"> Retail media refers to advertising services</w:t>
      </w:r>
      <w:r w:rsidR="00631D70" w:rsidRPr="00FC2211">
        <w:rPr>
          <w:rFonts w:cstheme="minorHAnsi"/>
          <w:szCs w:val="20"/>
          <w:lang w:val="en-GB"/>
        </w:rPr>
        <w:t>.</w:t>
      </w:r>
    </w:p>
    <w:p w14:paraId="7B15C1E4" w14:textId="77777777" w:rsidR="00A31793" w:rsidRPr="00FC2211" w:rsidRDefault="00A31793" w:rsidP="00A31793">
      <w:pPr>
        <w:ind w:left="426"/>
        <w:jc w:val="both"/>
        <w:rPr>
          <w:rFonts w:cstheme="minorHAnsi"/>
          <w:szCs w:val="20"/>
          <w:lang w:val="en-GB"/>
        </w:rPr>
      </w:pPr>
    </w:p>
    <w:tbl>
      <w:tblPr>
        <w:tblW w:w="9639" w:type="dxa"/>
        <w:jc w:val="center"/>
        <w:tblLook w:val="04A0" w:firstRow="1" w:lastRow="0" w:firstColumn="1" w:lastColumn="0" w:noHBand="0" w:noVBand="1"/>
      </w:tblPr>
      <w:tblGrid>
        <w:gridCol w:w="2835"/>
        <w:gridCol w:w="1082"/>
        <w:gridCol w:w="1559"/>
        <w:gridCol w:w="1418"/>
        <w:gridCol w:w="1417"/>
        <w:gridCol w:w="1328"/>
      </w:tblGrid>
      <w:tr w:rsidR="00C1655F" w:rsidRPr="00FC2211" w14:paraId="20062D34" w14:textId="77777777" w:rsidTr="00C1655F">
        <w:trPr>
          <w:trHeight w:val="288"/>
          <w:jc w:val="center"/>
        </w:trPr>
        <w:tc>
          <w:tcPr>
            <w:tcW w:w="2835" w:type="dxa"/>
            <w:tcBorders>
              <w:top w:val="nil"/>
              <w:left w:val="nil"/>
              <w:bottom w:val="single" w:sz="8" w:space="0" w:color="auto"/>
              <w:right w:val="nil"/>
            </w:tcBorders>
            <w:shd w:val="clear" w:color="auto" w:fill="auto"/>
            <w:noWrap/>
            <w:vAlign w:val="center"/>
            <w:hideMark/>
          </w:tcPr>
          <w:p w14:paraId="31943043" w14:textId="77777777" w:rsidR="00C1655F" w:rsidRPr="00FC2211" w:rsidRDefault="00C1655F" w:rsidP="008B4A34">
            <w:pPr>
              <w:jc w:val="both"/>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w:t>
            </w:r>
          </w:p>
        </w:tc>
        <w:tc>
          <w:tcPr>
            <w:tcW w:w="1082" w:type="dxa"/>
            <w:tcBorders>
              <w:top w:val="nil"/>
              <w:left w:val="nil"/>
              <w:bottom w:val="single" w:sz="8" w:space="0" w:color="auto"/>
              <w:right w:val="nil"/>
            </w:tcBorders>
            <w:shd w:val="clear" w:color="auto" w:fill="auto"/>
            <w:vAlign w:val="center"/>
            <w:hideMark/>
          </w:tcPr>
          <w:p w14:paraId="1D0C4798" w14:textId="77777777" w:rsidR="00C1655F" w:rsidRPr="00FC2211" w:rsidRDefault="00C1655F"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w:t>
            </w:r>
          </w:p>
        </w:tc>
        <w:tc>
          <w:tcPr>
            <w:tcW w:w="1559" w:type="dxa"/>
            <w:tcBorders>
              <w:top w:val="nil"/>
              <w:left w:val="nil"/>
              <w:bottom w:val="single" w:sz="8" w:space="0" w:color="auto"/>
              <w:right w:val="nil"/>
            </w:tcBorders>
            <w:shd w:val="clear" w:color="auto" w:fill="auto"/>
            <w:vAlign w:val="center"/>
            <w:hideMark/>
          </w:tcPr>
          <w:p w14:paraId="7B23501B" w14:textId="77777777" w:rsidR="00C1655F" w:rsidRPr="00FC2211" w:rsidRDefault="00C1655F"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w:t>
            </w:r>
          </w:p>
        </w:tc>
        <w:tc>
          <w:tcPr>
            <w:tcW w:w="4163" w:type="dxa"/>
            <w:gridSpan w:val="3"/>
            <w:tcBorders>
              <w:top w:val="nil"/>
              <w:left w:val="nil"/>
              <w:bottom w:val="single" w:sz="8" w:space="0" w:color="auto"/>
              <w:right w:val="nil"/>
            </w:tcBorders>
            <w:shd w:val="clear" w:color="auto" w:fill="auto"/>
            <w:vAlign w:val="center"/>
            <w:hideMark/>
          </w:tcPr>
          <w:p w14:paraId="60791421" w14:textId="6D5EBFBA" w:rsidR="00C1655F" w:rsidRPr="00FC2211" w:rsidRDefault="00C1655F"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For the six months ended December 31, 2023</w:t>
            </w:r>
          </w:p>
        </w:tc>
      </w:tr>
      <w:tr w:rsidR="00C1655F" w:rsidRPr="00FC2211" w14:paraId="2752AFA8" w14:textId="77777777" w:rsidTr="00C1655F">
        <w:trPr>
          <w:trHeight w:val="480"/>
          <w:jc w:val="center"/>
        </w:trPr>
        <w:tc>
          <w:tcPr>
            <w:tcW w:w="2835" w:type="dxa"/>
            <w:tcBorders>
              <w:top w:val="nil"/>
              <w:left w:val="nil"/>
              <w:bottom w:val="single" w:sz="4" w:space="0" w:color="auto"/>
              <w:right w:val="nil"/>
            </w:tcBorders>
            <w:shd w:val="clear" w:color="auto" w:fill="auto"/>
            <w:vAlign w:val="center"/>
            <w:hideMark/>
          </w:tcPr>
          <w:p w14:paraId="2800D6FE"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w:t>
            </w:r>
          </w:p>
        </w:tc>
        <w:tc>
          <w:tcPr>
            <w:tcW w:w="1082" w:type="dxa"/>
            <w:tcBorders>
              <w:top w:val="nil"/>
              <w:left w:val="nil"/>
              <w:bottom w:val="single" w:sz="4" w:space="0" w:color="auto"/>
              <w:right w:val="nil"/>
            </w:tcBorders>
            <w:shd w:val="clear" w:color="auto" w:fill="auto"/>
            <w:vAlign w:val="center"/>
            <w:hideMark/>
          </w:tcPr>
          <w:p w14:paraId="4344A378" w14:textId="77777777" w:rsidR="008B4A34" w:rsidRPr="00FC2211" w:rsidRDefault="008B4A34"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Loss Prevention</w:t>
            </w:r>
          </w:p>
        </w:tc>
        <w:tc>
          <w:tcPr>
            <w:tcW w:w="1559" w:type="dxa"/>
            <w:tcBorders>
              <w:top w:val="nil"/>
              <w:left w:val="nil"/>
              <w:bottom w:val="single" w:sz="4" w:space="0" w:color="auto"/>
              <w:right w:val="nil"/>
            </w:tcBorders>
            <w:shd w:val="clear" w:color="auto" w:fill="auto"/>
            <w:vAlign w:val="center"/>
            <w:hideMark/>
          </w:tcPr>
          <w:p w14:paraId="3B3FFA3A" w14:textId="77777777" w:rsidR="008B4A34" w:rsidRPr="00FC2211" w:rsidRDefault="008B4A34"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Fabrication</w:t>
            </w:r>
          </w:p>
        </w:tc>
        <w:tc>
          <w:tcPr>
            <w:tcW w:w="1418" w:type="dxa"/>
            <w:tcBorders>
              <w:top w:val="nil"/>
              <w:left w:val="nil"/>
              <w:bottom w:val="single" w:sz="4" w:space="0" w:color="auto"/>
              <w:right w:val="nil"/>
            </w:tcBorders>
            <w:shd w:val="clear" w:color="auto" w:fill="auto"/>
            <w:vAlign w:val="center"/>
            <w:hideMark/>
          </w:tcPr>
          <w:p w14:paraId="206F4F6D" w14:textId="76781036" w:rsidR="008B4A34" w:rsidRPr="00FC2211" w:rsidRDefault="00580565"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Retail Media</w:t>
            </w:r>
          </w:p>
        </w:tc>
        <w:tc>
          <w:tcPr>
            <w:tcW w:w="1417" w:type="dxa"/>
            <w:tcBorders>
              <w:top w:val="nil"/>
              <w:left w:val="nil"/>
              <w:bottom w:val="single" w:sz="4" w:space="0" w:color="auto"/>
              <w:right w:val="nil"/>
            </w:tcBorders>
            <w:shd w:val="clear" w:color="auto" w:fill="auto"/>
            <w:vAlign w:val="center"/>
            <w:hideMark/>
          </w:tcPr>
          <w:p w14:paraId="6946BF98" w14:textId="77777777" w:rsidR="008B4A34" w:rsidRPr="00FC2211" w:rsidRDefault="008B4A34"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Corporate and administration</w:t>
            </w:r>
          </w:p>
        </w:tc>
        <w:tc>
          <w:tcPr>
            <w:tcW w:w="1328" w:type="dxa"/>
            <w:tcBorders>
              <w:top w:val="nil"/>
              <w:left w:val="nil"/>
              <w:bottom w:val="single" w:sz="4" w:space="0" w:color="auto"/>
              <w:right w:val="nil"/>
            </w:tcBorders>
            <w:shd w:val="clear" w:color="auto" w:fill="auto"/>
            <w:vAlign w:val="center"/>
            <w:hideMark/>
          </w:tcPr>
          <w:p w14:paraId="5A31107F" w14:textId="77777777" w:rsidR="008B4A34" w:rsidRPr="00FC2211" w:rsidRDefault="008B4A34"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Total</w:t>
            </w:r>
          </w:p>
        </w:tc>
      </w:tr>
      <w:tr w:rsidR="00C1655F" w:rsidRPr="00FC2211" w14:paraId="08BEFC4D" w14:textId="77777777" w:rsidTr="00C1655F">
        <w:trPr>
          <w:trHeight w:val="252"/>
          <w:jc w:val="center"/>
        </w:trPr>
        <w:tc>
          <w:tcPr>
            <w:tcW w:w="2835" w:type="dxa"/>
            <w:tcBorders>
              <w:top w:val="nil"/>
              <w:left w:val="nil"/>
              <w:bottom w:val="nil"/>
              <w:right w:val="nil"/>
            </w:tcBorders>
            <w:shd w:val="clear" w:color="auto" w:fill="auto"/>
            <w:vAlign w:val="center"/>
            <w:hideMark/>
          </w:tcPr>
          <w:p w14:paraId="2A297981"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Sales</w:t>
            </w:r>
          </w:p>
        </w:tc>
        <w:tc>
          <w:tcPr>
            <w:tcW w:w="1082" w:type="dxa"/>
            <w:tcBorders>
              <w:top w:val="nil"/>
              <w:left w:val="nil"/>
              <w:bottom w:val="nil"/>
              <w:right w:val="nil"/>
            </w:tcBorders>
            <w:shd w:val="clear" w:color="auto" w:fill="auto"/>
            <w:noWrap/>
            <w:vAlign w:val="center"/>
            <w:hideMark/>
          </w:tcPr>
          <w:p w14:paraId="1427098E" w14:textId="5127A60F" w:rsidR="008B4A34" w:rsidRPr="00FC2211" w:rsidRDefault="008B4A34"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$ 751,966 </w:t>
            </w:r>
          </w:p>
        </w:tc>
        <w:tc>
          <w:tcPr>
            <w:tcW w:w="1559" w:type="dxa"/>
            <w:tcBorders>
              <w:top w:val="nil"/>
              <w:left w:val="nil"/>
              <w:bottom w:val="nil"/>
              <w:right w:val="nil"/>
            </w:tcBorders>
            <w:shd w:val="clear" w:color="auto" w:fill="auto"/>
            <w:noWrap/>
            <w:vAlign w:val="center"/>
            <w:hideMark/>
          </w:tcPr>
          <w:p w14:paraId="38A64F33" w14:textId="1EA8B4AC" w:rsidR="008B4A34" w:rsidRPr="00FC2211" w:rsidRDefault="008B4A34"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61,531 </w:t>
            </w:r>
          </w:p>
        </w:tc>
        <w:tc>
          <w:tcPr>
            <w:tcW w:w="1418" w:type="dxa"/>
            <w:tcBorders>
              <w:top w:val="nil"/>
              <w:left w:val="nil"/>
              <w:bottom w:val="nil"/>
              <w:right w:val="nil"/>
            </w:tcBorders>
            <w:shd w:val="clear" w:color="auto" w:fill="auto"/>
            <w:noWrap/>
            <w:vAlign w:val="center"/>
            <w:hideMark/>
          </w:tcPr>
          <w:p w14:paraId="5F391D5C" w14:textId="54973A58" w:rsidR="008B4A34" w:rsidRPr="00FC2211" w:rsidRDefault="008B4A34"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72,053 </w:t>
            </w:r>
          </w:p>
        </w:tc>
        <w:tc>
          <w:tcPr>
            <w:tcW w:w="1417" w:type="dxa"/>
            <w:tcBorders>
              <w:top w:val="nil"/>
              <w:left w:val="nil"/>
              <w:bottom w:val="nil"/>
              <w:right w:val="nil"/>
            </w:tcBorders>
            <w:shd w:val="clear" w:color="auto" w:fill="auto"/>
            <w:noWrap/>
            <w:vAlign w:val="center"/>
            <w:hideMark/>
          </w:tcPr>
          <w:p w14:paraId="2D28375A" w14:textId="32B2AFD7" w:rsidR="008B4A34" w:rsidRPr="00FC2211" w:rsidRDefault="008B4A34" w:rsidP="00314C82">
            <w:pPr>
              <w:ind w:right="121"/>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w:t>
            </w:r>
            <w:r w:rsidR="00C1655F" w:rsidRPr="00FC2211">
              <w:rPr>
                <w:rFonts w:ascii="Calibri" w:hAnsi="Calibri" w:cs="Calibri"/>
                <w:b/>
                <w:bCs/>
                <w:color w:val="000000"/>
                <w:sz w:val="18"/>
                <w:szCs w:val="18"/>
                <w:lang w:val="en-CA" w:eastAsia="en-CA"/>
              </w:rPr>
              <w:t xml:space="preserve">      </w:t>
            </w:r>
            <w:r w:rsidRPr="00FC2211">
              <w:rPr>
                <w:rFonts w:ascii="Calibri" w:hAnsi="Calibri" w:cs="Calibri"/>
                <w:b/>
                <w:bCs/>
                <w:color w:val="000000"/>
                <w:sz w:val="18"/>
                <w:szCs w:val="18"/>
                <w:lang w:val="en-CA" w:eastAsia="en-CA"/>
              </w:rPr>
              <w:t xml:space="preserve">        -   </w:t>
            </w:r>
          </w:p>
        </w:tc>
        <w:tc>
          <w:tcPr>
            <w:tcW w:w="1328" w:type="dxa"/>
            <w:tcBorders>
              <w:top w:val="nil"/>
              <w:left w:val="nil"/>
              <w:bottom w:val="nil"/>
              <w:right w:val="nil"/>
            </w:tcBorders>
            <w:shd w:val="clear" w:color="auto" w:fill="auto"/>
            <w:noWrap/>
            <w:vAlign w:val="center"/>
            <w:hideMark/>
          </w:tcPr>
          <w:p w14:paraId="7AE044DE" w14:textId="3D803208" w:rsidR="008B4A34" w:rsidRPr="00FC2211" w:rsidRDefault="008B4A34"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885,550 </w:t>
            </w:r>
          </w:p>
        </w:tc>
      </w:tr>
      <w:tr w:rsidR="00C1655F" w:rsidRPr="00FC2211" w14:paraId="5298001C" w14:textId="77777777" w:rsidTr="00C1655F">
        <w:trPr>
          <w:trHeight w:val="240"/>
          <w:jc w:val="center"/>
        </w:trPr>
        <w:tc>
          <w:tcPr>
            <w:tcW w:w="2835" w:type="dxa"/>
            <w:tcBorders>
              <w:top w:val="nil"/>
              <w:left w:val="nil"/>
              <w:bottom w:val="nil"/>
              <w:right w:val="nil"/>
            </w:tcBorders>
            <w:shd w:val="clear" w:color="auto" w:fill="auto"/>
            <w:vAlign w:val="center"/>
            <w:hideMark/>
          </w:tcPr>
          <w:p w14:paraId="21E1CEFF"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Cost of Goods Sold</w:t>
            </w:r>
          </w:p>
        </w:tc>
        <w:tc>
          <w:tcPr>
            <w:tcW w:w="1082" w:type="dxa"/>
            <w:tcBorders>
              <w:top w:val="nil"/>
              <w:left w:val="nil"/>
              <w:bottom w:val="nil"/>
              <w:right w:val="nil"/>
            </w:tcBorders>
            <w:shd w:val="clear" w:color="auto" w:fill="auto"/>
            <w:noWrap/>
            <w:vAlign w:val="center"/>
            <w:hideMark/>
          </w:tcPr>
          <w:p w14:paraId="6ECEC8E0" w14:textId="4BEF95A2" w:rsidR="008B4A34" w:rsidRPr="00FC2211" w:rsidRDefault="008B4A34" w:rsidP="00F75752">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w:t>
            </w:r>
            <w:r w:rsidR="00631D70" w:rsidRPr="00FC2211">
              <w:rPr>
                <w:rFonts w:ascii="Calibri" w:hAnsi="Calibri" w:cs="Calibri"/>
                <w:b/>
                <w:bCs/>
                <w:color w:val="000000"/>
                <w:sz w:val="18"/>
                <w:szCs w:val="18"/>
                <w:lang w:val="en-CA" w:eastAsia="en-CA"/>
              </w:rPr>
              <w:t>510,477</w:t>
            </w:r>
            <w:r w:rsidRPr="00FC2211">
              <w:rPr>
                <w:rFonts w:ascii="Calibri" w:hAnsi="Calibri" w:cs="Calibri"/>
                <w:b/>
                <w:bCs/>
                <w:color w:val="000000"/>
                <w:sz w:val="18"/>
                <w:szCs w:val="18"/>
                <w:lang w:val="en-CA" w:eastAsia="en-CA"/>
              </w:rPr>
              <w:t>)</w:t>
            </w:r>
          </w:p>
        </w:tc>
        <w:tc>
          <w:tcPr>
            <w:tcW w:w="1559" w:type="dxa"/>
            <w:tcBorders>
              <w:top w:val="nil"/>
              <w:left w:val="nil"/>
              <w:bottom w:val="nil"/>
              <w:right w:val="nil"/>
            </w:tcBorders>
            <w:shd w:val="clear" w:color="auto" w:fill="auto"/>
            <w:noWrap/>
            <w:vAlign w:val="center"/>
            <w:hideMark/>
          </w:tcPr>
          <w:p w14:paraId="0DFD3B14" w14:textId="6C77AB6C"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(32,548)</w:t>
            </w:r>
          </w:p>
        </w:tc>
        <w:tc>
          <w:tcPr>
            <w:tcW w:w="1418" w:type="dxa"/>
            <w:tcBorders>
              <w:top w:val="nil"/>
              <w:left w:val="nil"/>
              <w:bottom w:val="nil"/>
              <w:right w:val="nil"/>
            </w:tcBorders>
            <w:shd w:val="clear" w:color="auto" w:fill="auto"/>
            <w:noWrap/>
            <w:vAlign w:val="center"/>
            <w:hideMark/>
          </w:tcPr>
          <w:p w14:paraId="46D031ED" w14:textId="46F08FBF"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(10,26</w:t>
            </w:r>
            <w:r w:rsidR="00170169" w:rsidRPr="00FC2211">
              <w:rPr>
                <w:rFonts w:ascii="Calibri" w:hAnsi="Calibri" w:cs="Calibri"/>
                <w:b/>
                <w:bCs/>
                <w:color w:val="000000"/>
                <w:sz w:val="18"/>
                <w:szCs w:val="18"/>
                <w:lang w:val="en-CA" w:eastAsia="en-CA"/>
              </w:rPr>
              <w:t>7</w:t>
            </w:r>
            <w:r w:rsidRPr="00FC2211">
              <w:rPr>
                <w:rFonts w:ascii="Calibri" w:hAnsi="Calibri" w:cs="Calibri"/>
                <w:b/>
                <w:bCs/>
                <w:color w:val="000000"/>
                <w:sz w:val="18"/>
                <w:szCs w:val="18"/>
                <w:lang w:val="en-CA" w:eastAsia="en-CA"/>
              </w:rPr>
              <w:t>)</w:t>
            </w:r>
          </w:p>
        </w:tc>
        <w:tc>
          <w:tcPr>
            <w:tcW w:w="1417" w:type="dxa"/>
            <w:tcBorders>
              <w:top w:val="nil"/>
              <w:left w:val="nil"/>
              <w:bottom w:val="nil"/>
              <w:right w:val="nil"/>
            </w:tcBorders>
            <w:shd w:val="clear" w:color="auto" w:fill="auto"/>
            <w:noWrap/>
            <w:vAlign w:val="center"/>
            <w:hideMark/>
          </w:tcPr>
          <w:p w14:paraId="3C182BC3" w14:textId="2284CEED" w:rsidR="008B4A34" w:rsidRPr="00FC2211" w:rsidRDefault="008B4A34" w:rsidP="00314C82">
            <w:pPr>
              <w:ind w:right="121"/>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w:t>
            </w:r>
          </w:p>
        </w:tc>
        <w:tc>
          <w:tcPr>
            <w:tcW w:w="1328" w:type="dxa"/>
            <w:tcBorders>
              <w:top w:val="nil"/>
              <w:left w:val="nil"/>
              <w:bottom w:val="nil"/>
              <w:right w:val="nil"/>
            </w:tcBorders>
            <w:shd w:val="clear" w:color="auto" w:fill="auto"/>
            <w:noWrap/>
            <w:vAlign w:val="center"/>
            <w:hideMark/>
          </w:tcPr>
          <w:p w14:paraId="0653A971" w14:textId="6A3A086E"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(55</w:t>
            </w:r>
            <w:r w:rsidR="00414376" w:rsidRPr="00FC2211">
              <w:rPr>
                <w:rFonts w:ascii="Calibri" w:hAnsi="Calibri" w:cs="Calibri"/>
                <w:b/>
                <w:bCs/>
                <w:color w:val="000000"/>
                <w:sz w:val="18"/>
                <w:szCs w:val="18"/>
                <w:lang w:val="en-CA" w:eastAsia="en-CA"/>
              </w:rPr>
              <w:t>3,292</w:t>
            </w:r>
            <w:r w:rsidRPr="00FC2211">
              <w:rPr>
                <w:rFonts w:ascii="Calibri" w:hAnsi="Calibri" w:cs="Calibri"/>
                <w:b/>
                <w:bCs/>
                <w:color w:val="000000"/>
                <w:sz w:val="18"/>
                <w:szCs w:val="18"/>
                <w:lang w:val="en-CA" w:eastAsia="en-CA"/>
              </w:rPr>
              <w:t>)</w:t>
            </w:r>
          </w:p>
        </w:tc>
      </w:tr>
      <w:tr w:rsidR="008B4A34" w:rsidRPr="00FC2211" w14:paraId="662B9517" w14:textId="77777777" w:rsidTr="00C1655F">
        <w:trPr>
          <w:trHeight w:val="240"/>
          <w:jc w:val="center"/>
        </w:trPr>
        <w:tc>
          <w:tcPr>
            <w:tcW w:w="2835" w:type="dxa"/>
            <w:tcBorders>
              <w:top w:val="single" w:sz="4" w:space="0" w:color="auto"/>
              <w:left w:val="nil"/>
              <w:bottom w:val="single" w:sz="4" w:space="0" w:color="auto"/>
              <w:right w:val="nil"/>
            </w:tcBorders>
            <w:shd w:val="clear" w:color="auto" w:fill="auto"/>
            <w:noWrap/>
            <w:vAlign w:val="center"/>
            <w:hideMark/>
          </w:tcPr>
          <w:p w14:paraId="2C490485" w14:textId="77777777" w:rsidR="008B4A34" w:rsidRPr="00FC2211" w:rsidRDefault="008B4A34" w:rsidP="008B4A34">
            <w:pPr>
              <w:ind w:firstLineChars="100" w:firstLine="180"/>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Gross Profit</w:t>
            </w:r>
          </w:p>
        </w:tc>
        <w:tc>
          <w:tcPr>
            <w:tcW w:w="1082" w:type="dxa"/>
            <w:tcBorders>
              <w:top w:val="single" w:sz="4" w:space="0" w:color="auto"/>
              <w:left w:val="nil"/>
              <w:bottom w:val="single" w:sz="4" w:space="0" w:color="auto"/>
              <w:right w:val="nil"/>
            </w:tcBorders>
            <w:shd w:val="clear" w:color="auto" w:fill="auto"/>
            <w:noWrap/>
            <w:vAlign w:val="center"/>
            <w:hideMark/>
          </w:tcPr>
          <w:p w14:paraId="083F2DB3" w14:textId="3D0F8558" w:rsidR="008B4A34" w:rsidRPr="00FC2211" w:rsidRDefault="00631D70"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241,489</w:t>
            </w:r>
            <w:r w:rsidR="008B4A34" w:rsidRPr="00FC2211">
              <w:rPr>
                <w:rFonts w:ascii="Calibri" w:hAnsi="Calibri" w:cs="Calibri"/>
                <w:b/>
                <w:bCs/>
                <w:color w:val="000000"/>
                <w:sz w:val="18"/>
                <w:szCs w:val="18"/>
                <w:lang w:val="en-CA" w:eastAsia="en-CA"/>
              </w:rPr>
              <w:t xml:space="preserve"> </w:t>
            </w:r>
          </w:p>
        </w:tc>
        <w:tc>
          <w:tcPr>
            <w:tcW w:w="1559" w:type="dxa"/>
            <w:tcBorders>
              <w:top w:val="single" w:sz="4" w:space="0" w:color="auto"/>
              <w:left w:val="nil"/>
              <w:bottom w:val="single" w:sz="4" w:space="0" w:color="auto"/>
              <w:right w:val="nil"/>
            </w:tcBorders>
            <w:shd w:val="clear" w:color="auto" w:fill="auto"/>
            <w:noWrap/>
            <w:vAlign w:val="center"/>
            <w:hideMark/>
          </w:tcPr>
          <w:p w14:paraId="7AC8D529" w14:textId="24C7DD98" w:rsidR="008B4A34" w:rsidRPr="00FC2211" w:rsidRDefault="008B4A34"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28,983 </w:t>
            </w:r>
          </w:p>
        </w:tc>
        <w:tc>
          <w:tcPr>
            <w:tcW w:w="1418" w:type="dxa"/>
            <w:tcBorders>
              <w:top w:val="single" w:sz="4" w:space="0" w:color="auto"/>
              <w:left w:val="nil"/>
              <w:bottom w:val="single" w:sz="4" w:space="0" w:color="auto"/>
              <w:right w:val="nil"/>
            </w:tcBorders>
            <w:shd w:val="clear" w:color="auto" w:fill="auto"/>
            <w:noWrap/>
            <w:vAlign w:val="center"/>
            <w:hideMark/>
          </w:tcPr>
          <w:p w14:paraId="05A67B63" w14:textId="20530A71" w:rsidR="008B4A34" w:rsidRPr="00FC2211" w:rsidRDefault="008B4A34"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61,78</w:t>
            </w:r>
            <w:r w:rsidR="00170169" w:rsidRPr="00FC2211">
              <w:rPr>
                <w:rFonts w:ascii="Calibri" w:hAnsi="Calibri" w:cs="Calibri"/>
                <w:b/>
                <w:bCs/>
                <w:color w:val="000000"/>
                <w:sz w:val="18"/>
                <w:szCs w:val="18"/>
                <w:lang w:val="en-CA" w:eastAsia="en-CA"/>
              </w:rPr>
              <w:t>6</w:t>
            </w:r>
            <w:r w:rsidRPr="00FC2211">
              <w:rPr>
                <w:rFonts w:ascii="Calibri" w:hAnsi="Calibri" w:cs="Calibri"/>
                <w:b/>
                <w:bCs/>
                <w:color w:val="000000"/>
                <w:sz w:val="18"/>
                <w:szCs w:val="18"/>
                <w:lang w:val="en-CA" w:eastAsia="en-CA"/>
              </w:rPr>
              <w:t xml:space="preserve"> </w:t>
            </w:r>
          </w:p>
        </w:tc>
        <w:tc>
          <w:tcPr>
            <w:tcW w:w="1417" w:type="dxa"/>
            <w:tcBorders>
              <w:top w:val="single" w:sz="4" w:space="0" w:color="auto"/>
              <w:left w:val="nil"/>
              <w:bottom w:val="single" w:sz="4" w:space="0" w:color="auto"/>
              <w:right w:val="nil"/>
            </w:tcBorders>
            <w:shd w:val="clear" w:color="auto" w:fill="auto"/>
            <w:noWrap/>
            <w:vAlign w:val="center"/>
            <w:hideMark/>
          </w:tcPr>
          <w:p w14:paraId="5ED8313F" w14:textId="69621332" w:rsidR="008B4A34" w:rsidRPr="00FC2211" w:rsidRDefault="008B4A34" w:rsidP="004C6AFD">
            <w:pPr>
              <w:ind w:right="121"/>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w:t>
            </w:r>
          </w:p>
        </w:tc>
        <w:tc>
          <w:tcPr>
            <w:tcW w:w="1328" w:type="dxa"/>
            <w:tcBorders>
              <w:top w:val="single" w:sz="4" w:space="0" w:color="auto"/>
              <w:left w:val="nil"/>
              <w:bottom w:val="single" w:sz="4" w:space="0" w:color="auto"/>
              <w:right w:val="nil"/>
            </w:tcBorders>
            <w:shd w:val="clear" w:color="auto" w:fill="auto"/>
            <w:noWrap/>
            <w:vAlign w:val="center"/>
            <w:hideMark/>
          </w:tcPr>
          <w:p w14:paraId="26E62524" w14:textId="4DD78A3A" w:rsidR="008B4A34" w:rsidRPr="00FC2211" w:rsidRDefault="008B4A34"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332,</w:t>
            </w:r>
            <w:r w:rsidR="00414376" w:rsidRPr="00FC2211">
              <w:rPr>
                <w:rFonts w:ascii="Calibri" w:hAnsi="Calibri" w:cs="Calibri"/>
                <w:b/>
                <w:bCs/>
                <w:color w:val="000000"/>
                <w:sz w:val="18"/>
                <w:szCs w:val="18"/>
                <w:lang w:val="en-CA" w:eastAsia="en-CA"/>
              </w:rPr>
              <w:t>258</w:t>
            </w:r>
            <w:r w:rsidRPr="00FC2211">
              <w:rPr>
                <w:rFonts w:ascii="Calibri" w:hAnsi="Calibri" w:cs="Calibri"/>
                <w:b/>
                <w:bCs/>
                <w:color w:val="000000"/>
                <w:sz w:val="18"/>
                <w:szCs w:val="18"/>
                <w:lang w:val="en-CA" w:eastAsia="en-CA"/>
              </w:rPr>
              <w:t xml:space="preserve"> </w:t>
            </w:r>
          </w:p>
        </w:tc>
      </w:tr>
      <w:tr w:rsidR="00C1655F" w:rsidRPr="00FC2211" w14:paraId="5DFBEE9E" w14:textId="77777777" w:rsidTr="00C1655F">
        <w:trPr>
          <w:trHeight w:val="240"/>
          <w:jc w:val="center"/>
        </w:trPr>
        <w:tc>
          <w:tcPr>
            <w:tcW w:w="2835" w:type="dxa"/>
            <w:tcBorders>
              <w:top w:val="nil"/>
              <w:left w:val="nil"/>
              <w:bottom w:val="nil"/>
              <w:right w:val="nil"/>
            </w:tcBorders>
            <w:shd w:val="clear" w:color="auto" w:fill="auto"/>
            <w:vAlign w:val="center"/>
            <w:hideMark/>
          </w:tcPr>
          <w:p w14:paraId="31038A58"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Operating Expenses</w:t>
            </w:r>
          </w:p>
        </w:tc>
        <w:tc>
          <w:tcPr>
            <w:tcW w:w="1082" w:type="dxa"/>
            <w:tcBorders>
              <w:top w:val="nil"/>
              <w:left w:val="nil"/>
              <w:bottom w:val="nil"/>
              <w:right w:val="nil"/>
            </w:tcBorders>
            <w:shd w:val="clear" w:color="auto" w:fill="auto"/>
            <w:noWrap/>
            <w:vAlign w:val="center"/>
            <w:hideMark/>
          </w:tcPr>
          <w:p w14:paraId="6FDF1687" w14:textId="05370770"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(128,</w:t>
            </w:r>
            <w:r w:rsidR="00631D70" w:rsidRPr="00FC2211">
              <w:rPr>
                <w:rFonts w:ascii="Calibri" w:hAnsi="Calibri" w:cs="Calibri"/>
                <w:b/>
                <w:bCs/>
                <w:color w:val="000000"/>
                <w:sz w:val="18"/>
                <w:szCs w:val="18"/>
                <w:lang w:val="en-CA" w:eastAsia="en-CA"/>
              </w:rPr>
              <w:t>814</w:t>
            </w:r>
            <w:r w:rsidRPr="00FC2211">
              <w:rPr>
                <w:rFonts w:ascii="Calibri" w:hAnsi="Calibri" w:cs="Calibri"/>
                <w:b/>
                <w:bCs/>
                <w:color w:val="000000"/>
                <w:sz w:val="18"/>
                <w:szCs w:val="18"/>
                <w:lang w:val="en-CA" w:eastAsia="en-CA"/>
              </w:rPr>
              <w:t>)</w:t>
            </w:r>
          </w:p>
        </w:tc>
        <w:tc>
          <w:tcPr>
            <w:tcW w:w="1559" w:type="dxa"/>
            <w:tcBorders>
              <w:top w:val="nil"/>
              <w:left w:val="nil"/>
              <w:bottom w:val="nil"/>
              <w:right w:val="nil"/>
            </w:tcBorders>
            <w:shd w:val="clear" w:color="auto" w:fill="auto"/>
            <w:noWrap/>
            <w:vAlign w:val="center"/>
            <w:hideMark/>
          </w:tcPr>
          <w:p w14:paraId="5C701A99" w14:textId="1C3781B8"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(11,301)</w:t>
            </w:r>
          </w:p>
        </w:tc>
        <w:tc>
          <w:tcPr>
            <w:tcW w:w="1418" w:type="dxa"/>
            <w:tcBorders>
              <w:top w:val="nil"/>
              <w:left w:val="nil"/>
              <w:bottom w:val="nil"/>
              <w:right w:val="nil"/>
            </w:tcBorders>
            <w:shd w:val="clear" w:color="auto" w:fill="auto"/>
            <w:noWrap/>
            <w:vAlign w:val="center"/>
            <w:hideMark/>
          </w:tcPr>
          <w:p w14:paraId="53B94C9A" w14:textId="095F0F26"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(182,</w:t>
            </w:r>
            <w:r w:rsidR="008A4E55" w:rsidRPr="00FC2211">
              <w:rPr>
                <w:rFonts w:ascii="Calibri" w:hAnsi="Calibri" w:cs="Calibri"/>
                <w:b/>
                <w:bCs/>
                <w:color w:val="000000"/>
                <w:sz w:val="18"/>
                <w:szCs w:val="18"/>
                <w:lang w:val="en-CA" w:eastAsia="en-CA"/>
              </w:rPr>
              <w:t>262</w:t>
            </w:r>
            <w:r w:rsidRPr="00FC2211">
              <w:rPr>
                <w:rFonts w:ascii="Calibri" w:hAnsi="Calibri" w:cs="Calibri"/>
                <w:b/>
                <w:bCs/>
                <w:color w:val="000000"/>
                <w:sz w:val="18"/>
                <w:szCs w:val="18"/>
                <w:lang w:val="en-CA" w:eastAsia="en-CA"/>
              </w:rPr>
              <w:t>)</w:t>
            </w:r>
          </w:p>
        </w:tc>
        <w:tc>
          <w:tcPr>
            <w:tcW w:w="1417" w:type="dxa"/>
            <w:tcBorders>
              <w:top w:val="nil"/>
              <w:left w:val="nil"/>
              <w:bottom w:val="nil"/>
              <w:right w:val="nil"/>
            </w:tcBorders>
            <w:shd w:val="clear" w:color="auto" w:fill="auto"/>
            <w:noWrap/>
            <w:vAlign w:val="center"/>
            <w:hideMark/>
          </w:tcPr>
          <w:p w14:paraId="06BC94CD" w14:textId="534919F6"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(1,076,101)</w:t>
            </w:r>
          </w:p>
        </w:tc>
        <w:tc>
          <w:tcPr>
            <w:tcW w:w="1328" w:type="dxa"/>
            <w:tcBorders>
              <w:top w:val="nil"/>
              <w:left w:val="nil"/>
              <w:bottom w:val="nil"/>
              <w:right w:val="nil"/>
            </w:tcBorders>
            <w:shd w:val="clear" w:color="auto" w:fill="auto"/>
            <w:noWrap/>
            <w:vAlign w:val="center"/>
            <w:hideMark/>
          </w:tcPr>
          <w:p w14:paraId="0BA542AF" w14:textId="452462BE"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(1,398,</w:t>
            </w:r>
            <w:r w:rsidR="00ED57AA">
              <w:rPr>
                <w:rFonts w:ascii="Calibri" w:hAnsi="Calibri" w:cs="Calibri"/>
                <w:b/>
                <w:bCs/>
                <w:color w:val="000000"/>
                <w:sz w:val="18"/>
                <w:szCs w:val="18"/>
                <w:lang w:val="en-CA" w:eastAsia="en-CA"/>
              </w:rPr>
              <w:t>478</w:t>
            </w:r>
            <w:r w:rsidRPr="00FC2211">
              <w:rPr>
                <w:rFonts w:ascii="Calibri" w:hAnsi="Calibri" w:cs="Calibri"/>
                <w:b/>
                <w:bCs/>
                <w:color w:val="000000"/>
                <w:sz w:val="18"/>
                <w:szCs w:val="18"/>
                <w:lang w:val="en-CA" w:eastAsia="en-CA"/>
              </w:rPr>
              <w:t>)</w:t>
            </w:r>
          </w:p>
        </w:tc>
      </w:tr>
      <w:tr w:rsidR="00C1655F" w:rsidRPr="00FC2211" w14:paraId="04993D95" w14:textId="77777777" w:rsidTr="00C1655F">
        <w:trPr>
          <w:trHeight w:val="240"/>
          <w:jc w:val="center"/>
        </w:trPr>
        <w:tc>
          <w:tcPr>
            <w:tcW w:w="2835" w:type="dxa"/>
            <w:tcBorders>
              <w:top w:val="nil"/>
              <w:left w:val="nil"/>
              <w:bottom w:val="nil"/>
              <w:right w:val="nil"/>
            </w:tcBorders>
            <w:shd w:val="clear" w:color="auto" w:fill="auto"/>
            <w:vAlign w:val="center"/>
            <w:hideMark/>
          </w:tcPr>
          <w:p w14:paraId="24FE0256"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Interest expense, net</w:t>
            </w:r>
          </w:p>
        </w:tc>
        <w:tc>
          <w:tcPr>
            <w:tcW w:w="1082" w:type="dxa"/>
            <w:tcBorders>
              <w:top w:val="nil"/>
              <w:left w:val="nil"/>
              <w:bottom w:val="nil"/>
              <w:right w:val="nil"/>
            </w:tcBorders>
            <w:shd w:val="clear" w:color="auto" w:fill="auto"/>
            <w:noWrap/>
            <w:vAlign w:val="center"/>
            <w:hideMark/>
          </w:tcPr>
          <w:p w14:paraId="3FAC560A" w14:textId="38243398"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(3,878)</w:t>
            </w:r>
          </w:p>
        </w:tc>
        <w:tc>
          <w:tcPr>
            <w:tcW w:w="1559" w:type="dxa"/>
            <w:tcBorders>
              <w:top w:val="nil"/>
              <w:left w:val="nil"/>
              <w:bottom w:val="nil"/>
              <w:right w:val="nil"/>
            </w:tcBorders>
            <w:shd w:val="clear" w:color="auto" w:fill="auto"/>
            <w:noWrap/>
            <w:vAlign w:val="center"/>
            <w:hideMark/>
          </w:tcPr>
          <w:p w14:paraId="516D8B55" w14:textId="7B27924B"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(3,878)</w:t>
            </w:r>
          </w:p>
        </w:tc>
        <w:tc>
          <w:tcPr>
            <w:tcW w:w="1418" w:type="dxa"/>
            <w:tcBorders>
              <w:top w:val="nil"/>
              <w:left w:val="nil"/>
              <w:bottom w:val="nil"/>
              <w:right w:val="nil"/>
            </w:tcBorders>
            <w:shd w:val="clear" w:color="auto" w:fill="auto"/>
            <w:noWrap/>
            <w:vAlign w:val="center"/>
            <w:hideMark/>
          </w:tcPr>
          <w:p w14:paraId="72872394" w14:textId="2B15B759" w:rsidR="008B4A34" w:rsidRPr="00FC2211" w:rsidRDefault="008B4A34" w:rsidP="00314C82">
            <w:pPr>
              <w:ind w:right="123"/>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w:t>
            </w:r>
          </w:p>
        </w:tc>
        <w:tc>
          <w:tcPr>
            <w:tcW w:w="1417" w:type="dxa"/>
            <w:tcBorders>
              <w:top w:val="nil"/>
              <w:left w:val="nil"/>
              <w:bottom w:val="nil"/>
              <w:right w:val="nil"/>
            </w:tcBorders>
            <w:shd w:val="clear" w:color="auto" w:fill="auto"/>
            <w:noWrap/>
            <w:vAlign w:val="center"/>
            <w:hideMark/>
          </w:tcPr>
          <w:p w14:paraId="456CCD97" w14:textId="336E573E"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(107,884)</w:t>
            </w:r>
          </w:p>
        </w:tc>
        <w:tc>
          <w:tcPr>
            <w:tcW w:w="1328" w:type="dxa"/>
            <w:tcBorders>
              <w:top w:val="nil"/>
              <w:left w:val="nil"/>
              <w:bottom w:val="nil"/>
              <w:right w:val="nil"/>
            </w:tcBorders>
            <w:shd w:val="clear" w:color="auto" w:fill="auto"/>
            <w:noWrap/>
            <w:vAlign w:val="center"/>
            <w:hideMark/>
          </w:tcPr>
          <w:p w14:paraId="7A17F830" w14:textId="6169D071"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(115,640)</w:t>
            </w:r>
          </w:p>
        </w:tc>
      </w:tr>
      <w:tr w:rsidR="00C1655F" w:rsidRPr="00FC2211" w14:paraId="5F8A938C" w14:textId="77777777" w:rsidTr="00C1655F">
        <w:trPr>
          <w:trHeight w:val="252"/>
          <w:jc w:val="center"/>
        </w:trPr>
        <w:tc>
          <w:tcPr>
            <w:tcW w:w="2835" w:type="dxa"/>
            <w:tcBorders>
              <w:top w:val="nil"/>
              <w:left w:val="nil"/>
              <w:bottom w:val="nil"/>
              <w:right w:val="nil"/>
            </w:tcBorders>
            <w:shd w:val="clear" w:color="auto" w:fill="auto"/>
            <w:vAlign w:val="center"/>
            <w:hideMark/>
          </w:tcPr>
          <w:p w14:paraId="05DC1F3A"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Amortization, Equipment</w:t>
            </w:r>
          </w:p>
        </w:tc>
        <w:tc>
          <w:tcPr>
            <w:tcW w:w="1082" w:type="dxa"/>
            <w:tcBorders>
              <w:top w:val="nil"/>
              <w:left w:val="nil"/>
              <w:bottom w:val="nil"/>
              <w:right w:val="nil"/>
            </w:tcBorders>
            <w:shd w:val="clear" w:color="auto" w:fill="auto"/>
            <w:noWrap/>
            <w:vAlign w:val="center"/>
            <w:hideMark/>
          </w:tcPr>
          <w:p w14:paraId="68A699FB" w14:textId="5FDC1ADE"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(3,817)</w:t>
            </w:r>
          </w:p>
        </w:tc>
        <w:tc>
          <w:tcPr>
            <w:tcW w:w="1559" w:type="dxa"/>
            <w:tcBorders>
              <w:top w:val="nil"/>
              <w:left w:val="nil"/>
              <w:bottom w:val="nil"/>
              <w:right w:val="nil"/>
            </w:tcBorders>
            <w:shd w:val="clear" w:color="auto" w:fill="auto"/>
            <w:noWrap/>
            <w:vAlign w:val="center"/>
            <w:hideMark/>
          </w:tcPr>
          <w:p w14:paraId="5A6E2EF0" w14:textId="19FFAFE3"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(9,479)</w:t>
            </w:r>
          </w:p>
        </w:tc>
        <w:tc>
          <w:tcPr>
            <w:tcW w:w="1418" w:type="dxa"/>
            <w:tcBorders>
              <w:top w:val="nil"/>
              <w:left w:val="nil"/>
              <w:bottom w:val="nil"/>
              <w:right w:val="nil"/>
            </w:tcBorders>
            <w:shd w:val="clear" w:color="auto" w:fill="auto"/>
            <w:noWrap/>
            <w:vAlign w:val="center"/>
            <w:hideMark/>
          </w:tcPr>
          <w:p w14:paraId="500B9796" w14:textId="010B46E6"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(173,810)</w:t>
            </w:r>
          </w:p>
        </w:tc>
        <w:tc>
          <w:tcPr>
            <w:tcW w:w="1417" w:type="dxa"/>
            <w:tcBorders>
              <w:top w:val="nil"/>
              <w:left w:val="nil"/>
              <w:bottom w:val="nil"/>
              <w:right w:val="nil"/>
            </w:tcBorders>
            <w:shd w:val="clear" w:color="auto" w:fill="auto"/>
            <w:noWrap/>
            <w:vAlign w:val="center"/>
            <w:hideMark/>
          </w:tcPr>
          <w:p w14:paraId="67C32CA2" w14:textId="28AB9835" w:rsidR="008B4A34" w:rsidRPr="00FC2211" w:rsidRDefault="008B4A34" w:rsidP="00314C82">
            <w:pPr>
              <w:ind w:right="121"/>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w:t>
            </w:r>
          </w:p>
        </w:tc>
        <w:tc>
          <w:tcPr>
            <w:tcW w:w="1328" w:type="dxa"/>
            <w:tcBorders>
              <w:top w:val="nil"/>
              <w:left w:val="nil"/>
              <w:bottom w:val="nil"/>
              <w:right w:val="nil"/>
            </w:tcBorders>
            <w:shd w:val="clear" w:color="auto" w:fill="auto"/>
            <w:noWrap/>
            <w:vAlign w:val="center"/>
            <w:hideMark/>
          </w:tcPr>
          <w:p w14:paraId="45942635" w14:textId="59FAFB00"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(187,106)</w:t>
            </w:r>
          </w:p>
        </w:tc>
      </w:tr>
      <w:tr w:rsidR="00C1655F" w:rsidRPr="00FC2211" w14:paraId="2D9DC879" w14:textId="77777777" w:rsidTr="00C1655F">
        <w:trPr>
          <w:trHeight w:val="240"/>
          <w:jc w:val="center"/>
        </w:trPr>
        <w:tc>
          <w:tcPr>
            <w:tcW w:w="2835" w:type="dxa"/>
            <w:tcBorders>
              <w:top w:val="nil"/>
              <w:left w:val="nil"/>
              <w:bottom w:val="nil"/>
              <w:right w:val="nil"/>
            </w:tcBorders>
            <w:shd w:val="clear" w:color="auto" w:fill="auto"/>
            <w:vAlign w:val="center"/>
            <w:hideMark/>
          </w:tcPr>
          <w:p w14:paraId="624B48F5"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Amortization, Right of Use of Asset</w:t>
            </w:r>
          </w:p>
        </w:tc>
        <w:tc>
          <w:tcPr>
            <w:tcW w:w="1082" w:type="dxa"/>
            <w:tcBorders>
              <w:top w:val="nil"/>
              <w:left w:val="nil"/>
              <w:bottom w:val="nil"/>
              <w:right w:val="nil"/>
            </w:tcBorders>
            <w:shd w:val="clear" w:color="auto" w:fill="auto"/>
            <w:noWrap/>
            <w:vAlign w:val="center"/>
            <w:hideMark/>
          </w:tcPr>
          <w:p w14:paraId="7D3ADCCE" w14:textId="5FFA335E"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(3,882)</w:t>
            </w:r>
          </w:p>
        </w:tc>
        <w:tc>
          <w:tcPr>
            <w:tcW w:w="1559" w:type="dxa"/>
            <w:tcBorders>
              <w:top w:val="nil"/>
              <w:left w:val="nil"/>
              <w:bottom w:val="nil"/>
              <w:right w:val="nil"/>
            </w:tcBorders>
            <w:shd w:val="clear" w:color="auto" w:fill="auto"/>
            <w:noWrap/>
            <w:vAlign w:val="center"/>
            <w:hideMark/>
          </w:tcPr>
          <w:p w14:paraId="5635CA10" w14:textId="7AC4839E" w:rsidR="008B4A34" w:rsidRPr="00FC2211" w:rsidRDefault="008B4A34" w:rsidP="00314C82">
            <w:pPr>
              <w:ind w:right="127"/>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w:t>
            </w:r>
          </w:p>
        </w:tc>
        <w:tc>
          <w:tcPr>
            <w:tcW w:w="1418" w:type="dxa"/>
            <w:tcBorders>
              <w:top w:val="nil"/>
              <w:left w:val="nil"/>
              <w:bottom w:val="nil"/>
              <w:right w:val="nil"/>
            </w:tcBorders>
            <w:shd w:val="clear" w:color="auto" w:fill="auto"/>
            <w:noWrap/>
            <w:vAlign w:val="center"/>
            <w:hideMark/>
          </w:tcPr>
          <w:p w14:paraId="6895B222" w14:textId="1A4C4374"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(3,882)</w:t>
            </w:r>
          </w:p>
        </w:tc>
        <w:tc>
          <w:tcPr>
            <w:tcW w:w="1417" w:type="dxa"/>
            <w:tcBorders>
              <w:top w:val="nil"/>
              <w:left w:val="nil"/>
              <w:bottom w:val="nil"/>
              <w:right w:val="nil"/>
            </w:tcBorders>
            <w:shd w:val="clear" w:color="auto" w:fill="auto"/>
            <w:noWrap/>
            <w:vAlign w:val="center"/>
            <w:hideMark/>
          </w:tcPr>
          <w:p w14:paraId="51DFB8E3" w14:textId="101F42A4"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(7,763)</w:t>
            </w:r>
          </w:p>
        </w:tc>
        <w:tc>
          <w:tcPr>
            <w:tcW w:w="1328" w:type="dxa"/>
            <w:tcBorders>
              <w:top w:val="nil"/>
              <w:left w:val="nil"/>
              <w:bottom w:val="nil"/>
              <w:right w:val="nil"/>
            </w:tcBorders>
            <w:shd w:val="clear" w:color="auto" w:fill="auto"/>
            <w:noWrap/>
            <w:vAlign w:val="center"/>
            <w:hideMark/>
          </w:tcPr>
          <w:p w14:paraId="0EC4C3F2" w14:textId="0C7C1ADD"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(15,527)</w:t>
            </w:r>
          </w:p>
        </w:tc>
      </w:tr>
      <w:tr w:rsidR="00C1655F" w:rsidRPr="00FC2211" w14:paraId="56BC9AAF" w14:textId="77777777" w:rsidTr="00C1655F">
        <w:trPr>
          <w:trHeight w:val="240"/>
          <w:jc w:val="center"/>
        </w:trPr>
        <w:tc>
          <w:tcPr>
            <w:tcW w:w="2835" w:type="dxa"/>
            <w:tcBorders>
              <w:top w:val="nil"/>
              <w:left w:val="nil"/>
              <w:bottom w:val="nil"/>
              <w:right w:val="nil"/>
            </w:tcBorders>
            <w:shd w:val="clear" w:color="auto" w:fill="auto"/>
            <w:vAlign w:val="center"/>
            <w:hideMark/>
          </w:tcPr>
          <w:p w14:paraId="19208E38" w14:textId="7E9C9D74"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Foreign exchange </w:t>
            </w:r>
            <w:r w:rsidR="00170169" w:rsidRPr="00FC2211">
              <w:rPr>
                <w:rFonts w:ascii="Calibri" w:hAnsi="Calibri" w:cs="Calibri"/>
                <w:color w:val="000000"/>
                <w:sz w:val="18"/>
                <w:szCs w:val="18"/>
                <w:lang w:val="en-CA" w:eastAsia="en-CA"/>
              </w:rPr>
              <w:t>loss</w:t>
            </w:r>
          </w:p>
        </w:tc>
        <w:tc>
          <w:tcPr>
            <w:tcW w:w="1082" w:type="dxa"/>
            <w:tcBorders>
              <w:top w:val="nil"/>
              <w:left w:val="nil"/>
              <w:bottom w:val="nil"/>
              <w:right w:val="nil"/>
            </w:tcBorders>
            <w:shd w:val="clear" w:color="auto" w:fill="auto"/>
            <w:noWrap/>
            <w:vAlign w:val="center"/>
            <w:hideMark/>
          </w:tcPr>
          <w:p w14:paraId="10FCC008" w14:textId="031442A7" w:rsidR="008B4A34" w:rsidRPr="00FC2211" w:rsidRDefault="008B4A34" w:rsidP="004C6AFD">
            <w:pPr>
              <w:ind w:right="125"/>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w:t>
            </w:r>
          </w:p>
        </w:tc>
        <w:tc>
          <w:tcPr>
            <w:tcW w:w="1559" w:type="dxa"/>
            <w:tcBorders>
              <w:top w:val="nil"/>
              <w:left w:val="nil"/>
              <w:bottom w:val="nil"/>
              <w:right w:val="nil"/>
            </w:tcBorders>
            <w:shd w:val="clear" w:color="auto" w:fill="auto"/>
            <w:noWrap/>
            <w:vAlign w:val="center"/>
            <w:hideMark/>
          </w:tcPr>
          <w:p w14:paraId="4B5FA389" w14:textId="36093BFA" w:rsidR="008B4A34" w:rsidRPr="00FC2211" w:rsidRDefault="008B4A34" w:rsidP="00314C82">
            <w:pPr>
              <w:ind w:right="127"/>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w:t>
            </w:r>
          </w:p>
        </w:tc>
        <w:tc>
          <w:tcPr>
            <w:tcW w:w="1418" w:type="dxa"/>
            <w:tcBorders>
              <w:top w:val="nil"/>
              <w:left w:val="nil"/>
              <w:bottom w:val="nil"/>
              <w:right w:val="nil"/>
            </w:tcBorders>
            <w:shd w:val="clear" w:color="auto" w:fill="auto"/>
            <w:noWrap/>
            <w:vAlign w:val="center"/>
            <w:hideMark/>
          </w:tcPr>
          <w:p w14:paraId="2F119430" w14:textId="46E0B840" w:rsidR="008B4A34" w:rsidRPr="00FC2211" w:rsidRDefault="008B4A34" w:rsidP="00103AE9">
            <w:pPr>
              <w:ind w:right="125"/>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w:t>
            </w:r>
          </w:p>
        </w:tc>
        <w:tc>
          <w:tcPr>
            <w:tcW w:w="1417" w:type="dxa"/>
            <w:tcBorders>
              <w:top w:val="nil"/>
              <w:left w:val="nil"/>
              <w:bottom w:val="nil"/>
              <w:right w:val="nil"/>
            </w:tcBorders>
            <w:shd w:val="clear" w:color="auto" w:fill="auto"/>
            <w:noWrap/>
            <w:vAlign w:val="center"/>
            <w:hideMark/>
          </w:tcPr>
          <w:p w14:paraId="506ED1F9" w14:textId="13389C8E"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w:t>
            </w:r>
            <w:r w:rsidR="007562C0" w:rsidRPr="00FC2211">
              <w:rPr>
                <w:rFonts w:ascii="Calibri" w:hAnsi="Calibri" w:cs="Calibri"/>
                <w:b/>
                <w:bCs/>
                <w:color w:val="000000"/>
                <w:sz w:val="18"/>
                <w:szCs w:val="18"/>
                <w:lang w:val="en-CA" w:eastAsia="en-CA"/>
              </w:rPr>
              <w:t>9,924</w:t>
            </w:r>
            <w:r w:rsidRPr="00FC2211">
              <w:rPr>
                <w:rFonts w:ascii="Calibri" w:hAnsi="Calibri" w:cs="Calibri"/>
                <w:b/>
                <w:bCs/>
                <w:color w:val="000000"/>
                <w:sz w:val="18"/>
                <w:szCs w:val="18"/>
                <w:lang w:val="en-CA" w:eastAsia="en-CA"/>
              </w:rPr>
              <w:t>)</w:t>
            </w:r>
          </w:p>
        </w:tc>
        <w:tc>
          <w:tcPr>
            <w:tcW w:w="1328" w:type="dxa"/>
            <w:tcBorders>
              <w:top w:val="nil"/>
              <w:left w:val="nil"/>
              <w:bottom w:val="nil"/>
              <w:right w:val="nil"/>
            </w:tcBorders>
            <w:shd w:val="clear" w:color="auto" w:fill="auto"/>
            <w:noWrap/>
            <w:vAlign w:val="center"/>
            <w:hideMark/>
          </w:tcPr>
          <w:p w14:paraId="467A23CF" w14:textId="45412398"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w:t>
            </w:r>
            <w:r w:rsidR="00414376" w:rsidRPr="00FC2211">
              <w:rPr>
                <w:rFonts w:ascii="Calibri" w:hAnsi="Calibri" w:cs="Calibri"/>
                <w:b/>
                <w:bCs/>
                <w:color w:val="000000"/>
                <w:sz w:val="18"/>
                <w:szCs w:val="18"/>
                <w:lang w:val="en-CA" w:eastAsia="en-CA"/>
              </w:rPr>
              <w:t>9,924</w:t>
            </w:r>
            <w:r w:rsidRPr="00FC2211">
              <w:rPr>
                <w:rFonts w:ascii="Calibri" w:hAnsi="Calibri" w:cs="Calibri"/>
                <w:b/>
                <w:bCs/>
                <w:color w:val="000000"/>
                <w:sz w:val="18"/>
                <w:szCs w:val="18"/>
                <w:lang w:val="en-CA" w:eastAsia="en-CA"/>
              </w:rPr>
              <w:t>)</w:t>
            </w:r>
          </w:p>
        </w:tc>
      </w:tr>
      <w:tr w:rsidR="00C1655F" w:rsidRPr="00FC2211" w14:paraId="34F26FE5" w14:textId="77777777" w:rsidTr="00C1655F">
        <w:trPr>
          <w:trHeight w:val="240"/>
          <w:jc w:val="center"/>
        </w:trPr>
        <w:tc>
          <w:tcPr>
            <w:tcW w:w="2835" w:type="dxa"/>
            <w:tcBorders>
              <w:top w:val="nil"/>
              <w:left w:val="nil"/>
              <w:bottom w:val="nil"/>
              <w:right w:val="nil"/>
            </w:tcBorders>
            <w:shd w:val="clear" w:color="auto" w:fill="auto"/>
            <w:vAlign w:val="center"/>
            <w:hideMark/>
          </w:tcPr>
          <w:p w14:paraId="1C87074A"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Other Income, net</w:t>
            </w:r>
          </w:p>
        </w:tc>
        <w:tc>
          <w:tcPr>
            <w:tcW w:w="1082" w:type="dxa"/>
            <w:tcBorders>
              <w:top w:val="nil"/>
              <w:left w:val="nil"/>
              <w:bottom w:val="nil"/>
              <w:right w:val="nil"/>
            </w:tcBorders>
            <w:shd w:val="clear" w:color="auto" w:fill="auto"/>
            <w:noWrap/>
            <w:vAlign w:val="center"/>
            <w:hideMark/>
          </w:tcPr>
          <w:p w14:paraId="032F61F3" w14:textId="3B4DBE09" w:rsidR="008B4A34" w:rsidRPr="00FC2211" w:rsidRDefault="008B4A34" w:rsidP="004C6AFD">
            <w:pPr>
              <w:ind w:right="125"/>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w:t>
            </w:r>
          </w:p>
        </w:tc>
        <w:tc>
          <w:tcPr>
            <w:tcW w:w="1559" w:type="dxa"/>
            <w:tcBorders>
              <w:top w:val="nil"/>
              <w:left w:val="nil"/>
              <w:bottom w:val="nil"/>
              <w:right w:val="nil"/>
            </w:tcBorders>
            <w:shd w:val="clear" w:color="auto" w:fill="auto"/>
            <w:noWrap/>
            <w:vAlign w:val="center"/>
            <w:hideMark/>
          </w:tcPr>
          <w:p w14:paraId="4BCD665E" w14:textId="089B968F" w:rsidR="008B4A34" w:rsidRPr="00FC2211" w:rsidRDefault="008B4A34" w:rsidP="00314C82">
            <w:pPr>
              <w:ind w:right="127"/>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w:t>
            </w:r>
          </w:p>
        </w:tc>
        <w:tc>
          <w:tcPr>
            <w:tcW w:w="1418" w:type="dxa"/>
            <w:tcBorders>
              <w:top w:val="nil"/>
              <w:left w:val="nil"/>
              <w:bottom w:val="nil"/>
              <w:right w:val="nil"/>
            </w:tcBorders>
            <w:shd w:val="clear" w:color="auto" w:fill="auto"/>
            <w:noWrap/>
            <w:vAlign w:val="center"/>
            <w:hideMark/>
          </w:tcPr>
          <w:p w14:paraId="21DCFBBE" w14:textId="45F6FC60" w:rsidR="008B4A34" w:rsidRPr="00FC2211" w:rsidRDefault="00103AE9" w:rsidP="00103AE9">
            <w:pPr>
              <w:ind w:right="125"/>
              <w:jc w:val="right"/>
              <w:rPr>
                <w:rFonts w:ascii="Calibri" w:hAnsi="Calibri" w:cs="Calibri"/>
                <w:b/>
                <w:bCs/>
                <w:color w:val="000000"/>
                <w:sz w:val="18"/>
                <w:szCs w:val="18"/>
                <w:lang w:val="en-CA" w:eastAsia="en-CA"/>
              </w:rPr>
            </w:pPr>
            <w:r>
              <w:rPr>
                <w:rFonts w:ascii="Calibri" w:hAnsi="Calibri" w:cs="Calibri"/>
                <w:b/>
                <w:bCs/>
                <w:color w:val="000000"/>
                <w:sz w:val="18"/>
                <w:szCs w:val="18"/>
                <w:lang w:val="en-CA" w:eastAsia="en-CA"/>
              </w:rPr>
              <w:t>-</w:t>
            </w:r>
          </w:p>
        </w:tc>
        <w:tc>
          <w:tcPr>
            <w:tcW w:w="1417" w:type="dxa"/>
            <w:tcBorders>
              <w:top w:val="nil"/>
              <w:left w:val="nil"/>
              <w:bottom w:val="nil"/>
              <w:right w:val="nil"/>
            </w:tcBorders>
            <w:shd w:val="clear" w:color="auto" w:fill="auto"/>
            <w:noWrap/>
            <w:vAlign w:val="center"/>
            <w:hideMark/>
          </w:tcPr>
          <w:p w14:paraId="35B27F77" w14:textId="2EE275AD" w:rsidR="008B4A34" w:rsidRPr="00FC2211" w:rsidRDefault="008B4A34"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542 </w:t>
            </w:r>
          </w:p>
        </w:tc>
        <w:tc>
          <w:tcPr>
            <w:tcW w:w="1328" w:type="dxa"/>
            <w:tcBorders>
              <w:top w:val="nil"/>
              <w:left w:val="nil"/>
              <w:bottom w:val="nil"/>
              <w:right w:val="nil"/>
            </w:tcBorders>
            <w:shd w:val="clear" w:color="auto" w:fill="auto"/>
            <w:noWrap/>
            <w:vAlign w:val="center"/>
            <w:hideMark/>
          </w:tcPr>
          <w:p w14:paraId="1BD0D119" w14:textId="772228AF" w:rsidR="008B4A34" w:rsidRPr="00FC2211" w:rsidRDefault="008B4A34"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542 </w:t>
            </w:r>
          </w:p>
        </w:tc>
      </w:tr>
      <w:tr w:rsidR="008B4A34" w:rsidRPr="00FC2211" w14:paraId="056ED044" w14:textId="77777777" w:rsidTr="00C1655F">
        <w:trPr>
          <w:trHeight w:val="240"/>
          <w:jc w:val="center"/>
        </w:trPr>
        <w:tc>
          <w:tcPr>
            <w:tcW w:w="2835" w:type="dxa"/>
            <w:tcBorders>
              <w:top w:val="single" w:sz="4" w:space="0" w:color="auto"/>
              <w:left w:val="nil"/>
              <w:bottom w:val="single" w:sz="4" w:space="0" w:color="auto"/>
              <w:right w:val="nil"/>
            </w:tcBorders>
            <w:shd w:val="clear" w:color="auto" w:fill="auto"/>
            <w:noWrap/>
            <w:vAlign w:val="center"/>
            <w:hideMark/>
          </w:tcPr>
          <w:p w14:paraId="53BB666D"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w:t>
            </w:r>
          </w:p>
        </w:tc>
        <w:tc>
          <w:tcPr>
            <w:tcW w:w="1082" w:type="dxa"/>
            <w:tcBorders>
              <w:top w:val="single" w:sz="4" w:space="0" w:color="auto"/>
              <w:left w:val="nil"/>
              <w:bottom w:val="single" w:sz="4" w:space="0" w:color="auto"/>
              <w:right w:val="nil"/>
            </w:tcBorders>
            <w:shd w:val="clear" w:color="auto" w:fill="auto"/>
            <w:noWrap/>
            <w:vAlign w:val="center"/>
            <w:hideMark/>
          </w:tcPr>
          <w:p w14:paraId="57555351" w14:textId="67615907"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(140,3</w:t>
            </w:r>
            <w:r w:rsidR="00170169" w:rsidRPr="00FC2211">
              <w:rPr>
                <w:rFonts w:ascii="Calibri" w:hAnsi="Calibri" w:cs="Calibri"/>
                <w:b/>
                <w:bCs/>
                <w:color w:val="000000"/>
                <w:sz w:val="18"/>
                <w:szCs w:val="18"/>
                <w:lang w:val="en-CA" w:eastAsia="en-CA"/>
              </w:rPr>
              <w:t>91</w:t>
            </w:r>
            <w:r w:rsidRPr="00FC2211">
              <w:rPr>
                <w:rFonts w:ascii="Calibri" w:hAnsi="Calibri" w:cs="Calibri"/>
                <w:b/>
                <w:bCs/>
                <w:color w:val="000000"/>
                <w:sz w:val="18"/>
                <w:szCs w:val="18"/>
                <w:lang w:val="en-CA" w:eastAsia="en-CA"/>
              </w:rPr>
              <w:t>)</w:t>
            </w:r>
          </w:p>
        </w:tc>
        <w:tc>
          <w:tcPr>
            <w:tcW w:w="1559" w:type="dxa"/>
            <w:tcBorders>
              <w:top w:val="single" w:sz="4" w:space="0" w:color="auto"/>
              <w:left w:val="nil"/>
              <w:bottom w:val="single" w:sz="4" w:space="0" w:color="auto"/>
              <w:right w:val="nil"/>
            </w:tcBorders>
            <w:shd w:val="clear" w:color="auto" w:fill="auto"/>
            <w:noWrap/>
            <w:vAlign w:val="center"/>
            <w:hideMark/>
          </w:tcPr>
          <w:p w14:paraId="7F6A1D98" w14:textId="66FF9948"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(24,658)</w:t>
            </w:r>
          </w:p>
        </w:tc>
        <w:tc>
          <w:tcPr>
            <w:tcW w:w="1418" w:type="dxa"/>
            <w:tcBorders>
              <w:top w:val="single" w:sz="4" w:space="0" w:color="auto"/>
              <w:left w:val="nil"/>
              <w:bottom w:val="single" w:sz="4" w:space="0" w:color="auto"/>
              <w:right w:val="nil"/>
            </w:tcBorders>
            <w:shd w:val="clear" w:color="auto" w:fill="auto"/>
            <w:noWrap/>
            <w:vAlign w:val="center"/>
            <w:hideMark/>
          </w:tcPr>
          <w:p w14:paraId="24FE41E3" w14:textId="473998D7"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(359,</w:t>
            </w:r>
            <w:r w:rsidR="008A4E55" w:rsidRPr="00FC2211">
              <w:rPr>
                <w:rFonts w:ascii="Calibri" w:hAnsi="Calibri" w:cs="Calibri"/>
                <w:b/>
                <w:bCs/>
                <w:color w:val="000000"/>
                <w:sz w:val="18"/>
                <w:szCs w:val="18"/>
                <w:lang w:val="en-CA" w:eastAsia="en-CA"/>
              </w:rPr>
              <w:t>954</w:t>
            </w:r>
            <w:r w:rsidRPr="00FC2211">
              <w:rPr>
                <w:rFonts w:ascii="Calibri" w:hAnsi="Calibri" w:cs="Calibri"/>
                <w:b/>
                <w:bCs/>
                <w:color w:val="000000"/>
                <w:sz w:val="18"/>
                <w:szCs w:val="18"/>
                <w:lang w:val="en-CA" w:eastAsia="en-CA"/>
              </w:rPr>
              <w:t>)</w:t>
            </w:r>
          </w:p>
        </w:tc>
        <w:tc>
          <w:tcPr>
            <w:tcW w:w="1417" w:type="dxa"/>
            <w:tcBorders>
              <w:top w:val="single" w:sz="4" w:space="0" w:color="auto"/>
              <w:left w:val="nil"/>
              <w:bottom w:val="single" w:sz="4" w:space="0" w:color="auto"/>
              <w:right w:val="nil"/>
            </w:tcBorders>
            <w:shd w:val="clear" w:color="auto" w:fill="auto"/>
            <w:noWrap/>
            <w:vAlign w:val="center"/>
            <w:hideMark/>
          </w:tcPr>
          <w:p w14:paraId="49326A12" w14:textId="50BA5A17"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(1,201,</w:t>
            </w:r>
            <w:r w:rsidR="007562C0" w:rsidRPr="00FC2211">
              <w:rPr>
                <w:rFonts w:ascii="Calibri" w:hAnsi="Calibri" w:cs="Calibri"/>
                <w:b/>
                <w:bCs/>
                <w:color w:val="000000"/>
                <w:sz w:val="18"/>
                <w:szCs w:val="18"/>
                <w:lang w:val="en-CA" w:eastAsia="en-CA"/>
              </w:rPr>
              <w:t>130</w:t>
            </w:r>
            <w:r w:rsidRPr="00FC2211">
              <w:rPr>
                <w:rFonts w:ascii="Calibri" w:hAnsi="Calibri" w:cs="Calibri"/>
                <w:b/>
                <w:bCs/>
                <w:color w:val="000000"/>
                <w:sz w:val="18"/>
                <w:szCs w:val="18"/>
                <w:lang w:val="en-CA" w:eastAsia="en-CA"/>
              </w:rPr>
              <w:t>)</w:t>
            </w:r>
          </w:p>
        </w:tc>
        <w:tc>
          <w:tcPr>
            <w:tcW w:w="1328" w:type="dxa"/>
            <w:tcBorders>
              <w:top w:val="single" w:sz="4" w:space="0" w:color="auto"/>
              <w:left w:val="nil"/>
              <w:bottom w:val="single" w:sz="4" w:space="0" w:color="auto"/>
              <w:right w:val="nil"/>
            </w:tcBorders>
            <w:shd w:val="clear" w:color="auto" w:fill="auto"/>
            <w:noWrap/>
            <w:vAlign w:val="center"/>
            <w:hideMark/>
          </w:tcPr>
          <w:p w14:paraId="2E1C0EC1" w14:textId="5C822940"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(1,726,</w:t>
            </w:r>
            <w:r w:rsidR="00414376" w:rsidRPr="00FC2211">
              <w:rPr>
                <w:rFonts w:ascii="Calibri" w:hAnsi="Calibri" w:cs="Calibri"/>
                <w:b/>
                <w:bCs/>
                <w:color w:val="000000"/>
                <w:sz w:val="18"/>
                <w:szCs w:val="18"/>
                <w:lang w:val="en-CA" w:eastAsia="en-CA"/>
              </w:rPr>
              <w:t>133</w:t>
            </w:r>
            <w:r w:rsidRPr="00FC2211">
              <w:rPr>
                <w:rFonts w:ascii="Calibri" w:hAnsi="Calibri" w:cs="Calibri"/>
                <w:b/>
                <w:bCs/>
                <w:color w:val="000000"/>
                <w:sz w:val="18"/>
                <w:szCs w:val="18"/>
                <w:lang w:val="en-CA" w:eastAsia="en-CA"/>
              </w:rPr>
              <w:t>)</w:t>
            </w:r>
          </w:p>
        </w:tc>
      </w:tr>
      <w:tr w:rsidR="00C1655F" w:rsidRPr="00FC2211" w14:paraId="5260E428" w14:textId="77777777" w:rsidTr="00C1655F">
        <w:trPr>
          <w:trHeight w:val="492"/>
          <w:jc w:val="center"/>
        </w:trPr>
        <w:tc>
          <w:tcPr>
            <w:tcW w:w="2835" w:type="dxa"/>
            <w:tcBorders>
              <w:top w:val="nil"/>
              <w:left w:val="nil"/>
              <w:bottom w:val="single" w:sz="8" w:space="0" w:color="auto"/>
              <w:right w:val="nil"/>
            </w:tcBorders>
            <w:shd w:val="clear" w:color="auto" w:fill="auto"/>
            <w:vAlign w:val="center"/>
            <w:hideMark/>
          </w:tcPr>
          <w:p w14:paraId="0738857E"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Net income (loss) and comprehensive income (loss)</w:t>
            </w:r>
          </w:p>
        </w:tc>
        <w:tc>
          <w:tcPr>
            <w:tcW w:w="1082" w:type="dxa"/>
            <w:tcBorders>
              <w:top w:val="nil"/>
              <w:left w:val="nil"/>
              <w:bottom w:val="single" w:sz="8" w:space="0" w:color="auto"/>
              <w:right w:val="nil"/>
            </w:tcBorders>
            <w:shd w:val="clear" w:color="auto" w:fill="auto"/>
            <w:noWrap/>
            <w:vAlign w:val="center"/>
            <w:hideMark/>
          </w:tcPr>
          <w:p w14:paraId="1E65DC83" w14:textId="25DD5781" w:rsidR="008B4A34" w:rsidRPr="00FC2211" w:rsidRDefault="008B4A34"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$ 101,</w:t>
            </w:r>
            <w:r w:rsidR="00170169" w:rsidRPr="00FC2211">
              <w:rPr>
                <w:rFonts w:ascii="Calibri" w:hAnsi="Calibri" w:cs="Calibri"/>
                <w:b/>
                <w:bCs/>
                <w:color w:val="000000"/>
                <w:sz w:val="18"/>
                <w:szCs w:val="18"/>
                <w:lang w:val="en-CA" w:eastAsia="en-CA"/>
              </w:rPr>
              <w:t>098</w:t>
            </w:r>
            <w:r w:rsidRPr="00FC2211">
              <w:rPr>
                <w:rFonts w:ascii="Calibri" w:hAnsi="Calibri" w:cs="Calibri"/>
                <w:b/>
                <w:bCs/>
                <w:color w:val="000000"/>
                <w:sz w:val="18"/>
                <w:szCs w:val="18"/>
                <w:lang w:val="en-CA" w:eastAsia="en-CA"/>
              </w:rPr>
              <w:t xml:space="preserve"> </w:t>
            </w:r>
          </w:p>
        </w:tc>
        <w:tc>
          <w:tcPr>
            <w:tcW w:w="1559" w:type="dxa"/>
            <w:tcBorders>
              <w:top w:val="nil"/>
              <w:left w:val="nil"/>
              <w:bottom w:val="single" w:sz="8" w:space="0" w:color="auto"/>
              <w:right w:val="nil"/>
            </w:tcBorders>
            <w:shd w:val="clear" w:color="auto" w:fill="auto"/>
            <w:noWrap/>
            <w:vAlign w:val="center"/>
            <w:hideMark/>
          </w:tcPr>
          <w:p w14:paraId="44C947BC" w14:textId="4FF5FD81" w:rsidR="008B4A34" w:rsidRPr="00FC2211" w:rsidRDefault="008B4A34" w:rsidP="00551FE4">
            <w:pPr>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4,325 </w:t>
            </w:r>
          </w:p>
        </w:tc>
        <w:tc>
          <w:tcPr>
            <w:tcW w:w="1418" w:type="dxa"/>
            <w:tcBorders>
              <w:top w:val="nil"/>
              <w:left w:val="nil"/>
              <w:bottom w:val="single" w:sz="8" w:space="0" w:color="auto"/>
              <w:right w:val="nil"/>
            </w:tcBorders>
            <w:shd w:val="clear" w:color="auto" w:fill="auto"/>
            <w:noWrap/>
            <w:vAlign w:val="center"/>
            <w:hideMark/>
          </w:tcPr>
          <w:p w14:paraId="78D1CF56" w14:textId="5B2B1C98"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(29</w:t>
            </w:r>
            <w:r w:rsidR="008A4E55" w:rsidRPr="00FC2211">
              <w:rPr>
                <w:rFonts w:ascii="Calibri" w:hAnsi="Calibri" w:cs="Calibri"/>
                <w:b/>
                <w:bCs/>
                <w:color w:val="000000"/>
                <w:sz w:val="18"/>
                <w:szCs w:val="18"/>
                <w:lang w:val="en-CA" w:eastAsia="en-CA"/>
              </w:rPr>
              <w:t>8,168</w:t>
            </w:r>
            <w:r w:rsidRPr="00FC2211">
              <w:rPr>
                <w:rFonts w:ascii="Calibri" w:hAnsi="Calibri" w:cs="Calibri"/>
                <w:b/>
                <w:bCs/>
                <w:color w:val="000000"/>
                <w:sz w:val="18"/>
                <w:szCs w:val="18"/>
                <w:lang w:val="en-CA" w:eastAsia="en-CA"/>
              </w:rPr>
              <w:t>)</w:t>
            </w:r>
          </w:p>
        </w:tc>
        <w:tc>
          <w:tcPr>
            <w:tcW w:w="1417" w:type="dxa"/>
            <w:tcBorders>
              <w:top w:val="nil"/>
              <w:left w:val="nil"/>
              <w:bottom w:val="single" w:sz="8" w:space="0" w:color="auto"/>
              <w:right w:val="nil"/>
            </w:tcBorders>
            <w:shd w:val="clear" w:color="auto" w:fill="auto"/>
            <w:noWrap/>
            <w:vAlign w:val="center"/>
            <w:hideMark/>
          </w:tcPr>
          <w:p w14:paraId="240C007E" w14:textId="1FA6479C"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  (1,201,</w:t>
            </w:r>
            <w:r w:rsidR="007562C0" w:rsidRPr="00FC2211">
              <w:rPr>
                <w:rFonts w:ascii="Calibri" w:hAnsi="Calibri" w:cs="Calibri"/>
                <w:b/>
                <w:bCs/>
                <w:color w:val="000000"/>
                <w:sz w:val="18"/>
                <w:szCs w:val="18"/>
                <w:lang w:val="en-CA" w:eastAsia="en-CA"/>
              </w:rPr>
              <w:t>130</w:t>
            </w:r>
            <w:r w:rsidRPr="00FC2211">
              <w:rPr>
                <w:rFonts w:ascii="Calibri" w:hAnsi="Calibri" w:cs="Calibri"/>
                <w:b/>
                <w:bCs/>
                <w:color w:val="000000"/>
                <w:sz w:val="18"/>
                <w:szCs w:val="18"/>
                <w:lang w:val="en-CA" w:eastAsia="en-CA"/>
              </w:rPr>
              <w:t>)</w:t>
            </w:r>
          </w:p>
        </w:tc>
        <w:tc>
          <w:tcPr>
            <w:tcW w:w="1328" w:type="dxa"/>
            <w:tcBorders>
              <w:top w:val="nil"/>
              <w:left w:val="nil"/>
              <w:bottom w:val="single" w:sz="8" w:space="0" w:color="auto"/>
              <w:right w:val="nil"/>
            </w:tcBorders>
            <w:shd w:val="clear" w:color="auto" w:fill="auto"/>
            <w:noWrap/>
            <w:vAlign w:val="center"/>
            <w:hideMark/>
          </w:tcPr>
          <w:p w14:paraId="7B7BAB20" w14:textId="01662361" w:rsidR="008B4A34" w:rsidRPr="00FC2211" w:rsidRDefault="008B4A34" w:rsidP="00E03B5F">
            <w:pPr>
              <w:ind w:right="-62"/>
              <w:jc w:val="right"/>
              <w:rPr>
                <w:rFonts w:ascii="Calibri" w:hAnsi="Calibri" w:cs="Calibri"/>
                <w:b/>
                <w:bCs/>
                <w:color w:val="000000"/>
                <w:sz w:val="18"/>
                <w:szCs w:val="18"/>
                <w:lang w:val="en-CA" w:eastAsia="en-CA"/>
              </w:rPr>
            </w:pPr>
            <w:r w:rsidRPr="00FC2211">
              <w:rPr>
                <w:rFonts w:ascii="Calibri" w:hAnsi="Calibri" w:cs="Calibri"/>
                <w:b/>
                <w:bCs/>
                <w:color w:val="000000"/>
                <w:sz w:val="18"/>
                <w:szCs w:val="18"/>
                <w:lang w:val="en-CA" w:eastAsia="en-CA"/>
              </w:rPr>
              <w:t xml:space="preserve">  (1,393,</w:t>
            </w:r>
            <w:r w:rsidR="00B30C5A">
              <w:rPr>
                <w:rFonts w:ascii="Calibri" w:hAnsi="Calibri" w:cs="Calibri"/>
                <w:b/>
                <w:bCs/>
                <w:color w:val="000000"/>
                <w:sz w:val="18"/>
                <w:szCs w:val="18"/>
                <w:lang w:val="en-CA" w:eastAsia="en-CA"/>
              </w:rPr>
              <w:t>875</w:t>
            </w:r>
            <w:r w:rsidRPr="00FC2211">
              <w:rPr>
                <w:rFonts w:ascii="Calibri" w:hAnsi="Calibri" w:cs="Calibri"/>
                <w:b/>
                <w:bCs/>
                <w:color w:val="000000"/>
                <w:sz w:val="18"/>
                <w:szCs w:val="18"/>
                <w:lang w:val="en-CA" w:eastAsia="en-CA"/>
              </w:rPr>
              <w:t>)</w:t>
            </w:r>
          </w:p>
        </w:tc>
      </w:tr>
      <w:tr w:rsidR="008B4A34" w:rsidRPr="00FC2211" w14:paraId="40113EF3" w14:textId="77777777" w:rsidTr="00C1655F">
        <w:trPr>
          <w:trHeight w:val="240"/>
          <w:jc w:val="center"/>
        </w:trPr>
        <w:tc>
          <w:tcPr>
            <w:tcW w:w="2835" w:type="dxa"/>
            <w:tcBorders>
              <w:top w:val="nil"/>
              <w:left w:val="nil"/>
              <w:bottom w:val="nil"/>
              <w:right w:val="nil"/>
            </w:tcBorders>
            <w:shd w:val="clear" w:color="auto" w:fill="auto"/>
            <w:noWrap/>
            <w:vAlign w:val="center"/>
            <w:hideMark/>
          </w:tcPr>
          <w:p w14:paraId="6A1DC458" w14:textId="77777777" w:rsidR="008B4A34" w:rsidRPr="00FC2211" w:rsidRDefault="008B4A34" w:rsidP="008B4A34">
            <w:pPr>
              <w:jc w:val="right"/>
              <w:rPr>
                <w:rFonts w:ascii="Calibri" w:hAnsi="Calibri" w:cs="Calibri"/>
                <w:b/>
                <w:bCs/>
                <w:color w:val="000000"/>
                <w:sz w:val="18"/>
                <w:szCs w:val="18"/>
                <w:lang w:val="en-CA" w:eastAsia="en-CA"/>
              </w:rPr>
            </w:pPr>
          </w:p>
        </w:tc>
        <w:tc>
          <w:tcPr>
            <w:tcW w:w="1082" w:type="dxa"/>
            <w:tcBorders>
              <w:top w:val="nil"/>
              <w:left w:val="nil"/>
              <w:bottom w:val="nil"/>
              <w:right w:val="nil"/>
            </w:tcBorders>
            <w:shd w:val="clear" w:color="auto" w:fill="auto"/>
            <w:noWrap/>
            <w:vAlign w:val="center"/>
            <w:hideMark/>
          </w:tcPr>
          <w:p w14:paraId="130260CD" w14:textId="77777777" w:rsidR="008B4A34" w:rsidRPr="00FC2211" w:rsidRDefault="008B4A34" w:rsidP="00551FE4">
            <w:pPr>
              <w:jc w:val="right"/>
              <w:rPr>
                <w:rFonts w:ascii="Times New Roman" w:hAnsi="Times New Roman"/>
                <w:szCs w:val="20"/>
                <w:lang w:val="en-CA" w:eastAsia="en-CA"/>
              </w:rPr>
            </w:pPr>
          </w:p>
        </w:tc>
        <w:tc>
          <w:tcPr>
            <w:tcW w:w="1559" w:type="dxa"/>
            <w:tcBorders>
              <w:top w:val="nil"/>
              <w:left w:val="nil"/>
              <w:bottom w:val="nil"/>
              <w:right w:val="nil"/>
            </w:tcBorders>
            <w:shd w:val="clear" w:color="auto" w:fill="auto"/>
            <w:noWrap/>
            <w:vAlign w:val="center"/>
            <w:hideMark/>
          </w:tcPr>
          <w:p w14:paraId="5D486379" w14:textId="77777777" w:rsidR="008B4A34" w:rsidRPr="00FC2211" w:rsidRDefault="008B4A34" w:rsidP="00551FE4">
            <w:pPr>
              <w:jc w:val="right"/>
              <w:rPr>
                <w:rFonts w:ascii="Times New Roman" w:hAnsi="Times New Roman"/>
                <w:szCs w:val="20"/>
                <w:lang w:val="en-CA" w:eastAsia="en-CA"/>
              </w:rPr>
            </w:pPr>
          </w:p>
        </w:tc>
        <w:tc>
          <w:tcPr>
            <w:tcW w:w="1418" w:type="dxa"/>
            <w:tcBorders>
              <w:top w:val="nil"/>
              <w:left w:val="nil"/>
              <w:bottom w:val="nil"/>
              <w:right w:val="nil"/>
            </w:tcBorders>
            <w:shd w:val="clear" w:color="auto" w:fill="auto"/>
            <w:noWrap/>
            <w:vAlign w:val="center"/>
            <w:hideMark/>
          </w:tcPr>
          <w:p w14:paraId="3D1D1257" w14:textId="77777777" w:rsidR="008B4A34" w:rsidRPr="00FC2211" w:rsidRDefault="008B4A34" w:rsidP="00551FE4">
            <w:pPr>
              <w:jc w:val="right"/>
              <w:rPr>
                <w:rFonts w:ascii="Times New Roman" w:hAnsi="Times New Roman"/>
                <w:szCs w:val="20"/>
                <w:lang w:val="en-CA" w:eastAsia="en-CA"/>
              </w:rPr>
            </w:pPr>
          </w:p>
        </w:tc>
        <w:tc>
          <w:tcPr>
            <w:tcW w:w="1417" w:type="dxa"/>
            <w:tcBorders>
              <w:top w:val="nil"/>
              <w:left w:val="nil"/>
              <w:bottom w:val="nil"/>
              <w:right w:val="nil"/>
            </w:tcBorders>
            <w:shd w:val="clear" w:color="auto" w:fill="auto"/>
            <w:noWrap/>
            <w:vAlign w:val="center"/>
            <w:hideMark/>
          </w:tcPr>
          <w:p w14:paraId="1F557756" w14:textId="77777777" w:rsidR="008B4A34" w:rsidRPr="00FC2211" w:rsidRDefault="008B4A34" w:rsidP="00551FE4">
            <w:pPr>
              <w:jc w:val="right"/>
              <w:rPr>
                <w:rFonts w:ascii="Times New Roman" w:hAnsi="Times New Roman"/>
                <w:szCs w:val="20"/>
                <w:lang w:val="en-CA" w:eastAsia="en-CA"/>
              </w:rPr>
            </w:pPr>
          </w:p>
        </w:tc>
        <w:tc>
          <w:tcPr>
            <w:tcW w:w="1328" w:type="dxa"/>
            <w:tcBorders>
              <w:top w:val="nil"/>
              <w:left w:val="nil"/>
              <w:bottom w:val="nil"/>
              <w:right w:val="nil"/>
            </w:tcBorders>
            <w:shd w:val="clear" w:color="auto" w:fill="auto"/>
            <w:noWrap/>
            <w:vAlign w:val="center"/>
            <w:hideMark/>
          </w:tcPr>
          <w:p w14:paraId="2CCFEF04" w14:textId="77777777" w:rsidR="008B4A34" w:rsidRPr="00FC2211" w:rsidRDefault="008B4A34" w:rsidP="00551FE4">
            <w:pPr>
              <w:jc w:val="right"/>
              <w:rPr>
                <w:rFonts w:ascii="Times New Roman" w:hAnsi="Times New Roman"/>
                <w:szCs w:val="20"/>
                <w:lang w:val="en-CA" w:eastAsia="en-CA"/>
              </w:rPr>
            </w:pPr>
          </w:p>
        </w:tc>
      </w:tr>
      <w:tr w:rsidR="00C1655F" w:rsidRPr="00FC2211" w14:paraId="632CBB76" w14:textId="77777777" w:rsidTr="00C1655F">
        <w:trPr>
          <w:trHeight w:val="288"/>
          <w:jc w:val="center"/>
        </w:trPr>
        <w:tc>
          <w:tcPr>
            <w:tcW w:w="2835" w:type="dxa"/>
            <w:tcBorders>
              <w:top w:val="nil"/>
              <w:left w:val="nil"/>
              <w:bottom w:val="single" w:sz="8" w:space="0" w:color="auto"/>
              <w:right w:val="nil"/>
            </w:tcBorders>
            <w:shd w:val="clear" w:color="auto" w:fill="auto"/>
            <w:noWrap/>
            <w:vAlign w:val="center"/>
            <w:hideMark/>
          </w:tcPr>
          <w:p w14:paraId="70A8C997" w14:textId="77777777" w:rsidR="00C1655F" w:rsidRPr="00FC2211" w:rsidRDefault="00C1655F" w:rsidP="008B4A3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w:t>
            </w:r>
          </w:p>
        </w:tc>
        <w:tc>
          <w:tcPr>
            <w:tcW w:w="1082" w:type="dxa"/>
            <w:tcBorders>
              <w:top w:val="nil"/>
              <w:left w:val="nil"/>
              <w:bottom w:val="single" w:sz="8" w:space="0" w:color="auto"/>
              <w:right w:val="nil"/>
            </w:tcBorders>
            <w:shd w:val="clear" w:color="auto" w:fill="auto"/>
            <w:vAlign w:val="center"/>
            <w:hideMark/>
          </w:tcPr>
          <w:p w14:paraId="164A937A" w14:textId="77777777" w:rsidR="00C1655F" w:rsidRPr="00FC2211" w:rsidRDefault="00C1655F" w:rsidP="00551FE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w:t>
            </w:r>
          </w:p>
        </w:tc>
        <w:tc>
          <w:tcPr>
            <w:tcW w:w="5722" w:type="dxa"/>
            <w:gridSpan w:val="4"/>
            <w:tcBorders>
              <w:top w:val="nil"/>
              <w:left w:val="nil"/>
              <w:bottom w:val="single" w:sz="8" w:space="0" w:color="auto"/>
              <w:right w:val="nil"/>
            </w:tcBorders>
            <w:shd w:val="clear" w:color="auto" w:fill="auto"/>
            <w:vAlign w:val="center"/>
            <w:hideMark/>
          </w:tcPr>
          <w:p w14:paraId="24F196A3" w14:textId="43B488F6" w:rsidR="00C1655F" w:rsidRPr="00FC2211" w:rsidRDefault="00C1655F" w:rsidP="00551FE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For the six months ended December 31, 2022</w:t>
            </w:r>
          </w:p>
        </w:tc>
      </w:tr>
      <w:tr w:rsidR="00C1655F" w:rsidRPr="00FC2211" w14:paraId="0A953367" w14:textId="77777777" w:rsidTr="00C1655F">
        <w:trPr>
          <w:trHeight w:val="480"/>
          <w:jc w:val="center"/>
        </w:trPr>
        <w:tc>
          <w:tcPr>
            <w:tcW w:w="2835" w:type="dxa"/>
            <w:tcBorders>
              <w:top w:val="nil"/>
              <w:left w:val="nil"/>
              <w:bottom w:val="single" w:sz="4" w:space="0" w:color="auto"/>
              <w:right w:val="nil"/>
            </w:tcBorders>
            <w:shd w:val="clear" w:color="auto" w:fill="auto"/>
            <w:vAlign w:val="center"/>
            <w:hideMark/>
          </w:tcPr>
          <w:p w14:paraId="46208C50"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w:t>
            </w:r>
          </w:p>
        </w:tc>
        <w:tc>
          <w:tcPr>
            <w:tcW w:w="1082" w:type="dxa"/>
            <w:tcBorders>
              <w:top w:val="nil"/>
              <w:left w:val="nil"/>
              <w:bottom w:val="single" w:sz="4" w:space="0" w:color="auto"/>
              <w:right w:val="nil"/>
            </w:tcBorders>
            <w:shd w:val="clear" w:color="auto" w:fill="auto"/>
            <w:vAlign w:val="center"/>
            <w:hideMark/>
          </w:tcPr>
          <w:p w14:paraId="69B3A8DC" w14:textId="77777777" w:rsidR="008B4A34" w:rsidRPr="00FC2211" w:rsidRDefault="008B4A34" w:rsidP="00551FE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Loss Prevention</w:t>
            </w:r>
          </w:p>
        </w:tc>
        <w:tc>
          <w:tcPr>
            <w:tcW w:w="1559" w:type="dxa"/>
            <w:tcBorders>
              <w:top w:val="nil"/>
              <w:left w:val="nil"/>
              <w:bottom w:val="single" w:sz="4" w:space="0" w:color="auto"/>
              <w:right w:val="nil"/>
            </w:tcBorders>
            <w:shd w:val="clear" w:color="auto" w:fill="auto"/>
            <w:vAlign w:val="center"/>
            <w:hideMark/>
          </w:tcPr>
          <w:p w14:paraId="2C61EAEC" w14:textId="77777777" w:rsidR="008B4A34" w:rsidRPr="00FC2211" w:rsidRDefault="008B4A34" w:rsidP="00551FE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Fabrication</w:t>
            </w:r>
          </w:p>
        </w:tc>
        <w:tc>
          <w:tcPr>
            <w:tcW w:w="1418" w:type="dxa"/>
            <w:tcBorders>
              <w:top w:val="nil"/>
              <w:left w:val="nil"/>
              <w:bottom w:val="single" w:sz="4" w:space="0" w:color="auto"/>
              <w:right w:val="nil"/>
            </w:tcBorders>
            <w:shd w:val="clear" w:color="auto" w:fill="auto"/>
            <w:vAlign w:val="center"/>
            <w:hideMark/>
          </w:tcPr>
          <w:p w14:paraId="437E21E5" w14:textId="2322DDDC" w:rsidR="008B4A34" w:rsidRPr="00FC2211" w:rsidRDefault="00580565" w:rsidP="00551FE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Retail Media</w:t>
            </w:r>
          </w:p>
        </w:tc>
        <w:tc>
          <w:tcPr>
            <w:tcW w:w="1417" w:type="dxa"/>
            <w:tcBorders>
              <w:top w:val="nil"/>
              <w:left w:val="nil"/>
              <w:bottom w:val="single" w:sz="4" w:space="0" w:color="auto"/>
              <w:right w:val="nil"/>
            </w:tcBorders>
            <w:shd w:val="clear" w:color="auto" w:fill="auto"/>
            <w:vAlign w:val="center"/>
            <w:hideMark/>
          </w:tcPr>
          <w:p w14:paraId="58E736F1" w14:textId="77777777" w:rsidR="008B4A34" w:rsidRPr="00FC2211" w:rsidRDefault="008B4A34" w:rsidP="00551FE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Corporate and administration</w:t>
            </w:r>
          </w:p>
        </w:tc>
        <w:tc>
          <w:tcPr>
            <w:tcW w:w="1328" w:type="dxa"/>
            <w:tcBorders>
              <w:top w:val="nil"/>
              <w:left w:val="nil"/>
              <w:bottom w:val="single" w:sz="4" w:space="0" w:color="auto"/>
              <w:right w:val="nil"/>
            </w:tcBorders>
            <w:shd w:val="clear" w:color="auto" w:fill="auto"/>
            <w:vAlign w:val="center"/>
            <w:hideMark/>
          </w:tcPr>
          <w:p w14:paraId="393392D8" w14:textId="77777777" w:rsidR="008B4A34" w:rsidRPr="00FC2211" w:rsidRDefault="008B4A34" w:rsidP="00551FE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Total</w:t>
            </w:r>
          </w:p>
        </w:tc>
      </w:tr>
      <w:tr w:rsidR="00C1655F" w:rsidRPr="00FC2211" w14:paraId="3CF59330" w14:textId="77777777" w:rsidTr="00C1655F">
        <w:trPr>
          <w:trHeight w:val="240"/>
          <w:jc w:val="center"/>
        </w:trPr>
        <w:tc>
          <w:tcPr>
            <w:tcW w:w="2835" w:type="dxa"/>
            <w:tcBorders>
              <w:top w:val="nil"/>
              <w:left w:val="nil"/>
              <w:bottom w:val="nil"/>
              <w:right w:val="nil"/>
            </w:tcBorders>
            <w:shd w:val="clear" w:color="auto" w:fill="auto"/>
            <w:vAlign w:val="center"/>
            <w:hideMark/>
          </w:tcPr>
          <w:p w14:paraId="18E19C1C"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Sales</w:t>
            </w:r>
          </w:p>
        </w:tc>
        <w:tc>
          <w:tcPr>
            <w:tcW w:w="1082" w:type="dxa"/>
            <w:tcBorders>
              <w:top w:val="nil"/>
              <w:left w:val="nil"/>
              <w:bottom w:val="nil"/>
              <w:right w:val="nil"/>
            </w:tcBorders>
            <w:shd w:val="clear" w:color="auto" w:fill="auto"/>
            <w:noWrap/>
            <w:vAlign w:val="center"/>
            <w:hideMark/>
          </w:tcPr>
          <w:p w14:paraId="222E9FA9" w14:textId="7503FEE0" w:rsidR="008B4A34" w:rsidRPr="00FC2211" w:rsidRDefault="008B4A34" w:rsidP="00551FE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w:t>
            </w:r>
            <w:r w:rsidR="00C1655F" w:rsidRPr="00FC2211">
              <w:rPr>
                <w:rFonts w:ascii="Calibri" w:hAnsi="Calibri" w:cs="Calibri"/>
                <w:color w:val="000000"/>
                <w:sz w:val="18"/>
                <w:szCs w:val="18"/>
                <w:lang w:val="en-CA" w:eastAsia="en-CA"/>
              </w:rPr>
              <w:t xml:space="preserve">  </w:t>
            </w:r>
            <w:r w:rsidRPr="00FC2211">
              <w:rPr>
                <w:rFonts w:ascii="Calibri" w:hAnsi="Calibri" w:cs="Calibri"/>
                <w:color w:val="000000"/>
                <w:sz w:val="18"/>
                <w:szCs w:val="18"/>
                <w:lang w:val="en-CA" w:eastAsia="en-CA"/>
              </w:rPr>
              <w:t xml:space="preserve">656,189 </w:t>
            </w:r>
          </w:p>
        </w:tc>
        <w:tc>
          <w:tcPr>
            <w:tcW w:w="1559" w:type="dxa"/>
            <w:tcBorders>
              <w:top w:val="nil"/>
              <w:left w:val="nil"/>
              <w:bottom w:val="nil"/>
              <w:right w:val="nil"/>
            </w:tcBorders>
            <w:shd w:val="clear" w:color="auto" w:fill="auto"/>
            <w:noWrap/>
            <w:vAlign w:val="center"/>
            <w:hideMark/>
          </w:tcPr>
          <w:p w14:paraId="71AFE6CA" w14:textId="309DEB87" w:rsidR="008B4A34" w:rsidRPr="00FC2211" w:rsidRDefault="008B4A34" w:rsidP="00551FE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63,434 </w:t>
            </w:r>
          </w:p>
        </w:tc>
        <w:tc>
          <w:tcPr>
            <w:tcW w:w="1418" w:type="dxa"/>
            <w:tcBorders>
              <w:top w:val="nil"/>
              <w:left w:val="nil"/>
              <w:bottom w:val="nil"/>
              <w:right w:val="nil"/>
            </w:tcBorders>
            <w:shd w:val="clear" w:color="auto" w:fill="auto"/>
            <w:noWrap/>
            <w:vAlign w:val="center"/>
            <w:hideMark/>
          </w:tcPr>
          <w:p w14:paraId="0435CFC5" w14:textId="7505E071" w:rsidR="008B4A34" w:rsidRPr="00FC2211" w:rsidRDefault="008B4A34" w:rsidP="00551FE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82,888 </w:t>
            </w:r>
          </w:p>
        </w:tc>
        <w:tc>
          <w:tcPr>
            <w:tcW w:w="1417" w:type="dxa"/>
            <w:tcBorders>
              <w:top w:val="nil"/>
              <w:left w:val="nil"/>
              <w:bottom w:val="nil"/>
              <w:right w:val="nil"/>
            </w:tcBorders>
            <w:shd w:val="clear" w:color="auto" w:fill="auto"/>
            <w:noWrap/>
            <w:vAlign w:val="center"/>
            <w:hideMark/>
          </w:tcPr>
          <w:p w14:paraId="1F7059C3" w14:textId="5B950B6B" w:rsidR="008B4A34" w:rsidRPr="00FC2211" w:rsidRDefault="008B4A34" w:rsidP="00AB1687">
            <w:pPr>
              <w:ind w:right="125"/>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   </w:t>
            </w:r>
          </w:p>
        </w:tc>
        <w:tc>
          <w:tcPr>
            <w:tcW w:w="1328" w:type="dxa"/>
            <w:tcBorders>
              <w:top w:val="nil"/>
              <w:left w:val="nil"/>
              <w:bottom w:val="nil"/>
              <w:right w:val="nil"/>
            </w:tcBorders>
            <w:shd w:val="clear" w:color="auto" w:fill="auto"/>
            <w:noWrap/>
            <w:vAlign w:val="center"/>
            <w:hideMark/>
          </w:tcPr>
          <w:p w14:paraId="34305339" w14:textId="35606A1B" w:rsidR="008B4A34" w:rsidRPr="00FC2211" w:rsidRDefault="008B4A34" w:rsidP="00551FE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802,511 </w:t>
            </w:r>
          </w:p>
        </w:tc>
      </w:tr>
      <w:tr w:rsidR="00C1655F" w:rsidRPr="00FC2211" w14:paraId="3A63BA0C" w14:textId="77777777" w:rsidTr="00C1655F">
        <w:trPr>
          <w:trHeight w:val="240"/>
          <w:jc w:val="center"/>
        </w:trPr>
        <w:tc>
          <w:tcPr>
            <w:tcW w:w="2835" w:type="dxa"/>
            <w:tcBorders>
              <w:top w:val="nil"/>
              <w:left w:val="nil"/>
              <w:bottom w:val="nil"/>
              <w:right w:val="nil"/>
            </w:tcBorders>
            <w:shd w:val="clear" w:color="auto" w:fill="auto"/>
            <w:vAlign w:val="center"/>
            <w:hideMark/>
          </w:tcPr>
          <w:p w14:paraId="341C7E57"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Cost of Goods Sold</w:t>
            </w:r>
          </w:p>
        </w:tc>
        <w:tc>
          <w:tcPr>
            <w:tcW w:w="1082" w:type="dxa"/>
            <w:tcBorders>
              <w:top w:val="nil"/>
              <w:left w:val="nil"/>
              <w:bottom w:val="nil"/>
              <w:right w:val="nil"/>
            </w:tcBorders>
            <w:shd w:val="clear" w:color="auto" w:fill="auto"/>
            <w:noWrap/>
            <w:vAlign w:val="center"/>
            <w:hideMark/>
          </w:tcPr>
          <w:p w14:paraId="4427AAA5" w14:textId="207D7D0E"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(375,661)</w:t>
            </w:r>
          </w:p>
        </w:tc>
        <w:tc>
          <w:tcPr>
            <w:tcW w:w="1559" w:type="dxa"/>
            <w:tcBorders>
              <w:top w:val="nil"/>
              <w:left w:val="nil"/>
              <w:bottom w:val="nil"/>
              <w:right w:val="nil"/>
            </w:tcBorders>
            <w:shd w:val="clear" w:color="auto" w:fill="auto"/>
            <w:noWrap/>
            <w:vAlign w:val="center"/>
            <w:hideMark/>
          </w:tcPr>
          <w:p w14:paraId="40CA4A04" w14:textId="6CD41DC9"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(32,254)</w:t>
            </w:r>
          </w:p>
        </w:tc>
        <w:tc>
          <w:tcPr>
            <w:tcW w:w="1418" w:type="dxa"/>
            <w:tcBorders>
              <w:top w:val="nil"/>
              <w:left w:val="nil"/>
              <w:bottom w:val="nil"/>
              <w:right w:val="nil"/>
            </w:tcBorders>
            <w:shd w:val="clear" w:color="auto" w:fill="auto"/>
            <w:noWrap/>
            <w:vAlign w:val="center"/>
            <w:hideMark/>
          </w:tcPr>
          <w:p w14:paraId="2B865FA2" w14:textId="15E7A6BC"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(5,740)</w:t>
            </w:r>
          </w:p>
        </w:tc>
        <w:tc>
          <w:tcPr>
            <w:tcW w:w="1417" w:type="dxa"/>
            <w:tcBorders>
              <w:top w:val="nil"/>
              <w:left w:val="nil"/>
              <w:bottom w:val="nil"/>
              <w:right w:val="nil"/>
            </w:tcBorders>
            <w:shd w:val="clear" w:color="auto" w:fill="auto"/>
            <w:noWrap/>
            <w:vAlign w:val="center"/>
            <w:hideMark/>
          </w:tcPr>
          <w:p w14:paraId="5D0F9E12" w14:textId="45FD343E" w:rsidR="008B4A34" w:rsidRPr="00FC2211" w:rsidRDefault="008B4A34" w:rsidP="00AB1687">
            <w:pPr>
              <w:ind w:right="125"/>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w:t>
            </w:r>
          </w:p>
        </w:tc>
        <w:tc>
          <w:tcPr>
            <w:tcW w:w="1328" w:type="dxa"/>
            <w:tcBorders>
              <w:top w:val="nil"/>
              <w:left w:val="nil"/>
              <w:bottom w:val="nil"/>
              <w:right w:val="nil"/>
            </w:tcBorders>
            <w:shd w:val="clear" w:color="auto" w:fill="auto"/>
            <w:noWrap/>
            <w:vAlign w:val="center"/>
            <w:hideMark/>
          </w:tcPr>
          <w:p w14:paraId="3B2FF8AC" w14:textId="098E741D"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(413,655)</w:t>
            </w:r>
          </w:p>
        </w:tc>
      </w:tr>
      <w:tr w:rsidR="008B4A34" w:rsidRPr="00FC2211" w14:paraId="79782618" w14:textId="77777777" w:rsidTr="00C1655F">
        <w:trPr>
          <w:trHeight w:val="240"/>
          <w:jc w:val="center"/>
        </w:trPr>
        <w:tc>
          <w:tcPr>
            <w:tcW w:w="2835" w:type="dxa"/>
            <w:tcBorders>
              <w:top w:val="single" w:sz="4" w:space="0" w:color="auto"/>
              <w:left w:val="nil"/>
              <w:bottom w:val="single" w:sz="4" w:space="0" w:color="auto"/>
              <w:right w:val="nil"/>
            </w:tcBorders>
            <w:shd w:val="clear" w:color="auto" w:fill="auto"/>
            <w:noWrap/>
            <w:vAlign w:val="center"/>
            <w:hideMark/>
          </w:tcPr>
          <w:p w14:paraId="1EE536DA" w14:textId="77777777" w:rsidR="008B4A34" w:rsidRPr="00FC2211" w:rsidRDefault="008B4A34" w:rsidP="008B4A34">
            <w:pPr>
              <w:ind w:firstLineChars="100" w:firstLine="180"/>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Gross Profit</w:t>
            </w:r>
          </w:p>
        </w:tc>
        <w:tc>
          <w:tcPr>
            <w:tcW w:w="1082" w:type="dxa"/>
            <w:tcBorders>
              <w:top w:val="single" w:sz="4" w:space="0" w:color="auto"/>
              <w:left w:val="nil"/>
              <w:bottom w:val="single" w:sz="4" w:space="0" w:color="auto"/>
              <w:right w:val="nil"/>
            </w:tcBorders>
            <w:shd w:val="clear" w:color="auto" w:fill="auto"/>
            <w:noWrap/>
            <w:vAlign w:val="center"/>
            <w:hideMark/>
          </w:tcPr>
          <w:p w14:paraId="5A761087" w14:textId="3F8A6A83" w:rsidR="008B4A34" w:rsidRPr="00FC2211" w:rsidRDefault="008B4A34" w:rsidP="00551FE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280,528 </w:t>
            </w:r>
          </w:p>
        </w:tc>
        <w:tc>
          <w:tcPr>
            <w:tcW w:w="1559" w:type="dxa"/>
            <w:tcBorders>
              <w:top w:val="single" w:sz="4" w:space="0" w:color="auto"/>
              <w:left w:val="nil"/>
              <w:bottom w:val="single" w:sz="4" w:space="0" w:color="auto"/>
              <w:right w:val="nil"/>
            </w:tcBorders>
            <w:shd w:val="clear" w:color="auto" w:fill="auto"/>
            <w:noWrap/>
            <w:vAlign w:val="center"/>
            <w:hideMark/>
          </w:tcPr>
          <w:p w14:paraId="7E64E1E2" w14:textId="5F0D1178" w:rsidR="008B4A34" w:rsidRPr="00FC2211" w:rsidRDefault="008B4A34" w:rsidP="00551FE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31,180 </w:t>
            </w:r>
          </w:p>
        </w:tc>
        <w:tc>
          <w:tcPr>
            <w:tcW w:w="1418" w:type="dxa"/>
            <w:tcBorders>
              <w:top w:val="single" w:sz="4" w:space="0" w:color="auto"/>
              <w:left w:val="nil"/>
              <w:bottom w:val="single" w:sz="4" w:space="0" w:color="auto"/>
              <w:right w:val="nil"/>
            </w:tcBorders>
            <w:shd w:val="clear" w:color="auto" w:fill="auto"/>
            <w:noWrap/>
            <w:vAlign w:val="center"/>
            <w:hideMark/>
          </w:tcPr>
          <w:p w14:paraId="7F3A88F1" w14:textId="58D93556" w:rsidR="008B4A34" w:rsidRPr="00FC2211" w:rsidRDefault="008B4A34" w:rsidP="00551FE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77,148 </w:t>
            </w:r>
          </w:p>
        </w:tc>
        <w:tc>
          <w:tcPr>
            <w:tcW w:w="1417" w:type="dxa"/>
            <w:tcBorders>
              <w:top w:val="single" w:sz="4" w:space="0" w:color="auto"/>
              <w:left w:val="nil"/>
              <w:bottom w:val="single" w:sz="4" w:space="0" w:color="auto"/>
              <w:right w:val="nil"/>
            </w:tcBorders>
            <w:shd w:val="clear" w:color="auto" w:fill="auto"/>
            <w:noWrap/>
            <w:vAlign w:val="center"/>
            <w:hideMark/>
          </w:tcPr>
          <w:p w14:paraId="03A490D9" w14:textId="60213D17" w:rsidR="008B4A34" w:rsidRPr="00FC2211" w:rsidRDefault="008B4A34" w:rsidP="00AB1687">
            <w:pPr>
              <w:ind w:right="125"/>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w:t>
            </w:r>
          </w:p>
        </w:tc>
        <w:tc>
          <w:tcPr>
            <w:tcW w:w="1328" w:type="dxa"/>
            <w:tcBorders>
              <w:top w:val="single" w:sz="4" w:space="0" w:color="auto"/>
              <w:left w:val="nil"/>
              <w:bottom w:val="single" w:sz="4" w:space="0" w:color="auto"/>
              <w:right w:val="nil"/>
            </w:tcBorders>
            <w:shd w:val="clear" w:color="auto" w:fill="auto"/>
            <w:noWrap/>
            <w:vAlign w:val="center"/>
            <w:hideMark/>
          </w:tcPr>
          <w:p w14:paraId="5B557BB8" w14:textId="3A01BB8C" w:rsidR="008B4A34" w:rsidRPr="00FC2211" w:rsidRDefault="008B4A34" w:rsidP="00551FE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388,856 </w:t>
            </w:r>
          </w:p>
        </w:tc>
      </w:tr>
      <w:tr w:rsidR="00C1655F" w:rsidRPr="00FC2211" w14:paraId="49BE9AFB" w14:textId="77777777" w:rsidTr="00C1655F">
        <w:trPr>
          <w:trHeight w:val="240"/>
          <w:jc w:val="center"/>
        </w:trPr>
        <w:tc>
          <w:tcPr>
            <w:tcW w:w="2835" w:type="dxa"/>
            <w:tcBorders>
              <w:top w:val="nil"/>
              <w:left w:val="nil"/>
              <w:bottom w:val="nil"/>
              <w:right w:val="nil"/>
            </w:tcBorders>
            <w:shd w:val="clear" w:color="auto" w:fill="auto"/>
            <w:vAlign w:val="center"/>
            <w:hideMark/>
          </w:tcPr>
          <w:p w14:paraId="115A6846"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Operating Expenses</w:t>
            </w:r>
          </w:p>
        </w:tc>
        <w:tc>
          <w:tcPr>
            <w:tcW w:w="1082" w:type="dxa"/>
            <w:tcBorders>
              <w:top w:val="nil"/>
              <w:left w:val="nil"/>
              <w:bottom w:val="nil"/>
              <w:right w:val="nil"/>
            </w:tcBorders>
            <w:shd w:val="clear" w:color="auto" w:fill="auto"/>
            <w:noWrap/>
            <w:vAlign w:val="center"/>
            <w:hideMark/>
          </w:tcPr>
          <w:p w14:paraId="545EFB27" w14:textId="68D2336B"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(182,753)</w:t>
            </w:r>
          </w:p>
        </w:tc>
        <w:tc>
          <w:tcPr>
            <w:tcW w:w="1559" w:type="dxa"/>
            <w:tcBorders>
              <w:top w:val="nil"/>
              <w:left w:val="nil"/>
              <w:bottom w:val="nil"/>
              <w:right w:val="nil"/>
            </w:tcBorders>
            <w:shd w:val="clear" w:color="auto" w:fill="auto"/>
            <w:noWrap/>
            <w:vAlign w:val="center"/>
            <w:hideMark/>
          </w:tcPr>
          <w:p w14:paraId="5AD5EA12" w14:textId="43CA186D"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(7,120)</w:t>
            </w:r>
          </w:p>
        </w:tc>
        <w:tc>
          <w:tcPr>
            <w:tcW w:w="1418" w:type="dxa"/>
            <w:tcBorders>
              <w:top w:val="nil"/>
              <w:left w:val="nil"/>
              <w:bottom w:val="nil"/>
              <w:right w:val="nil"/>
            </w:tcBorders>
            <w:shd w:val="clear" w:color="auto" w:fill="auto"/>
            <w:noWrap/>
            <w:vAlign w:val="center"/>
            <w:hideMark/>
          </w:tcPr>
          <w:p w14:paraId="5B81ABC0" w14:textId="506FF9FB"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(182,752)</w:t>
            </w:r>
          </w:p>
        </w:tc>
        <w:tc>
          <w:tcPr>
            <w:tcW w:w="1417" w:type="dxa"/>
            <w:tcBorders>
              <w:top w:val="nil"/>
              <w:left w:val="nil"/>
              <w:bottom w:val="nil"/>
              <w:right w:val="nil"/>
            </w:tcBorders>
            <w:shd w:val="clear" w:color="auto" w:fill="auto"/>
            <w:noWrap/>
            <w:vAlign w:val="center"/>
            <w:hideMark/>
          </w:tcPr>
          <w:p w14:paraId="18A6BE38" w14:textId="77EF3E22"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(1,462,021)</w:t>
            </w:r>
          </w:p>
        </w:tc>
        <w:tc>
          <w:tcPr>
            <w:tcW w:w="1328" w:type="dxa"/>
            <w:tcBorders>
              <w:top w:val="nil"/>
              <w:left w:val="nil"/>
              <w:bottom w:val="nil"/>
              <w:right w:val="nil"/>
            </w:tcBorders>
            <w:shd w:val="clear" w:color="auto" w:fill="auto"/>
            <w:noWrap/>
            <w:vAlign w:val="center"/>
            <w:hideMark/>
          </w:tcPr>
          <w:p w14:paraId="4FDC192C" w14:textId="7FD3633F"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(1,834,646)</w:t>
            </w:r>
          </w:p>
        </w:tc>
      </w:tr>
      <w:tr w:rsidR="00C1655F" w:rsidRPr="00FC2211" w14:paraId="49716C18" w14:textId="77777777" w:rsidTr="00C1655F">
        <w:trPr>
          <w:trHeight w:val="252"/>
          <w:jc w:val="center"/>
        </w:trPr>
        <w:tc>
          <w:tcPr>
            <w:tcW w:w="2835" w:type="dxa"/>
            <w:tcBorders>
              <w:top w:val="nil"/>
              <w:left w:val="nil"/>
              <w:bottom w:val="nil"/>
              <w:right w:val="nil"/>
            </w:tcBorders>
            <w:shd w:val="clear" w:color="auto" w:fill="auto"/>
            <w:vAlign w:val="center"/>
            <w:hideMark/>
          </w:tcPr>
          <w:p w14:paraId="304C5B89"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Interest expense</w:t>
            </w:r>
          </w:p>
        </w:tc>
        <w:tc>
          <w:tcPr>
            <w:tcW w:w="1082" w:type="dxa"/>
            <w:tcBorders>
              <w:top w:val="nil"/>
              <w:left w:val="nil"/>
              <w:bottom w:val="nil"/>
              <w:right w:val="nil"/>
            </w:tcBorders>
            <w:shd w:val="clear" w:color="auto" w:fill="auto"/>
            <w:noWrap/>
            <w:vAlign w:val="center"/>
            <w:hideMark/>
          </w:tcPr>
          <w:p w14:paraId="7C607420" w14:textId="7B8DFF2D"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(10,559)</w:t>
            </w:r>
          </w:p>
        </w:tc>
        <w:tc>
          <w:tcPr>
            <w:tcW w:w="1559" w:type="dxa"/>
            <w:tcBorders>
              <w:top w:val="nil"/>
              <w:left w:val="nil"/>
              <w:bottom w:val="nil"/>
              <w:right w:val="nil"/>
            </w:tcBorders>
            <w:shd w:val="clear" w:color="auto" w:fill="auto"/>
            <w:noWrap/>
            <w:vAlign w:val="center"/>
            <w:hideMark/>
          </w:tcPr>
          <w:p w14:paraId="1B53FC45" w14:textId="4D03E471"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(4,309)</w:t>
            </w:r>
          </w:p>
        </w:tc>
        <w:tc>
          <w:tcPr>
            <w:tcW w:w="1418" w:type="dxa"/>
            <w:tcBorders>
              <w:top w:val="nil"/>
              <w:left w:val="nil"/>
              <w:bottom w:val="nil"/>
              <w:right w:val="nil"/>
            </w:tcBorders>
            <w:shd w:val="clear" w:color="auto" w:fill="auto"/>
            <w:noWrap/>
            <w:vAlign w:val="center"/>
            <w:hideMark/>
          </w:tcPr>
          <w:p w14:paraId="0001944C" w14:textId="238A6092" w:rsidR="008B4A34" w:rsidRPr="00FC2211" w:rsidRDefault="008B4A34" w:rsidP="00AB1687">
            <w:pPr>
              <w:ind w:right="125"/>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w:t>
            </w:r>
          </w:p>
        </w:tc>
        <w:tc>
          <w:tcPr>
            <w:tcW w:w="1417" w:type="dxa"/>
            <w:tcBorders>
              <w:top w:val="nil"/>
              <w:left w:val="nil"/>
              <w:bottom w:val="nil"/>
              <w:right w:val="nil"/>
            </w:tcBorders>
            <w:shd w:val="clear" w:color="auto" w:fill="auto"/>
            <w:noWrap/>
            <w:vAlign w:val="center"/>
            <w:hideMark/>
          </w:tcPr>
          <w:p w14:paraId="57A2E80C" w14:textId="2E028048"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(20,159)</w:t>
            </w:r>
          </w:p>
        </w:tc>
        <w:tc>
          <w:tcPr>
            <w:tcW w:w="1328" w:type="dxa"/>
            <w:tcBorders>
              <w:top w:val="nil"/>
              <w:left w:val="nil"/>
              <w:bottom w:val="nil"/>
              <w:right w:val="nil"/>
            </w:tcBorders>
            <w:shd w:val="clear" w:color="auto" w:fill="auto"/>
            <w:noWrap/>
            <w:vAlign w:val="center"/>
            <w:hideMark/>
          </w:tcPr>
          <w:p w14:paraId="1FACF64B" w14:textId="102F4463"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(35,027)</w:t>
            </w:r>
          </w:p>
        </w:tc>
      </w:tr>
      <w:tr w:rsidR="00C1655F" w:rsidRPr="00FC2211" w14:paraId="45078370" w14:textId="77777777" w:rsidTr="00C1655F">
        <w:trPr>
          <w:trHeight w:val="240"/>
          <w:jc w:val="center"/>
        </w:trPr>
        <w:tc>
          <w:tcPr>
            <w:tcW w:w="2835" w:type="dxa"/>
            <w:tcBorders>
              <w:top w:val="nil"/>
              <w:left w:val="nil"/>
              <w:bottom w:val="nil"/>
              <w:right w:val="nil"/>
            </w:tcBorders>
            <w:shd w:val="clear" w:color="auto" w:fill="auto"/>
            <w:vAlign w:val="center"/>
            <w:hideMark/>
          </w:tcPr>
          <w:p w14:paraId="1F4CAE2F"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Amortization, Equipment</w:t>
            </w:r>
          </w:p>
        </w:tc>
        <w:tc>
          <w:tcPr>
            <w:tcW w:w="1082" w:type="dxa"/>
            <w:tcBorders>
              <w:top w:val="nil"/>
              <w:left w:val="nil"/>
              <w:bottom w:val="nil"/>
              <w:right w:val="nil"/>
            </w:tcBorders>
            <w:shd w:val="clear" w:color="auto" w:fill="auto"/>
            <w:noWrap/>
            <w:vAlign w:val="center"/>
            <w:hideMark/>
          </w:tcPr>
          <w:p w14:paraId="5BC31644" w14:textId="53DB6AA6"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(1,406)</w:t>
            </w:r>
          </w:p>
        </w:tc>
        <w:tc>
          <w:tcPr>
            <w:tcW w:w="1559" w:type="dxa"/>
            <w:tcBorders>
              <w:top w:val="nil"/>
              <w:left w:val="nil"/>
              <w:bottom w:val="nil"/>
              <w:right w:val="nil"/>
            </w:tcBorders>
            <w:shd w:val="clear" w:color="auto" w:fill="auto"/>
            <w:noWrap/>
            <w:vAlign w:val="center"/>
            <w:hideMark/>
          </w:tcPr>
          <w:p w14:paraId="663A1CB2" w14:textId="62900029"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(2,472)</w:t>
            </w:r>
          </w:p>
        </w:tc>
        <w:tc>
          <w:tcPr>
            <w:tcW w:w="1418" w:type="dxa"/>
            <w:tcBorders>
              <w:top w:val="nil"/>
              <w:left w:val="nil"/>
              <w:bottom w:val="nil"/>
              <w:right w:val="nil"/>
            </w:tcBorders>
            <w:shd w:val="clear" w:color="auto" w:fill="auto"/>
            <w:noWrap/>
            <w:vAlign w:val="center"/>
            <w:hideMark/>
          </w:tcPr>
          <w:p w14:paraId="5E6BCB61" w14:textId="43A40E66"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(77,454)</w:t>
            </w:r>
          </w:p>
        </w:tc>
        <w:tc>
          <w:tcPr>
            <w:tcW w:w="1417" w:type="dxa"/>
            <w:tcBorders>
              <w:top w:val="nil"/>
              <w:left w:val="nil"/>
              <w:bottom w:val="nil"/>
              <w:right w:val="nil"/>
            </w:tcBorders>
            <w:shd w:val="clear" w:color="auto" w:fill="auto"/>
            <w:noWrap/>
            <w:vAlign w:val="center"/>
            <w:hideMark/>
          </w:tcPr>
          <w:p w14:paraId="68662599" w14:textId="70F53FA6"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(3,085)</w:t>
            </w:r>
          </w:p>
        </w:tc>
        <w:tc>
          <w:tcPr>
            <w:tcW w:w="1328" w:type="dxa"/>
            <w:tcBorders>
              <w:top w:val="nil"/>
              <w:left w:val="nil"/>
              <w:bottom w:val="nil"/>
              <w:right w:val="nil"/>
            </w:tcBorders>
            <w:shd w:val="clear" w:color="auto" w:fill="auto"/>
            <w:noWrap/>
            <w:vAlign w:val="center"/>
            <w:hideMark/>
          </w:tcPr>
          <w:p w14:paraId="31BD44DC" w14:textId="3283B92E"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(84,417)</w:t>
            </w:r>
          </w:p>
        </w:tc>
      </w:tr>
      <w:tr w:rsidR="00C1655F" w:rsidRPr="00FC2211" w14:paraId="5B6F62EF" w14:textId="77777777" w:rsidTr="00C1655F">
        <w:trPr>
          <w:trHeight w:val="240"/>
          <w:jc w:val="center"/>
        </w:trPr>
        <w:tc>
          <w:tcPr>
            <w:tcW w:w="2835" w:type="dxa"/>
            <w:tcBorders>
              <w:top w:val="nil"/>
              <w:left w:val="nil"/>
              <w:bottom w:val="nil"/>
              <w:right w:val="nil"/>
            </w:tcBorders>
            <w:shd w:val="clear" w:color="auto" w:fill="auto"/>
            <w:vAlign w:val="center"/>
            <w:hideMark/>
          </w:tcPr>
          <w:p w14:paraId="4C4A3F85"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Amortization, Right of Use of Asset</w:t>
            </w:r>
          </w:p>
        </w:tc>
        <w:tc>
          <w:tcPr>
            <w:tcW w:w="1082" w:type="dxa"/>
            <w:tcBorders>
              <w:top w:val="nil"/>
              <w:left w:val="nil"/>
              <w:bottom w:val="nil"/>
              <w:right w:val="nil"/>
            </w:tcBorders>
            <w:shd w:val="clear" w:color="auto" w:fill="auto"/>
            <w:noWrap/>
            <w:vAlign w:val="center"/>
            <w:hideMark/>
          </w:tcPr>
          <w:p w14:paraId="5773B75E" w14:textId="1DC431C6" w:rsidR="008B4A34" w:rsidRPr="00FC2211" w:rsidRDefault="008B4A34" w:rsidP="00AB1687">
            <w:pPr>
              <w:ind w:right="125"/>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w:t>
            </w:r>
          </w:p>
        </w:tc>
        <w:tc>
          <w:tcPr>
            <w:tcW w:w="1559" w:type="dxa"/>
            <w:tcBorders>
              <w:top w:val="nil"/>
              <w:left w:val="nil"/>
              <w:bottom w:val="nil"/>
              <w:right w:val="nil"/>
            </w:tcBorders>
            <w:shd w:val="clear" w:color="auto" w:fill="auto"/>
            <w:noWrap/>
            <w:vAlign w:val="center"/>
            <w:hideMark/>
          </w:tcPr>
          <w:p w14:paraId="0D4E7A20" w14:textId="26B867C4" w:rsidR="008B4A34" w:rsidRPr="00FC2211" w:rsidRDefault="008B4A34" w:rsidP="00AB1687">
            <w:pPr>
              <w:ind w:right="125"/>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w:t>
            </w:r>
          </w:p>
        </w:tc>
        <w:tc>
          <w:tcPr>
            <w:tcW w:w="1418" w:type="dxa"/>
            <w:tcBorders>
              <w:top w:val="nil"/>
              <w:left w:val="nil"/>
              <w:bottom w:val="nil"/>
              <w:right w:val="nil"/>
            </w:tcBorders>
            <w:shd w:val="clear" w:color="auto" w:fill="auto"/>
            <w:noWrap/>
            <w:vAlign w:val="center"/>
            <w:hideMark/>
          </w:tcPr>
          <w:p w14:paraId="16AFE376" w14:textId="779611B2" w:rsidR="008B4A34" w:rsidRPr="00FC2211" w:rsidRDefault="008B4A34" w:rsidP="00AB1687">
            <w:pPr>
              <w:ind w:right="125"/>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w:t>
            </w:r>
          </w:p>
        </w:tc>
        <w:tc>
          <w:tcPr>
            <w:tcW w:w="1417" w:type="dxa"/>
            <w:tcBorders>
              <w:top w:val="nil"/>
              <w:left w:val="nil"/>
              <w:bottom w:val="nil"/>
              <w:right w:val="nil"/>
            </w:tcBorders>
            <w:shd w:val="clear" w:color="auto" w:fill="auto"/>
            <w:noWrap/>
            <w:vAlign w:val="center"/>
            <w:hideMark/>
          </w:tcPr>
          <w:p w14:paraId="74B5E46E" w14:textId="44116A47"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(15,526)</w:t>
            </w:r>
          </w:p>
        </w:tc>
        <w:tc>
          <w:tcPr>
            <w:tcW w:w="1328" w:type="dxa"/>
            <w:tcBorders>
              <w:top w:val="nil"/>
              <w:left w:val="nil"/>
              <w:bottom w:val="nil"/>
              <w:right w:val="nil"/>
            </w:tcBorders>
            <w:shd w:val="clear" w:color="auto" w:fill="auto"/>
            <w:noWrap/>
            <w:vAlign w:val="center"/>
            <w:hideMark/>
          </w:tcPr>
          <w:p w14:paraId="01094381" w14:textId="0277126F"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(15,526)</w:t>
            </w:r>
          </w:p>
        </w:tc>
      </w:tr>
      <w:tr w:rsidR="00C1655F" w:rsidRPr="00FC2211" w14:paraId="2B102169" w14:textId="77777777" w:rsidTr="00C1655F">
        <w:trPr>
          <w:trHeight w:val="240"/>
          <w:jc w:val="center"/>
        </w:trPr>
        <w:tc>
          <w:tcPr>
            <w:tcW w:w="2835" w:type="dxa"/>
            <w:tcBorders>
              <w:top w:val="nil"/>
              <w:left w:val="nil"/>
              <w:bottom w:val="nil"/>
              <w:right w:val="nil"/>
            </w:tcBorders>
            <w:shd w:val="clear" w:color="auto" w:fill="auto"/>
            <w:vAlign w:val="center"/>
            <w:hideMark/>
          </w:tcPr>
          <w:p w14:paraId="5B335812" w14:textId="30219CC5"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Foreign exchange </w:t>
            </w:r>
            <w:r w:rsidR="00230E16" w:rsidRPr="00FC2211">
              <w:rPr>
                <w:rFonts w:ascii="Calibri" w:hAnsi="Calibri" w:cs="Calibri"/>
                <w:color w:val="000000"/>
                <w:sz w:val="18"/>
                <w:szCs w:val="18"/>
                <w:lang w:val="en-CA" w:eastAsia="en-CA"/>
              </w:rPr>
              <w:t>gain</w:t>
            </w:r>
          </w:p>
        </w:tc>
        <w:tc>
          <w:tcPr>
            <w:tcW w:w="1082" w:type="dxa"/>
            <w:tcBorders>
              <w:top w:val="nil"/>
              <w:left w:val="nil"/>
              <w:bottom w:val="nil"/>
              <w:right w:val="nil"/>
            </w:tcBorders>
            <w:shd w:val="clear" w:color="auto" w:fill="auto"/>
            <w:noWrap/>
            <w:vAlign w:val="center"/>
            <w:hideMark/>
          </w:tcPr>
          <w:p w14:paraId="5BC68966" w14:textId="711C3C6A" w:rsidR="008B4A34" w:rsidRPr="00FC2211" w:rsidRDefault="008B4A34" w:rsidP="00AB1687">
            <w:pPr>
              <w:ind w:right="125"/>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w:t>
            </w:r>
          </w:p>
        </w:tc>
        <w:tc>
          <w:tcPr>
            <w:tcW w:w="1559" w:type="dxa"/>
            <w:tcBorders>
              <w:top w:val="nil"/>
              <w:left w:val="nil"/>
              <w:bottom w:val="nil"/>
              <w:right w:val="nil"/>
            </w:tcBorders>
            <w:shd w:val="clear" w:color="auto" w:fill="auto"/>
            <w:noWrap/>
            <w:vAlign w:val="center"/>
            <w:hideMark/>
          </w:tcPr>
          <w:p w14:paraId="6A91E63E" w14:textId="652D1D43" w:rsidR="008B4A34" w:rsidRPr="00FC2211" w:rsidRDefault="008B4A34" w:rsidP="00AB1687">
            <w:pPr>
              <w:ind w:right="125"/>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w:t>
            </w:r>
          </w:p>
        </w:tc>
        <w:tc>
          <w:tcPr>
            <w:tcW w:w="1418" w:type="dxa"/>
            <w:tcBorders>
              <w:top w:val="nil"/>
              <w:left w:val="nil"/>
              <w:bottom w:val="nil"/>
              <w:right w:val="nil"/>
            </w:tcBorders>
            <w:shd w:val="clear" w:color="auto" w:fill="auto"/>
            <w:noWrap/>
            <w:vAlign w:val="center"/>
            <w:hideMark/>
          </w:tcPr>
          <w:p w14:paraId="7A3AD0B5" w14:textId="7EFA75D1" w:rsidR="008B4A34" w:rsidRPr="00FC2211" w:rsidRDefault="008B4A34" w:rsidP="00AB1687">
            <w:pPr>
              <w:ind w:right="125"/>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w:t>
            </w:r>
          </w:p>
        </w:tc>
        <w:tc>
          <w:tcPr>
            <w:tcW w:w="1417" w:type="dxa"/>
            <w:tcBorders>
              <w:top w:val="nil"/>
              <w:left w:val="nil"/>
              <w:bottom w:val="nil"/>
              <w:right w:val="nil"/>
            </w:tcBorders>
            <w:shd w:val="clear" w:color="auto" w:fill="auto"/>
            <w:noWrap/>
            <w:vAlign w:val="center"/>
            <w:hideMark/>
          </w:tcPr>
          <w:p w14:paraId="3D659715" w14:textId="6F17C843" w:rsidR="008B4A34" w:rsidRPr="00FC2211" w:rsidRDefault="008B4A34" w:rsidP="00551FE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8,439 </w:t>
            </w:r>
          </w:p>
        </w:tc>
        <w:tc>
          <w:tcPr>
            <w:tcW w:w="1328" w:type="dxa"/>
            <w:tcBorders>
              <w:top w:val="nil"/>
              <w:left w:val="nil"/>
              <w:bottom w:val="nil"/>
              <w:right w:val="nil"/>
            </w:tcBorders>
            <w:shd w:val="clear" w:color="auto" w:fill="auto"/>
            <w:noWrap/>
            <w:vAlign w:val="center"/>
            <w:hideMark/>
          </w:tcPr>
          <w:p w14:paraId="7D61C6AF" w14:textId="4D5B20D4" w:rsidR="008B4A34" w:rsidRPr="00FC2211" w:rsidRDefault="008B4A34" w:rsidP="00551FE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8,439 </w:t>
            </w:r>
          </w:p>
        </w:tc>
      </w:tr>
      <w:tr w:rsidR="008B4A34" w:rsidRPr="00FC2211" w14:paraId="2AFEEF94" w14:textId="77777777" w:rsidTr="00C1655F">
        <w:trPr>
          <w:trHeight w:val="240"/>
          <w:jc w:val="center"/>
        </w:trPr>
        <w:tc>
          <w:tcPr>
            <w:tcW w:w="2835" w:type="dxa"/>
            <w:tcBorders>
              <w:top w:val="single" w:sz="4" w:space="0" w:color="auto"/>
              <w:left w:val="nil"/>
              <w:bottom w:val="single" w:sz="4" w:space="0" w:color="auto"/>
              <w:right w:val="nil"/>
            </w:tcBorders>
            <w:shd w:val="clear" w:color="auto" w:fill="auto"/>
            <w:noWrap/>
            <w:vAlign w:val="center"/>
            <w:hideMark/>
          </w:tcPr>
          <w:p w14:paraId="24DE7A1C"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w:t>
            </w:r>
          </w:p>
        </w:tc>
        <w:tc>
          <w:tcPr>
            <w:tcW w:w="1082" w:type="dxa"/>
            <w:tcBorders>
              <w:top w:val="single" w:sz="4" w:space="0" w:color="auto"/>
              <w:left w:val="nil"/>
              <w:bottom w:val="single" w:sz="4" w:space="0" w:color="auto"/>
              <w:right w:val="nil"/>
            </w:tcBorders>
            <w:shd w:val="clear" w:color="auto" w:fill="auto"/>
            <w:noWrap/>
            <w:vAlign w:val="center"/>
            <w:hideMark/>
          </w:tcPr>
          <w:p w14:paraId="05FF4A29" w14:textId="09541400"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(194,718)</w:t>
            </w:r>
          </w:p>
        </w:tc>
        <w:tc>
          <w:tcPr>
            <w:tcW w:w="1559" w:type="dxa"/>
            <w:tcBorders>
              <w:top w:val="single" w:sz="4" w:space="0" w:color="auto"/>
              <w:left w:val="nil"/>
              <w:bottom w:val="single" w:sz="4" w:space="0" w:color="auto"/>
              <w:right w:val="nil"/>
            </w:tcBorders>
            <w:shd w:val="clear" w:color="auto" w:fill="auto"/>
            <w:noWrap/>
            <w:vAlign w:val="center"/>
            <w:hideMark/>
          </w:tcPr>
          <w:p w14:paraId="2DCCAD09" w14:textId="211A4A95"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(13,901)</w:t>
            </w:r>
          </w:p>
        </w:tc>
        <w:tc>
          <w:tcPr>
            <w:tcW w:w="1418" w:type="dxa"/>
            <w:tcBorders>
              <w:top w:val="single" w:sz="4" w:space="0" w:color="auto"/>
              <w:left w:val="nil"/>
              <w:bottom w:val="single" w:sz="4" w:space="0" w:color="auto"/>
              <w:right w:val="nil"/>
            </w:tcBorders>
            <w:shd w:val="clear" w:color="auto" w:fill="auto"/>
            <w:noWrap/>
            <w:vAlign w:val="center"/>
            <w:hideMark/>
          </w:tcPr>
          <w:p w14:paraId="2016F735" w14:textId="6447D114"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(260,206)</w:t>
            </w:r>
          </w:p>
        </w:tc>
        <w:tc>
          <w:tcPr>
            <w:tcW w:w="1417" w:type="dxa"/>
            <w:tcBorders>
              <w:top w:val="single" w:sz="4" w:space="0" w:color="auto"/>
              <w:left w:val="nil"/>
              <w:bottom w:val="single" w:sz="4" w:space="0" w:color="auto"/>
              <w:right w:val="nil"/>
            </w:tcBorders>
            <w:shd w:val="clear" w:color="auto" w:fill="auto"/>
            <w:noWrap/>
            <w:vAlign w:val="center"/>
            <w:hideMark/>
          </w:tcPr>
          <w:p w14:paraId="2C1663ED" w14:textId="04C36BC9"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(1,492,352)</w:t>
            </w:r>
          </w:p>
        </w:tc>
        <w:tc>
          <w:tcPr>
            <w:tcW w:w="1328" w:type="dxa"/>
            <w:tcBorders>
              <w:top w:val="single" w:sz="4" w:space="0" w:color="auto"/>
              <w:left w:val="nil"/>
              <w:bottom w:val="single" w:sz="4" w:space="0" w:color="auto"/>
              <w:right w:val="nil"/>
            </w:tcBorders>
            <w:shd w:val="clear" w:color="auto" w:fill="auto"/>
            <w:noWrap/>
            <w:vAlign w:val="center"/>
            <w:hideMark/>
          </w:tcPr>
          <w:p w14:paraId="7204535C" w14:textId="36848C29"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(1,961,177)</w:t>
            </w:r>
          </w:p>
        </w:tc>
      </w:tr>
      <w:tr w:rsidR="00C1655F" w:rsidRPr="00FC2211" w14:paraId="4EE74FDB" w14:textId="77777777" w:rsidTr="00C1655F">
        <w:trPr>
          <w:trHeight w:val="492"/>
          <w:jc w:val="center"/>
        </w:trPr>
        <w:tc>
          <w:tcPr>
            <w:tcW w:w="2835" w:type="dxa"/>
            <w:tcBorders>
              <w:top w:val="nil"/>
              <w:left w:val="nil"/>
              <w:bottom w:val="single" w:sz="8" w:space="0" w:color="auto"/>
              <w:right w:val="nil"/>
            </w:tcBorders>
            <w:shd w:val="clear" w:color="auto" w:fill="auto"/>
            <w:vAlign w:val="center"/>
            <w:hideMark/>
          </w:tcPr>
          <w:p w14:paraId="1139BDAF" w14:textId="77777777" w:rsidR="008B4A34" w:rsidRPr="00FC2211" w:rsidRDefault="008B4A34" w:rsidP="008B4A34">
            <w:pPr>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Net income (loss) and comprehensive income (loss)</w:t>
            </w:r>
          </w:p>
        </w:tc>
        <w:tc>
          <w:tcPr>
            <w:tcW w:w="1082" w:type="dxa"/>
            <w:tcBorders>
              <w:top w:val="nil"/>
              <w:left w:val="nil"/>
              <w:bottom w:val="single" w:sz="8" w:space="0" w:color="auto"/>
              <w:right w:val="nil"/>
            </w:tcBorders>
            <w:shd w:val="clear" w:color="auto" w:fill="auto"/>
            <w:noWrap/>
            <w:vAlign w:val="center"/>
            <w:hideMark/>
          </w:tcPr>
          <w:p w14:paraId="6F2EAFE6" w14:textId="3BEEAF27" w:rsidR="008B4A34" w:rsidRPr="00FC2211" w:rsidRDefault="008B4A34" w:rsidP="008B4A3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85,810 </w:t>
            </w:r>
          </w:p>
        </w:tc>
        <w:tc>
          <w:tcPr>
            <w:tcW w:w="1559" w:type="dxa"/>
            <w:tcBorders>
              <w:top w:val="nil"/>
              <w:left w:val="nil"/>
              <w:bottom w:val="single" w:sz="8" w:space="0" w:color="auto"/>
              <w:right w:val="nil"/>
            </w:tcBorders>
            <w:shd w:val="clear" w:color="auto" w:fill="auto"/>
            <w:noWrap/>
            <w:vAlign w:val="center"/>
            <w:hideMark/>
          </w:tcPr>
          <w:p w14:paraId="6D1EF5C6" w14:textId="534397C4" w:rsidR="008B4A34" w:rsidRPr="00FC2211" w:rsidRDefault="008B4A34" w:rsidP="008B4A34">
            <w:pPr>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17,279 </w:t>
            </w:r>
          </w:p>
        </w:tc>
        <w:tc>
          <w:tcPr>
            <w:tcW w:w="1418" w:type="dxa"/>
            <w:tcBorders>
              <w:top w:val="nil"/>
              <w:left w:val="nil"/>
              <w:bottom w:val="single" w:sz="8" w:space="0" w:color="auto"/>
              <w:right w:val="nil"/>
            </w:tcBorders>
            <w:shd w:val="clear" w:color="auto" w:fill="auto"/>
            <w:noWrap/>
            <w:vAlign w:val="center"/>
            <w:hideMark/>
          </w:tcPr>
          <w:p w14:paraId="57C7AA6F" w14:textId="1815A55D"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(183,058)</w:t>
            </w:r>
          </w:p>
        </w:tc>
        <w:tc>
          <w:tcPr>
            <w:tcW w:w="1417" w:type="dxa"/>
            <w:tcBorders>
              <w:top w:val="nil"/>
              <w:left w:val="nil"/>
              <w:bottom w:val="single" w:sz="8" w:space="0" w:color="auto"/>
              <w:right w:val="nil"/>
            </w:tcBorders>
            <w:shd w:val="clear" w:color="auto" w:fill="auto"/>
            <w:noWrap/>
            <w:vAlign w:val="center"/>
            <w:hideMark/>
          </w:tcPr>
          <w:p w14:paraId="21E247C2" w14:textId="34B3DCE1"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(1,492,352)</w:t>
            </w:r>
          </w:p>
        </w:tc>
        <w:tc>
          <w:tcPr>
            <w:tcW w:w="1328" w:type="dxa"/>
            <w:tcBorders>
              <w:top w:val="nil"/>
              <w:left w:val="nil"/>
              <w:bottom w:val="single" w:sz="8" w:space="0" w:color="auto"/>
              <w:right w:val="nil"/>
            </w:tcBorders>
            <w:shd w:val="clear" w:color="auto" w:fill="auto"/>
            <w:noWrap/>
            <w:vAlign w:val="center"/>
            <w:hideMark/>
          </w:tcPr>
          <w:p w14:paraId="00E79261" w14:textId="799FD2B8" w:rsidR="008B4A34" w:rsidRPr="00FC2211" w:rsidRDefault="008B4A34" w:rsidP="00AB1687">
            <w:pPr>
              <w:ind w:right="-62"/>
              <w:jc w:val="right"/>
              <w:rPr>
                <w:rFonts w:ascii="Calibri" w:hAnsi="Calibri" w:cs="Calibri"/>
                <w:color w:val="000000"/>
                <w:sz w:val="18"/>
                <w:szCs w:val="18"/>
                <w:lang w:val="en-CA" w:eastAsia="en-CA"/>
              </w:rPr>
            </w:pPr>
            <w:r w:rsidRPr="00FC2211">
              <w:rPr>
                <w:rFonts w:ascii="Calibri" w:hAnsi="Calibri" w:cs="Calibri"/>
                <w:color w:val="000000"/>
                <w:sz w:val="18"/>
                <w:szCs w:val="18"/>
                <w:lang w:val="en-CA" w:eastAsia="en-CA"/>
              </w:rPr>
              <w:t xml:space="preserve"> $ (1,572,321)</w:t>
            </w:r>
          </w:p>
        </w:tc>
      </w:tr>
    </w:tbl>
    <w:p w14:paraId="2CDE4C52" w14:textId="74A9EED7" w:rsidR="00A1525E" w:rsidRPr="00FC2211" w:rsidRDefault="00286D08" w:rsidP="00911D3B">
      <w:pPr>
        <w:rPr>
          <w:i/>
          <w:iCs/>
          <w:sz w:val="18"/>
          <w:szCs w:val="18"/>
          <w:lang w:val="en-GB"/>
        </w:rPr>
      </w:pPr>
      <w:r w:rsidRPr="00FC2211">
        <w:rPr>
          <w:i/>
          <w:iCs/>
          <w:sz w:val="18"/>
          <w:szCs w:val="18"/>
          <w:lang w:val="en-GB"/>
        </w:rPr>
        <w:t xml:space="preserve">      </w:t>
      </w:r>
      <w:r w:rsidR="00A1525E" w:rsidRPr="00FC2211">
        <w:rPr>
          <w:i/>
          <w:iCs/>
          <w:sz w:val="18"/>
          <w:szCs w:val="18"/>
          <w:lang w:val="en-GB"/>
        </w:rPr>
        <w:t xml:space="preserve">*Operating expenses </w:t>
      </w:r>
      <w:r w:rsidR="00C83304" w:rsidRPr="00FC2211">
        <w:rPr>
          <w:i/>
          <w:iCs/>
          <w:sz w:val="18"/>
          <w:szCs w:val="18"/>
          <w:lang w:val="en-GB"/>
        </w:rPr>
        <w:t>include</w:t>
      </w:r>
      <w:r w:rsidR="00A1525E" w:rsidRPr="00FC2211">
        <w:rPr>
          <w:i/>
          <w:iCs/>
          <w:sz w:val="18"/>
          <w:szCs w:val="18"/>
          <w:lang w:val="en-GB"/>
        </w:rPr>
        <w:t xml:space="preserve"> Administration, Selling, Marketing</w:t>
      </w:r>
      <w:r w:rsidR="00D02C78" w:rsidRPr="00FC2211">
        <w:rPr>
          <w:i/>
          <w:iCs/>
          <w:sz w:val="18"/>
          <w:szCs w:val="18"/>
          <w:lang w:val="en-GB"/>
        </w:rPr>
        <w:t>,</w:t>
      </w:r>
      <w:r w:rsidR="00A1525E" w:rsidRPr="00FC2211">
        <w:rPr>
          <w:i/>
          <w:iCs/>
          <w:sz w:val="18"/>
          <w:szCs w:val="18"/>
          <w:lang w:val="en-GB"/>
        </w:rPr>
        <w:t xml:space="preserve"> and Research and Development costs.</w:t>
      </w:r>
    </w:p>
    <w:p w14:paraId="5209CC5E" w14:textId="5DBF5639" w:rsidR="001706B5" w:rsidRPr="00FC2211" w:rsidRDefault="001706B5" w:rsidP="00A1525E">
      <w:pPr>
        <w:ind w:left="282" w:firstLine="144"/>
        <w:rPr>
          <w:rFonts w:eastAsiaTheme="minorEastAsia" w:cstheme="minorBidi"/>
          <w:szCs w:val="20"/>
          <w:lang w:val="en-GB"/>
        </w:rPr>
      </w:pPr>
    </w:p>
    <w:p w14:paraId="243D3ECD" w14:textId="4C020210" w:rsidR="007C59F4" w:rsidRPr="00FC2211" w:rsidRDefault="00AE4F6F" w:rsidP="00D02C78">
      <w:pPr>
        <w:ind w:left="426"/>
        <w:jc w:val="both"/>
        <w:rPr>
          <w:rFonts w:cstheme="minorHAnsi"/>
          <w:szCs w:val="20"/>
          <w:lang w:val="en-GB"/>
        </w:rPr>
      </w:pPr>
      <w:r w:rsidRPr="00FC2211">
        <w:rPr>
          <w:rFonts w:cstheme="minorHAnsi"/>
          <w:szCs w:val="20"/>
          <w:lang w:val="en-GB"/>
        </w:rPr>
        <w:t>Loss Prevention</w:t>
      </w:r>
      <w:r w:rsidR="00615ECB" w:rsidRPr="00FC2211">
        <w:rPr>
          <w:rFonts w:cstheme="minorHAnsi"/>
          <w:szCs w:val="20"/>
          <w:lang w:val="en-GB"/>
        </w:rPr>
        <w:t xml:space="preserve"> has </w:t>
      </w:r>
      <w:r w:rsidR="00A74D69" w:rsidRPr="00FC2211">
        <w:rPr>
          <w:rFonts w:cstheme="minorHAnsi"/>
          <w:szCs w:val="20"/>
          <w:lang w:val="en-GB"/>
        </w:rPr>
        <w:t>one</w:t>
      </w:r>
      <w:r w:rsidR="00C30437" w:rsidRPr="00FC2211">
        <w:rPr>
          <w:rFonts w:cstheme="minorHAnsi"/>
          <w:szCs w:val="20"/>
          <w:lang w:val="en-GB"/>
        </w:rPr>
        <w:t xml:space="preserve"> customer</w:t>
      </w:r>
      <w:r w:rsidR="00C83304" w:rsidRPr="00FC2211">
        <w:rPr>
          <w:rFonts w:cstheme="minorHAnsi"/>
          <w:szCs w:val="20"/>
          <w:lang w:val="en-GB"/>
        </w:rPr>
        <w:t>, accounting</w:t>
      </w:r>
      <w:r w:rsidR="0002175D" w:rsidRPr="00FC2211">
        <w:rPr>
          <w:rFonts w:cstheme="minorHAnsi"/>
          <w:szCs w:val="20"/>
          <w:lang w:val="en-GB"/>
        </w:rPr>
        <w:t xml:space="preserve"> for</w:t>
      </w:r>
      <w:r w:rsidR="00C30437" w:rsidRPr="00FC2211">
        <w:rPr>
          <w:rFonts w:cstheme="minorHAnsi"/>
          <w:szCs w:val="20"/>
          <w:lang w:val="en-GB"/>
        </w:rPr>
        <w:t xml:space="preserve"> </w:t>
      </w:r>
      <w:r w:rsidR="00A74D69" w:rsidRPr="00FC2211">
        <w:rPr>
          <w:rFonts w:cstheme="minorHAnsi"/>
          <w:szCs w:val="20"/>
          <w:lang w:val="en-GB"/>
        </w:rPr>
        <w:t>20</w:t>
      </w:r>
      <w:r w:rsidR="00C30437" w:rsidRPr="00FC2211">
        <w:rPr>
          <w:rFonts w:cstheme="minorHAnsi"/>
          <w:szCs w:val="20"/>
          <w:lang w:val="en-GB"/>
        </w:rPr>
        <w:t>% of revenue (</w:t>
      </w:r>
      <w:r w:rsidR="00A74D69" w:rsidRPr="00FC2211">
        <w:rPr>
          <w:rFonts w:cstheme="minorHAnsi"/>
          <w:szCs w:val="20"/>
          <w:lang w:val="en-GB"/>
        </w:rPr>
        <w:t>December 31</w:t>
      </w:r>
      <w:r w:rsidR="007165DF" w:rsidRPr="00FC2211">
        <w:rPr>
          <w:rFonts w:cstheme="minorHAnsi"/>
          <w:szCs w:val="20"/>
          <w:lang w:val="en-GB"/>
        </w:rPr>
        <w:t xml:space="preserve">, </w:t>
      </w:r>
      <w:r w:rsidR="00C30437" w:rsidRPr="00FC2211">
        <w:rPr>
          <w:rFonts w:cstheme="minorHAnsi"/>
          <w:szCs w:val="20"/>
          <w:lang w:val="en-GB"/>
        </w:rPr>
        <w:t>202</w:t>
      </w:r>
      <w:r w:rsidR="001A0AD2" w:rsidRPr="00FC2211">
        <w:rPr>
          <w:rFonts w:cstheme="minorHAnsi"/>
          <w:szCs w:val="20"/>
          <w:lang w:val="en-GB"/>
        </w:rPr>
        <w:t>2</w:t>
      </w:r>
      <w:r w:rsidR="00C30437" w:rsidRPr="00FC2211">
        <w:rPr>
          <w:rFonts w:cstheme="minorHAnsi"/>
          <w:szCs w:val="20"/>
          <w:lang w:val="en-GB"/>
        </w:rPr>
        <w:t xml:space="preserve"> </w:t>
      </w:r>
      <w:r w:rsidR="0002175D" w:rsidRPr="00FC2211">
        <w:rPr>
          <w:rFonts w:cstheme="minorHAnsi"/>
          <w:szCs w:val="20"/>
          <w:lang w:val="en-GB"/>
        </w:rPr>
        <w:t>–</w:t>
      </w:r>
      <w:r w:rsidR="00C30437" w:rsidRPr="00FC2211">
        <w:rPr>
          <w:rFonts w:cstheme="minorHAnsi"/>
          <w:szCs w:val="20"/>
          <w:lang w:val="en-GB"/>
        </w:rPr>
        <w:t xml:space="preserve"> </w:t>
      </w:r>
      <w:r w:rsidR="0002175D" w:rsidRPr="00FC2211">
        <w:rPr>
          <w:rFonts w:cstheme="minorHAnsi"/>
          <w:szCs w:val="20"/>
          <w:lang w:val="en-GB"/>
        </w:rPr>
        <w:t xml:space="preserve">4 customers accounting for </w:t>
      </w:r>
      <w:r w:rsidR="001A0AD2" w:rsidRPr="00FC2211">
        <w:rPr>
          <w:rFonts w:cstheme="minorHAnsi"/>
          <w:szCs w:val="20"/>
          <w:lang w:val="en-GB"/>
        </w:rPr>
        <w:t>3</w:t>
      </w:r>
      <w:r w:rsidR="007165DF" w:rsidRPr="00FC2211">
        <w:rPr>
          <w:rFonts w:cstheme="minorHAnsi"/>
          <w:szCs w:val="20"/>
          <w:lang w:val="en-GB"/>
        </w:rPr>
        <w:t>1</w:t>
      </w:r>
      <w:r w:rsidR="00C30437" w:rsidRPr="00FC2211">
        <w:rPr>
          <w:rFonts w:cstheme="minorHAnsi"/>
          <w:szCs w:val="20"/>
          <w:lang w:val="en-GB"/>
        </w:rPr>
        <w:t xml:space="preserve">%). </w:t>
      </w:r>
      <w:r w:rsidRPr="00FC2211">
        <w:rPr>
          <w:rFonts w:cstheme="minorHAnsi"/>
          <w:szCs w:val="20"/>
          <w:lang w:val="en-GB"/>
        </w:rPr>
        <w:t xml:space="preserve">Fabrication Operations has </w:t>
      </w:r>
      <w:r w:rsidR="00BF135A" w:rsidRPr="00FC2211">
        <w:rPr>
          <w:rFonts w:cstheme="minorHAnsi"/>
          <w:szCs w:val="20"/>
          <w:lang w:val="en-GB"/>
        </w:rPr>
        <w:t>t</w:t>
      </w:r>
      <w:r w:rsidR="00580565" w:rsidRPr="00FC2211">
        <w:rPr>
          <w:rFonts w:cstheme="minorHAnsi"/>
          <w:szCs w:val="20"/>
          <w:lang w:val="en-GB"/>
        </w:rPr>
        <w:t>hree</w:t>
      </w:r>
      <w:r w:rsidRPr="00FC2211">
        <w:rPr>
          <w:rFonts w:cstheme="minorHAnsi"/>
          <w:szCs w:val="20"/>
          <w:lang w:val="en-GB"/>
        </w:rPr>
        <w:t xml:space="preserve"> customer</w:t>
      </w:r>
      <w:r w:rsidR="0024528A" w:rsidRPr="00FC2211">
        <w:rPr>
          <w:rFonts w:cstheme="minorHAnsi"/>
          <w:szCs w:val="20"/>
          <w:lang w:val="en-GB"/>
        </w:rPr>
        <w:t>s</w:t>
      </w:r>
      <w:r w:rsidR="00C83304" w:rsidRPr="00FC2211">
        <w:rPr>
          <w:rFonts w:cstheme="minorHAnsi"/>
          <w:szCs w:val="20"/>
          <w:lang w:val="en-GB"/>
        </w:rPr>
        <w:t>, accounting</w:t>
      </w:r>
      <w:r w:rsidR="0002175D" w:rsidRPr="00FC2211">
        <w:rPr>
          <w:rFonts w:cstheme="minorHAnsi"/>
          <w:szCs w:val="20"/>
          <w:lang w:val="en-GB"/>
        </w:rPr>
        <w:t xml:space="preserve"> for </w:t>
      </w:r>
      <w:r w:rsidR="00580565" w:rsidRPr="00FC2211">
        <w:rPr>
          <w:rFonts w:cstheme="minorHAnsi"/>
          <w:szCs w:val="20"/>
          <w:lang w:val="en-GB"/>
        </w:rPr>
        <w:t>85</w:t>
      </w:r>
      <w:r w:rsidR="0002175D" w:rsidRPr="00FC2211">
        <w:rPr>
          <w:rFonts w:cstheme="minorHAnsi"/>
          <w:szCs w:val="20"/>
          <w:lang w:val="en-GB"/>
        </w:rPr>
        <w:t>%</w:t>
      </w:r>
      <w:r w:rsidR="00C30437" w:rsidRPr="00FC2211">
        <w:rPr>
          <w:rFonts w:cstheme="minorHAnsi"/>
          <w:szCs w:val="20"/>
          <w:lang w:val="en-GB"/>
        </w:rPr>
        <w:t xml:space="preserve"> </w:t>
      </w:r>
      <w:r w:rsidR="0002175D" w:rsidRPr="00FC2211">
        <w:rPr>
          <w:rFonts w:cstheme="minorHAnsi"/>
          <w:szCs w:val="20"/>
          <w:lang w:val="en-GB"/>
        </w:rPr>
        <w:t>of revenue</w:t>
      </w:r>
      <w:r w:rsidR="00615ECB" w:rsidRPr="00FC2211">
        <w:rPr>
          <w:rFonts w:cstheme="minorHAnsi"/>
          <w:szCs w:val="20"/>
          <w:lang w:val="en-GB"/>
        </w:rPr>
        <w:t xml:space="preserve"> (</w:t>
      </w:r>
      <w:r w:rsidR="00580565" w:rsidRPr="00FC2211">
        <w:rPr>
          <w:rFonts w:cstheme="minorHAnsi"/>
          <w:szCs w:val="20"/>
          <w:lang w:val="en-GB"/>
        </w:rPr>
        <w:t>December 31</w:t>
      </w:r>
      <w:r w:rsidR="00547C9B" w:rsidRPr="00FC2211">
        <w:rPr>
          <w:rFonts w:cstheme="minorHAnsi"/>
          <w:szCs w:val="20"/>
          <w:lang w:val="en-GB"/>
        </w:rPr>
        <w:t>, 2022</w:t>
      </w:r>
      <w:r w:rsidR="00615ECB" w:rsidRPr="00FC2211">
        <w:rPr>
          <w:rFonts w:cstheme="minorHAnsi"/>
          <w:szCs w:val="20"/>
          <w:lang w:val="en-GB"/>
        </w:rPr>
        <w:t xml:space="preserve"> – </w:t>
      </w:r>
      <w:r w:rsidR="0002175D" w:rsidRPr="00FC2211">
        <w:rPr>
          <w:rFonts w:cstheme="minorHAnsi"/>
          <w:szCs w:val="20"/>
          <w:lang w:val="en-GB"/>
        </w:rPr>
        <w:t xml:space="preserve">one customer accounting for </w:t>
      </w:r>
      <w:r w:rsidR="00547C9B" w:rsidRPr="00FC2211">
        <w:rPr>
          <w:rFonts w:cstheme="minorHAnsi"/>
          <w:szCs w:val="20"/>
          <w:lang w:val="en-GB"/>
        </w:rPr>
        <w:t>54</w:t>
      </w:r>
      <w:r w:rsidR="00615ECB" w:rsidRPr="00FC2211">
        <w:rPr>
          <w:rFonts w:cstheme="minorHAnsi"/>
          <w:szCs w:val="20"/>
          <w:lang w:val="en-GB"/>
        </w:rPr>
        <w:t>%)</w:t>
      </w:r>
      <w:r w:rsidR="00176536" w:rsidRPr="00FC2211">
        <w:rPr>
          <w:rFonts w:cstheme="minorHAnsi"/>
          <w:szCs w:val="20"/>
          <w:lang w:val="en-GB"/>
        </w:rPr>
        <w:t>.</w:t>
      </w:r>
      <w:r w:rsidR="00580565" w:rsidRPr="00FC2211">
        <w:rPr>
          <w:rFonts w:cstheme="minorHAnsi"/>
          <w:szCs w:val="20"/>
          <w:lang w:val="en-GB"/>
        </w:rPr>
        <w:t xml:space="preserve"> Retail Media has two customers accounting</w:t>
      </w:r>
      <w:r w:rsidR="00975E60" w:rsidRPr="00FC2211">
        <w:rPr>
          <w:rFonts w:cstheme="minorHAnsi"/>
          <w:szCs w:val="20"/>
          <w:lang w:val="en-GB"/>
        </w:rPr>
        <w:t xml:space="preserve"> </w:t>
      </w:r>
      <w:r w:rsidR="003A5824" w:rsidRPr="00FC2211">
        <w:rPr>
          <w:rFonts w:cstheme="minorHAnsi"/>
          <w:szCs w:val="20"/>
          <w:lang w:val="en-GB"/>
        </w:rPr>
        <w:t xml:space="preserve">for 85% </w:t>
      </w:r>
      <w:r w:rsidR="007425AF" w:rsidRPr="00FC2211">
        <w:rPr>
          <w:rFonts w:cstheme="minorHAnsi"/>
          <w:szCs w:val="20"/>
          <w:lang w:val="en-GB"/>
        </w:rPr>
        <w:t xml:space="preserve">of </w:t>
      </w:r>
      <w:r w:rsidR="00CF196C" w:rsidRPr="00FC2211">
        <w:rPr>
          <w:rFonts w:cstheme="minorHAnsi"/>
          <w:szCs w:val="20"/>
          <w:lang w:val="en-GB"/>
        </w:rPr>
        <w:t xml:space="preserve">revenue (December 31, 2022 </w:t>
      </w:r>
      <w:r w:rsidR="008A7E73" w:rsidRPr="00FC2211">
        <w:rPr>
          <w:rFonts w:cstheme="minorHAnsi"/>
          <w:szCs w:val="20"/>
          <w:lang w:val="en-GB"/>
        </w:rPr>
        <w:t>–</w:t>
      </w:r>
      <w:r w:rsidR="00CF196C" w:rsidRPr="00FC2211">
        <w:rPr>
          <w:rFonts w:cstheme="minorHAnsi"/>
          <w:szCs w:val="20"/>
          <w:lang w:val="en-GB"/>
        </w:rPr>
        <w:t xml:space="preserve"> </w:t>
      </w:r>
      <w:r w:rsidR="008A7E73" w:rsidRPr="00FC2211">
        <w:rPr>
          <w:rFonts w:cstheme="minorHAnsi"/>
          <w:szCs w:val="20"/>
          <w:lang w:val="en-GB"/>
        </w:rPr>
        <w:t>2 customers</w:t>
      </w:r>
      <w:r w:rsidR="00580565" w:rsidRPr="00FC2211">
        <w:rPr>
          <w:rFonts w:cstheme="minorHAnsi"/>
          <w:szCs w:val="20"/>
          <w:lang w:val="en-GB"/>
        </w:rPr>
        <w:t xml:space="preserve"> </w:t>
      </w:r>
      <w:r w:rsidR="006E1CCF" w:rsidRPr="00FC2211">
        <w:rPr>
          <w:rFonts w:cstheme="minorHAnsi"/>
          <w:szCs w:val="20"/>
          <w:lang w:val="en-GB"/>
        </w:rPr>
        <w:t xml:space="preserve">accounting for </w:t>
      </w:r>
      <w:r w:rsidR="008E0871" w:rsidRPr="00FC2211">
        <w:rPr>
          <w:rFonts w:cstheme="minorHAnsi"/>
          <w:szCs w:val="20"/>
          <w:lang w:val="en-GB"/>
        </w:rPr>
        <w:t>74</w:t>
      </w:r>
      <w:r w:rsidR="006E1CCF" w:rsidRPr="00FC2211">
        <w:rPr>
          <w:rFonts w:cstheme="minorHAnsi"/>
          <w:szCs w:val="20"/>
          <w:lang w:val="en-GB"/>
        </w:rPr>
        <w:t>%</w:t>
      </w:r>
      <w:r w:rsidR="00252B7D" w:rsidRPr="00FC2211">
        <w:rPr>
          <w:rFonts w:cstheme="minorHAnsi"/>
          <w:szCs w:val="20"/>
          <w:lang w:val="en-GB"/>
        </w:rPr>
        <w:t>)</w:t>
      </w:r>
    </w:p>
    <w:p w14:paraId="5C9F110B" w14:textId="10D98BBA" w:rsidR="008361F8" w:rsidRPr="00FC2211" w:rsidRDefault="008361F8" w:rsidP="00D02C78">
      <w:pPr>
        <w:ind w:left="426"/>
        <w:jc w:val="both"/>
        <w:rPr>
          <w:rFonts w:cstheme="minorHAnsi"/>
          <w:szCs w:val="20"/>
          <w:lang w:val="en-GB"/>
        </w:rPr>
      </w:pPr>
    </w:p>
    <w:p w14:paraId="5D5DB347" w14:textId="380017FD" w:rsidR="004035DA" w:rsidRPr="00FC2211" w:rsidRDefault="004035DA" w:rsidP="00D02C78">
      <w:pPr>
        <w:ind w:left="426" w:firstLine="6"/>
        <w:jc w:val="both"/>
        <w:rPr>
          <w:rFonts w:cstheme="minorBidi"/>
          <w:lang w:val="en-GB"/>
        </w:rPr>
      </w:pPr>
      <w:r w:rsidRPr="00FC2211">
        <w:rPr>
          <w:rFonts w:cstheme="minorBidi"/>
          <w:lang w:val="en-GB"/>
        </w:rPr>
        <w:t xml:space="preserve">The Company’s chief operation decision makers are the CEO, </w:t>
      </w:r>
      <w:r w:rsidR="00C83304" w:rsidRPr="00FC2211">
        <w:rPr>
          <w:rFonts w:cstheme="minorBidi"/>
          <w:lang w:val="en-GB"/>
        </w:rPr>
        <w:t xml:space="preserve">President, Corporate Secretary, and </w:t>
      </w:r>
      <w:r w:rsidRPr="00FC2211">
        <w:rPr>
          <w:rFonts w:cstheme="minorBidi"/>
          <w:lang w:val="en-GB"/>
        </w:rPr>
        <w:t xml:space="preserve">CFO. They review the operations and performance of the Company. All of the Company’s assets are in Canada.  </w:t>
      </w:r>
    </w:p>
    <w:p w14:paraId="36EAE2DC" w14:textId="77777777" w:rsidR="00911D3B" w:rsidRPr="00FC2211" w:rsidRDefault="00911D3B" w:rsidP="002B36BD">
      <w:pPr>
        <w:ind w:left="426" w:firstLine="1"/>
        <w:rPr>
          <w:rFonts w:cstheme="minorHAnsi"/>
          <w:szCs w:val="20"/>
          <w:lang w:val="en-GB"/>
        </w:rPr>
      </w:pPr>
    </w:p>
    <w:p w14:paraId="61973293" w14:textId="77777777" w:rsidR="00DE308A" w:rsidRPr="00FC2211" w:rsidRDefault="00DE308A" w:rsidP="002B36BD">
      <w:pPr>
        <w:ind w:left="426" w:firstLine="1"/>
        <w:rPr>
          <w:rFonts w:cstheme="minorHAnsi"/>
          <w:szCs w:val="20"/>
          <w:lang w:val="en-GB"/>
        </w:rPr>
      </w:pPr>
    </w:p>
    <w:p w14:paraId="34321F64" w14:textId="77777777" w:rsidR="00DE308A" w:rsidRPr="00FC2211" w:rsidRDefault="00DE308A" w:rsidP="002B36BD">
      <w:pPr>
        <w:ind w:left="426" w:firstLine="1"/>
        <w:rPr>
          <w:rFonts w:cstheme="minorHAnsi"/>
          <w:szCs w:val="20"/>
          <w:lang w:val="en-GB"/>
        </w:rPr>
      </w:pPr>
    </w:p>
    <w:p w14:paraId="32934AE9" w14:textId="77777777" w:rsidR="00DE308A" w:rsidRPr="00FC2211" w:rsidRDefault="00DE308A" w:rsidP="002B36BD">
      <w:pPr>
        <w:ind w:left="426" w:firstLine="1"/>
        <w:rPr>
          <w:rFonts w:cstheme="minorHAnsi"/>
          <w:szCs w:val="20"/>
          <w:lang w:val="en-GB"/>
        </w:rPr>
      </w:pPr>
    </w:p>
    <w:p w14:paraId="37B2AB82" w14:textId="77777777" w:rsidR="00DE308A" w:rsidRPr="00FC2211" w:rsidRDefault="00DE308A" w:rsidP="002B36BD">
      <w:pPr>
        <w:ind w:left="426" w:firstLine="1"/>
        <w:rPr>
          <w:rFonts w:cstheme="minorHAnsi"/>
          <w:szCs w:val="20"/>
          <w:lang w:val="en-GB"/>
        </w:rPr>
      </w:pPr>
    </w:p>
    <w:p w14:paraId="39D9340A" w14:textId="2B1D53AF" w:rsidR="00A025C9" w:rsidRPr="00FC2211" w:rsidRDefault="00A025C9" w:rsidP="00A025C9">
      <w:pPr>
        <w:pStyle w:val="Heading1"/>
        <w:rPr>
          <w:lang w:val="en-GB"/>
        </w:rPr>
      </w:pPr>
      <w:r w:rsidRPr="00FC2211">
        <w:rPr>
          <w:lang w:val="en-GB"/>
        </w:rPr>
        <w:lastRenderedPageBreak/>
        <w:t>22</w:t>
      </w:r>
      <w:r w:rsidR="00714F68">
        <w:rPr>
          <w:lang w:val="en-GB"/>
        </w:rPr>
        <w:t>.</w:t>
      </w:r>
      <w:r w:rsidRPr="00FC2211">
        <w:rPr>
          <w:lang w:val="en-GB"/>
        </w:rPr>
        <w:t xml:space="preserve">   SEGMENTED INFORMATION (CONTINUED)</w:t>
      </w:r>
    </w:p>
    <w:p w14:paraId="7AA02598" w14:textId="77777777" w:rsidR="00DE308A" w:rsidRPr="00FC2211" w:rsidRDefault="00DE308A" w:rsidP="002B36BD">
      <w:pPr>
        <w:ind w:left="426" w:firstLine="1"/>
        <w:rPr>
          <w:rFonts w:cstheme="minorHAnsi"/>
          <w:szCs w:val="20"/>
          <w:lang w:val="en-GB"/>
        </w:rPr>
      </w:pPr>
    </w:p>
    <w:p w14:paraId="7A4CD17E" w14:textId="5C6A71E4" w:rsidR="009042CD" w:rsidRPr="00FC2211" w:rsidRDefault="000C232A" w:rsidP="002B36BD">
      <w:pPr>
        <w:ind w:left="426" w:firstLine="1"/>
        <w:rPr>
          <w:rFonts w:cstheme="minorHAnsi"/>
          <w:szCs w:val="20"/>
          <w:lang w:val="en-GB"/>
        </w:rPr>
      </w:pPr>
      <w:r w:rsidRPr="00FC2211">
        <w:rPr>
          <w:rFonts w:cstheme="minorHAnsi"/>
          <w:szCs w:val="20"/>
          <w:lang w:val="en-GB"/>
        </w:rPr>
        <w:t>S</w:t>
      </w:r>
      <w:r w:rsidR="009042CD" w:rsidRPr="00FC2211">
        <w:rPr>
          <w:rFonts w:cstheme="minorHAnsi"/>
          <w:szCs w:val="20"/>
          <w:lang w:val="en-GB"/>
        </w:rPr>
        <w:t xml:space="preserve">ales by geographical locations are as follows: </w:t>
      </w:r>
    </w:p>
    <w:tbl>
      <w:tblPr>
        <w:tblW w:w="4678" w:type="dxa"/>
        <w:jc w:val="center"/>
        <w:tblLook w:val="04A0" w:firstRow="1" w:lastRow="0" w:firstColumn="1" w:lastColumn="0" w:noHBand="0" w:noVBand="1"/>
      </w:tblPr>
      <w:tblGrid>
        <w:gridCol w:w="1560"/>
        <w:gridCol w:w="2001"/>
        <w:gridCol w:w="1117"/>
      </w:tblGrid>
      <w:tr w:rsidR="006715E7" w:rsidRPr="00FC2211" w14:paraId="111C2DB0" w14:textId="77777777" w:rsidTr="00DE308A">
        <w:trPr>
          <w:trHeight w:val="480"/>
          <w:jc w:val="center"/>
        </w:trPr>
        <w:tc>
          <w:tcPr>
            <w:tcW w:w="1560" w:type="dxa"/>
            <w:tcBorders>
              <w:top w:val="nil"/>
              <w:left w:val="nil"/>
              <w:bottom w:val="nil"/>
              <w:right w:val="nil"/>
            </w:tcBorders>
            <w:shd w:val="clear" w:color="auto" w:fill="auto"/>
            <w:noWrap/>
            <w:vAlign w:val="bottom"/>
            <w:hideMark/>
          </w:tcPr>
          <w:p w14:paraId="51ADE2A0" w14:textId="77777777" w:rsidR="006715E7" w:rsidRPr="00FC2211" w:rsidRDefault="006715E7" w:rsidP="006715E7">
            <w:pPr>
              <w:rPr>
                <w:rFonts w:ascii="Times New Roman" w:hAnsi="Times New Roman"/>
                <w:szCs w:val="20"/>
                <w:lang w:val="en-CA" w:eastAsia="en-CA"/>
              </w:rPr>
            </w:pPr>
          </w:p>
        </w:tc>
        <w:tc>
          <w:tcPr>
            <w:tcW w:w="3118" w:type="dxa"/>
            <w:gridSpan w:val="2"/>
            <w:tcBorders>
              <w:top w:val="nil"/>
              <w:left w:val="nil"/>
              <w:bottom w:val="single" w:sz="4" w:space="0" w:color="auto"/>
              <w:right w:val="nil"/>
            </w:tcBorders>
            <w:shd w:val="clear" w:color="auto" w:fill="auto"/>
            <w:vAlign w:val="center"/>
            <w:hideMark/>
          </w:tcPr>
          <w:p w14:paraId="16DC00EC" w14:textId="7BE56397" w:rsidR="006715E7" w:rsidRPr="00FC2211" w:rsidRDefault="006715E7" w:rsidP="006715E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For the </w:t>
            </w:r>
            <w:r w:rsidR="00252B7D" w:rsidRPr="00FC2211">
              <w:rPr>
                <w:rFonts w:ascii="Calibri" w:hAnsi="Calibri" w:cs="Calibri"/>
                <w:b/>
                <w:bCs/>
                <w:color w:val="000000"/>
                <w:szCs w:val="20"/>
                <w:lang w:val="en-CA" w:eastAsia="en-CA"/>
              </w:rPr>
              <w:t>six</w:t>
            </w:r>
            <w:r w:rsidRPr="00FC2211">
              <w:rPr>
                <w:rFonts w:ascii="Calibri" w:hAnsi="Calibri" w:cs="Calibri"/>
                <w:b/>
                <w:bCs/>
                <w:color w:val="000000"/>
                <w:szCs w:val="20"/>
                <w:lang w:val="en-CA" w:eastAsia="en-CA"/>
              </w:rPr>
              <w:t xml:space="preserve"> months ended </w:t>
            </w:r>
            <w:r w:rsidR="00252B7D" w:rsidRPr="00FC2211">
              <w:rPr>
                <w:rFonts w:ascii="Calibri" w:hAnsi="Calibri" w:cs="Calibri"/>
                <w:b/>
                <w:bCs/>
                <w:color w:val="000000"/>
                <w:szCs w:val="20"/>
                <w:lang w:val="en-CA" w:eastAsia="en-CA"/>
              </w:rPr>
              <w:t>December 31</w:t>
            </w:r>
          </w:p>
        </w:tc>
      </w:tr>
      <w:tr w:rsidR="006715E7" w:rsidRPr="00FC2211" w14:paraId="0BAAD182" w14:textId="77777777" w:rsidTr="00DE308A">
        <w:trPr>
          <w:trHeight w:val="252"/>
          <w:jc w:val="center"/>
        </w:trPr>
        <w:tc>
          <w:tcPr>
            <w:tcW w:w="1560" w:type="dxa"/>
            <w:tcBorders>
              <w:top w:val="single" w:sz="4" w:space="0" w:color="auto"/>
              <w:left w:val="nil"/>
              <w:bottom w:val="single" w:sz="8" w:space="0" w:color="auto"/>
              <w:right w:val="nil"/>
            </w:tcBorders>
            <w:shd w:val="clear" w:color="auto" w:fill="auto"/>
            <w:noWrap/>
            <w:vAlign w:val="bottom"/>
            <w:hideMark/>
          </w:tcPr>
          <w:p w14:paraId="01116526" w14:textId="77777777" w:rsidR="006715E7" w:rsidRPr="00FC2211" w:rsidRDefault="006715E7" w:rsidP="006715E7">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2001" w:type="dxa"/>
            <w:tcBorders>
              <w:top w:val="nil"/>
              <w:left w:val="nil"/>
              <w:bottom w:val="single" w:sz="8" w:space="0" w:color="auto"/>
              <w:right w:val="nil"/>
            </w:tcBorders>
            <w:shd w:val="clear" w:color="auto" w:fill="auto"/>
            <w:vAlign w:val="center"/>
            <w:hideMark/>
          </w:tcPr>
          <w:p w14:paraId="13621CBA" w14:textId="77777777" w:rsidR="006715E7" w:rsidRPr="00FC2211" w:rsidRDefault="006715E7" w:rsidP="0024528A">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2023</w:t>
            </w:r>
          </w:p>
        </w:tc>
        <w:tc>
          <w:tcPr>
            <w:tcW w:w="1117" w:type="dxa"/>
            <w:tcBorders>
              <w:top w:val="nil"/>
              <w:left w:val="nil"/>
              <w:bottom w:val="single" w:sz="8" w:space="0" w:color="auto"/>
              <w:right w:val="nil"/>
            </w:tcBorders>
            <w:shd w:val="clear" w:color="auto" w:fill="auto"/>
            <w:vAlign w:val="center"/>
            <w:hideMark/>
          </w:tcPr>
          <w:p w14:paraId="35F4CEB5" w14:textId="77777777" w:rsidR="006715E7" w:rsidRPr="00FC2211" w:rsidRDefault="006715E7" w:rsidP="0024528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2022</w:t>
            </w:r>
          </w:p>
        </w:tc>
      </w:tr>
      <w:tr w:rsidR="006715E7" w:rsidRPr="00FC2211" w14:paraId="49F98DCD" w14:textId="77777777" w:rsidTr="00DE308A">
        <w:trPr>
          <w:trHeight w:val="240"/>
          <w:jc w:val="center"/>
        </w:trPr>
        <w:tc>
          <w:tcPr>
            <w:tcW w:w="1560" w:type="dxa"/>
            <w:tcBorders>
              <w:top w:val="nil"/>
              <w:left w:val="nil"/>
              <w:bottom w:val="nil"/>
              <w:right w:val="nil"/>
            </w:tcBorders>
            <w:shd w:val="clear" w:color="auto" w:fill="auto"/>
            <w:noWrap/>
            <w:vAlign w:val="bottom"/>
            <w:hideMark/>
          </w:tcPr>
          <w:p w14:paraId="333418A2" w14:textId="77777777" w:rsidR="006715E7" w:rsidRPr="00FC2211" w:rsidRDefault="006715E7" w:rsidP="006715E7">
            <w:pPr>
              <w:rPr>
                <w:rFonts w:ascii="Calibri" w:hAnsi="Calibri" w:cs="Calibri"/>
                <w:color w:val="000000"/>
                <w:szCs w:val="20"/>
                <w:lang w:val="en-CA" w:eastAsia="en-CA"/>
              </w:rPr>
            </w:pPr>
            <w:r w:rsidRPr="00FC2211">
              <w:rPr>
                <w:rFonts w:ascii="Calibri" w:hAnsi="Calibri" w:cs="Calibri"/>
                <w:color w:val="000000"/>
                <w:szCs w:val="20"/>
                <w:lang w:val="en-CA" w:eastAsia="en-CA"/>
              </w:rPr>
              <w:t>Canada</w:t>
            </w:r>
          </w:p>
        </w:tc>
        <w:tc>
          <w:tcPr>
            <w:tcW w:w="2001" w:type="dxa"/>
            <w:tcBorders>
              <w:top w:val="nil"/>
              <w:left w:val="nil"/>
              <w:bottom w:val="nil"/>
              <w:right w:val="nil"/>
            </w:tcBorders>
            <w:shd w:val="clear" w:color="auto" w:fill="auto"/>
            <w:noWrap/>
            <w:vAlign w:val="bottom"/>
            <w:hideMark/>
          </w:tcPr>
          <w:p w14:paraId="70A1BF5D" w14:textId="69190D39" w:rsidR="006715E7" w:rsidRPr="00FC2211" w:rsidRDefault="00DE308A" w:rsidP="006715E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w:t>
            </w:r>
            <w:r w:rsidR="006715E7" w:rsidRPr="00FC2211">
              <w:rPr>
                <w:rFonts w:ascii="Calibri" w:hAnsi="Calibri" w:cs="Calibri"/>
                <w:b/>
                <w:bCs/>
                <w:color w:val="000000"/>
                <w:szCs w:val="20"/>
                <w:lang w:val="en-CA" w:eastAsia="en-CA"/>
              </w:rPr>
              <w:t xml:space="preserve">  </w:t>
            </w:r>
            <w:r w:rsidRPr="00FC2211">
              <w:rPr>
                <w:rFonts w:ascii="Calibri" w:hAnsi="Calibri" w:cs="Calibri"/>
                <w:b/>
                <w:bCs/>
                <w:color w:val="000000"/>
                <w:szCs w:val="20"/>
                <w:lang w:val="en-CA" w:eastAsia="en-CA"/>
              </w:rPr>
              <w:t>392,081</w:t>
            </w:r>
            <w:r w:rsidR="006715E7" w:rsidRPr="00FC2211">
              <w:rPr>
                <w:rFonts w:ascii="Calibri" w:hAnsi="Calibri" w:cs="Calibri"/>
                <w:b/>
                <w:bCs/>
                <w:color w:val="000000"/>
                <w:szCs w:val="20"/>
                <w:lang w:val="en-CA" w:eastAsia="en-CA"/>
              </w:rPr>
              <w:t xml:space="preserve"> </w:t>
            </w:r>
          </w:p>
        </w:tc>
        <w:tc>
          <w:tcPr>
            <w:tcW w:w="1117" w:type="dxa"/>
            <w:tcBorders>
              <w:top w:val="nil"/>
              <w:left w:val="nil"/>
              <w:bottom w:val="nil"/>
              <w:right w:val="nil"/>
            </w:tcBorders>
            <w:shd w:val="clear" w:color="auto" w:fill="auto"/>
            <w:noWrap/>
            <w:vAlign w:val="bottom"/>
            <w:hideMark/>
          </w:tcPr>
          <w:p w14:paraId="08373BB0" w14:textId="1444E83F" w:rsidR="006715E7" w:rsidRPr="00FC2211" w:rsidRDefault="006715E7" w:rsidP="00DE308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DE308A" w:rsidRPr="00FC2211">
              <w:rPr>
                <w:rFonts w:ascii="Calibri" w:hAnsi="Calibri" w:cs="Calibri"/>
                <w:color w:val="000000"/>
                <w:szCs w:val="20"/>
                <w:lang w:val="en-CA" w:eastAsia="en-CA"/>
              </w:rPr>
              <w:t>$ 429,925</w:t>
            </w:r>
            <w:r w:rsidRPr="00FC2211">
              <w:rPr>
                <w:rFonts w:ascii="Calibri" w:hAnsi="Calibri" w:cs="Calibri"/>
                <w:color w:val="000000"/>
                <w:szCs w:val="20"/>
                <w:lang w:val="en-CA" w:eastAsia="en-CA"/>
              </w:rPr>
              <w:t xml:space="preserve"> </w:t>
            </w:r>
          </w:p>
        </w:tc>
      </w:tr>
      <w:tr w:rsidR="006715E7" w:rsidRPr="00FC2211" w14:paraId="4A404D53" w14:textId="77777777" w:rsidTr="00DE308A">
        <w:trPr>
          <w:trHeight w:val="240"/>
          <w:jc w:val="center"/>
        </w:trPr>
        <w:tc>
          <w:tcPr>
            <w:tcW w:w="1560" w:type="dxa"/>
            <w:tcBorders>
              <w:top w:val="nil"/>
              <w:left w:val="nil"/>
              <w:bottom w:val="nil"/>
              <w:right w:val="nil"/>
            </w:tcBorders>
            <w:shd w:val="clear" w:color="auto" w:fill="auto"/>
            <w:noWrap/>
            <w:vAlign w:val="bottom"/>
            <w:hideMark/>
          </w:tcPr>
          <w:p w14:paraId="05C1DA87" w14:textId="77777777" w:rsidR="006715E7" w:rsidRPr="00FC2211" w:rsidRDefault="006715E7" w:rsidP="006715E7">
            <w:pPr>
              <w:rPr>
                <w:rFonts w:ascii="Calibri" w:hAnsi="Calibri" w:cs="Calibri"/>
                <w:color w:val="000000"/>
                <w:szCs w:val="20"/>
                <w:lang w:val="en-CA" w:eastAsia="en-CA"/>
              </w:rPr>
            </w:pPr>
            <w:r w:rsidRPr="00FC2211">
              <w:rPr>
                <w:rFonts w:ascii="Calibri" w:hAnsi="Calibri" w:cs="Calibri"/>
                <w:color w:val="000000"/>
                <w:szCs w:val="20"/>
                <w:lang w:val="en-CA" w:eastAsia="en-CA"/>
              </w:rPr>
              <w:t>USA</w:t>
            </w:r>
          </w:p>
        </w:tc>
        <w:tc>
          <w:tcPr>
            <w:tcW w:w="2001" w:type="dxa"/>
            <w:tcBorders>
              <w:top w:val="nil"/>
              <w:left w:val="nil"/>
              <w:bottom w:val="nil"/>
              <w:right w:val="nil"/>
            </w:tcBorders>
            <w:shd w:val="clear" w:color="auto" w:fill="auto"/>
            <w:noWrap/>
            <w:vAlign w:val="bottom"/>
            <w:hideMark/>
          </w:tcPr>
          <w:p w14:paraId="78E9137A" w14:textId="0E8E3252" w:rsidR="006715E7" w:rsidRPr="00FC2211" w:rsidRDefault="006715E7" w:rsidP="006715E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DE308A" w:rsidRPr="00FC2211">
              <w:rPr>
                <w:rFonts w:ascii="Calibri" w:hAnsi="Calibri" w:cs="Calibri"/>
                <w:b/>
                <w:bCs/>
                <w:color w:val="000000"/>
                <w:szCs w:val="20"/>
                <w:lang w:val="en-CA" w:eastAsia="en-CA"/>
              </w:rPr>
              <w:t>323,437</w:t>
            </w:r>
            <w:r w:rsidRPr="00FC2211">
              <w:rPr>
                <w:rFonts w:ascii="Calibri" w:hAnsi="Calibri" w:cs="Calibri"/>
                <w:b/>
                <w:bCs/>
                <w:color w:val="000000"/>
                <w:szCs w:val="20"/>
                <w:lang w:val="en-CA" w:eastAsia="en-CA"/>
              </w:rPr>
              <w:t xml:space="preserve"> </w:t>
            </w:r>
          </w:p>
        </w:tc>
        <w:tc>
          <w:tcPr>
            <w:tcW w:w="1117" w:type="dxa"/>
            <w:tcBorders>
              <w:top w:val="nil"/>
              <w:left w:val="nil"/>
              <w:bottom w:val="nil"/>
              <w:right w:val="nil"/>
            </w:tcBorders>
            <w:shd w:val="clear" w:color="auto" w:fill="auto"/>
            <w:noWrap/>
            <w:vAlign w:val="bottom"/>
            <w:hideMark/>
          </w:tcPr>
          <w:p w14:paraId="209D367E" w14:textId="620F27AF" w:rsidR="006715E7" w:rsidRPr="00FC2211" w:rsidRDefault="006715E7" w:rsidP="00DE308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DE308A" w:rsidRPr="00FC2211">
              <w:rPr>
                <w:rFonts w:ascii="Calibri" w:hAnsi="Calibri" w:cs="Calibri"/>
                <w:color w:val="000000"/>
                <w:szCs w:val="20"/>
                <w:lang w:val="en-CA" w:eastAsia="en-CA"/>
              </w:rPr>
              <w:t>355,268</w:t>
            </w:r>
            <w:r w:rsidRPr="00FC2211">
              <w:rPr>
                <w:rFonts w:ascii="Calibri" w:hAnsi="Calibri" w:cs="Calibri"/>
                <w:color w:val="000000"/>
                <w:szCs w:val="20"/>
                <w:lang w:val="en-CA" w:eastAsia="en-CA"/>
              </w:rPr>
              <w:t xml:space="preserve"> </w:t>
            </w:r>
          </w:p>
        </w:tc>
      </w:tr>
      <w:tr w:rsidR="00DE308A" w:rsidRPr="00FC2211" w14:paraId="6ECAEF98" w14:textId="77777777" w:rsidTr="00DE308A">
        <w:trPr>
          <w:trHeight w:val="240"/>
          <w:jc w:val="center"/>
        </w:trPr>
        <w:tc>
          <w:tcPr>
            <w:tcW w:w="1560" w:type="dxa"/>
            <w:tcBorders>
              <w:top w:val="nil"/>
              <w:left w:val="nil"/>
              <w:bottom w:val="nil"/>
              <w:right w:val="nil"/>
            </w:tcBorders>
            <w:shd w:val="clear" w:color="auto" w:fill="auto"/>
            <w:noWrap/>
            <w:vAlign w:val="bottom"/>
          </w:tcPr>
          <w:p w14:paraId="5D281290" w14:textId="5161628F" w:rsidR="00DE308A" w:rsidRPr="00FC2211" w:rsidRDefault="00DE308A" w:rsidP="006715E7">
            <w:pPr>
              <w:rPr>
                <w:rFonts w:ascii="Calibri" w:hAnsi="Calibri" w:cs="Calibri"/>
                <w:color w:val="000000"/>
                <w:szCs w:val="20"/>
                <w:lang w:val="en-CA" w:eastAsia="en-CA"/>
              </w:rPr>
            </w:pPr>
            <w:r w:rsidRPr="00FC2211">
              <w:rPr>
                <w:rFonts w:ascii="Calibri" w:hAnsi="Calibri" w:cs="Calibri"/>
                <w:color w:val="000000"/>
                <w:szCs w:val="20"/>
                <w:lang w:val="en-CA" w:eastAsia="en-CA"/>
              </w:rPr>
              <w:t>Colombia</w:t>
            </w:r>
          </w:p>
        </w:tc>
        <w:tc>
          <w:tcPr>
            <w:tcW w:w="2001" w:type="dxa"/>
            <w:tcBorders>
              <w:top w:val="nil"/>
              <w:left w:val="nil"/>
              <w:bottom w:val="nil"/>
              <w:right w:val="nil"/>
            </w:tcBorders>
            <w:shd w:val="clear" w:color="auto" w:fill="auto"/>
            <w:noWrap/>
            <w:vAlign w:val="bottom"/>
          </w:tcPr>
          <w:p w14:paraId="655D0A95" w14:textId="1A6809D0" w:rsidR="00DE308A" w:rsidRPr="00FC2211" w:rsidRDefault="00DE308A" w:rsidP="006715E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152,623</w:t>
            </w:r>
          </w:p>
        </w:tc>
        <w:tc>
          <w:tcPr>
            <w:tcW w:w="1117" w:type="dxa"/>
            <w:tcBorders>
              <w:top w:val="nil"/>
              <w:left w:val="nil"/>
              <w:bottom w:val="nil"/>
              <w:right w:val="nil"/>
            </w:tcBorders>
            <w:shd w:val="clear" w:color="auto" w:fill="auto"/>
            <w:noWrap/>
            <w:vAlign w:val="bottom"/>
          </w:tcPr>
          <w:p w14:paraId="3D6BE207" w14:textId="5737F673" w:rsidR="00DE308A" w:rsidRPr="00FC2211" w:rsidRDefault="00174D4E" w:rsidP="00174D4E">
            <w:pPr>
              <w:ind w:right="36"/>
              <w:jc w:val="right"/>
              <w:rPr>
                <w:rFonts w:ascii="Calibri" w:hAnsi="Calibri" w:cs="Calibri"/>
                <w:color w:val="000000"/>
                <w:szCs w:val="20"/>
                <w:lang w:val="en-CA" w:eastAsia="en-CA"/>
              </w:rPr>
            </w:pPr>
            <w:r w:rsidRPr="00FC2211">
              <w:rPr>
                <w:rFonts w:ascii="Calibri" w:hAnsi="Calibri" w:cs="Calibri"/>
                <w:color w:val="000000"/>
                <w:szCs w:val="20"/>
                <w:lang w:val="en-CA" w:eastAsia="en-CA"/>
              </w:rPr>
              <w:t>-</w:t>
            </w:r>
          </w:p>
        </w:tc>
      </w:tr>
      <w:tr w:rsidR="006715E7" w:rsidRPr="00FC2211" w14:paraId="1E01AA5C" w14:textId="77777777" w:rsidTr="00DE308A">
        <w:trPr>
          <w:trHeight w:val="240"/>
          <w:jc w:val="center"/>
        </w:trPr>
        <w:tc>
          <w:tcPr>
            <w:tcW w:w="1560" w:type="dxa"/>
            <w:tcBorders>
              <w:top w:val="nil"/>
              <w:left w:val="nil"/>
              <w:bottom w:val="nil"/>
              <w:right w:val="nil"/>
            </w:tcBorders>
            <w:shd w:val="clear" w:color="auto" w:fill="auto"/>
            <w:noWrap/>
            <w:vAlign w:val="bottom"/>
            <w:hideMark/>
          </w:tcPr>
          <w:p w14:paraId="1FE342EB" w14:textId="77777777" w:rsidR="006715E7" w:rsidRPr="00FC2211" w:rsidRDefault="006715E7" w:rsidP="006715E7">
            <w:pPr>
              <w:rPr>
                <w:rFonts w:ascii="Calibri" w:hAnsi="Calibri" w:cs="Calibri"/>
                <w:color w:val="000000"/>
                <w:szCs w:val="20"/>
                <w:lang w:val="en-CA" w:eastAsia="en-CA"/>
              </w:rPr>
            </w:pPr>
            <w:r w:rsidRPr="00FC2211">
              <w:rPr>
                <w:rFonts w:ascii="Calibri" w:hAnsi="Calibri" w:cs="Calibri"/>
                <w:color w:val="000000"/>
                <w:szCs w:val="20"/>
                <w:lang w:val="en-CA" w:eastAsia="en-CA"/>
              </w:rPr>
              <w:t>Mexico</w:t>
            </w:r>
          </w:p>
        </w:tc>
        <w:tc>
          <w:tcPr>
            <w:tcW w:w="2001" w:type="dxa"/>
            <w:tcBorders>
              <w:top w:val="nil"/>
              <w:left w:val="nil"/>
              <w:bottom w:val="nil"/>
              <w:right w:val="nil"/>
            </w:tcBorders>
            <w:shd w:val="clear" w:color="auto" w:fill="auto"/>
            <w:noWrap/>
            <w:vAlign w:val="bottom"/>
            <w:hideMark/>
          </w:tcPr>
          <w:p w14:paraId="6C8AFC12" w14:textId="5BD8AB7F" w:rsidR="006715E7" w:rsidRPr="00FC2211" w:rsidRDefault="006715E7" w:rsidP="006715E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17,</w:t>
            </w:r>
            <w:r w:rsidR="00DE308A" w:rsidRPr="00FC2211">
              <w:rPr>
                <w:rFonts w:ascii="Calibri" w:hAnsi="Calibri" w:cs="Calibri"/>
                <w:b/>
                <w:bCs/>
                <w:color w:val="000000"/>
                <w:szCs w:val="20"/>
                <w:lang w:val="en-CA" w:eastAsia="en-CA"/>
              </w:rPr>
              <w:t>409</w:t>
            </w:r>
            <w:r w:rsidRPr="00FC2211">
              <w:rPr>
                <w:rFonts w:ascii="Calibri" w:hAnsi="Calibri" w:cs="Calibri"/>
                <w:b/>
                <w:bCs/>
                <w:color w:val="000000"/>
                <w:szCs w:val="20"/>
                <w:lang w:val="en-CA" w:eastAsia="en-CA"/>
              </w:rPr>
              <w:t xml:space="preserve"> </w:t>
            </w:r>
          </w:p>
        </w:tc>
        <w:tc>
          <w:tcPr>
            <w:tcW w:w="1117" w:type="dxa"/>
            <w:tcBorders>
              <w:top w:val="nil"/>
              <w:left w:val="nil"/>
              <w:bottom w:val="nil"/>
              <w:right w:val="nil"/>
            </w:tcBorders>
            <w:shd w:val="clear" w:color="auto" w:fill="auto"/>
            <w:noWrap/>
            <w:vAlign w:val="bottom"/>
            <w:hideMark/>
          </w:tcPr>
          <w:p w14:paraId="2AF5426A" w14:textId="32CC91B2" w:rsidR="006715E7" w:rsidRPr="00FC2211" w:rsidRDefault="006715E7" w:rsidP="00DE308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17,318 </w:t>
            </w:r>
          </w:p>
        </w:tc>
      </w:tr>
      <w:tr w:rsidR="006715E7" w:rsidRPr="006715E7" w14:paraId="7B316151" w14:textId="77777777" w:rsidTr="00DE308A">
        <w:trPr>
          <w:trHeight w:val="252"/>
          <w:jc w:val="center"/>
        </w:trPr>
        <w:tc>
          <w:tcPr>
            <w:tcW w:w="1560" w:type="dxa"/>
            <w:tcBorders>
              <w:top w:val="single" w:sz="4" w:space="0" w:color="auto"/>
              <w:left w:val="nil"/>
              <w:bottom w:val="single" w:sz="8" w:space="0" w:color="auto"/>
              <w:right w:val="nil"/>
            </w:tcBorders>
            <w:shd w:val="clear" w:color="auto" w:fill="auto"/>
            <w:noWrap/>
            <w:vAlign w:val="bottom"/>
            <w:hideMark/>
          </w:tcPr>
          <w:p w14:paraId="40F15AB2" w14:textId="77777777" w:rsidR="006715E7" w:rsidRPr="00FC2211" w:rsidRDefault="006715E7" w:rsidP="006715E7">
            <w:pPr>
              <w:rPr>
                <w:rFonts w:ascii="Calibri" w:hAnsi="Calibri" w:cs="Calibri"/>
                <w:color w:val="000000"/>
                <w:szCs w:val="20"/>
                <w:lang w:val="en-CA" w:eastAsia="en-CA"/>
              </w:rPr>
            </w:pPr>
            <w:r w:rsidRPr="00FC2211">
              <w:rPr>
                <w:rFonts w:ascii="Calibri" w:hAnsi="Calibri" w:cs="Calibri"/>
                <w:color w:val="000000"/>
                <w:szCs w:val="20"/>
                <w:lang w:val="en-CA" w:eastAsia="en-CA"/>
              </w:rPr>
              <w:t> </w:t>
            </w:r>
          </w:p>
        </w:tc>
        <w:tc>
          <w:tcPr>
            <w:tcW w:w="2001" w:type="dxa"/>
            <w:tcBorders>
              <w:top w:val="single" w:sz="4" w:space="0" w:color="auto"/>
              <w:left w:val="nil"/>
              <w:bottom w:val="single" w:sz="8" w:space="0" w:color="auto"/>
              <w:right w:val="nil"/>
            </w:tcBorders>
            <w:shd w:val="clear" w:color="auto" w:fill="auto"/>
            <w:noWrap/>
            <w:vAlign w:val="bottom"/>
            <w:hideMark/>
          </w:tcPr>
          <w:p w14:paraId="06313F40" w14:textId="223804B9" w:rsidR="006715E7" w:rsidRPr="00FC2211" w:rsidRDefault="006715E7" w:rsidP="006715E7">
            <w:pPr>
              <w:jc w:val="right"/>
              <w:rPr>
                <w:rFonts w:ascii="Calibri" w:hAnsi="Calibri" w:cs="Calibri"/>
                <w:b/>
                <w:bCs/>
                <w:color w:val="000000"/>
                <w:szCs w:val="20"/>
                <w:lang w:val="en-CA" w:eastAsia="en-CA"/>
              </w:rPr>
            </w:pPr>
            <w:r w:rsidRPr="00FC2211">
              <w:rPr>
                <w:rFonts w:ascii="Calibri" w:hAnsi="Calibri" w:cs="Calibri"/>
                <w:b/>
                <w:bCs/>
                <w:color w:val="000000"/>
                <w:szCs w:val="20"/>
                <w:lang w:val="en-CA" w:eastAsia="en-CA"/>
              </w:rPr>
              <w:t xml:space="preserve">   </w:t>
            </w:r>
            <w:r w:rsidR="00174D4E" w:rsidRPr="00FC2211">
              <w:rPr>
                <w:rFonts w:ascii="Calibri" w:hAnsi="Calibri" w:cs="Calibri"/>
                <w:b/>
                <w:bCs/>
                <w:color w:val="000000"/>
                <w:szCs w:val="20"/>
                <w:lang w:val="en-CA" w:eastAsia="en-CA"/>
              </w:rPr>
              <w:t>885,550</w:t>
            </w:r>
            <w:r w:rsidRPr="00FC2211">
              <w:rPr>
                <w:rFonts w:ascii="Calibri" w:hAnsi="Calibri" w:cs="Calibri"/>
                <w:b/>
                <w:bCs/>
                <w:color w:val="000000"/>
                <w:szCs w:val="20"/>
                <w:lang w:val="en-CA" w:eastAsia="en-CA"/>
              </w:rPr>
              <w:t xml:space="preserve"> </w:t>
            </w:r>
          </w:p>
        </w:tc>
        <w:tc>
          <w:tcPr>
            <w:tcW w:w="1117" w:type="dxa"/>
            <w:tcBorders>
              <w:top w:val="single" w:sz="4" w:space="0" w:color="auto"/>
              <w:left w:val="nil"/>
              <w:bottom w:val="single" w:sz="8" w:space="0" w:color="auto"/>
              <w:right w:val="nil"/>
            </w:tcBorders>
            <w:shd w:val="clear" w:color="auto" w:fill="auto"/>
            <w:noWrap/>
            <w:vAlign w:val="bottom"/>
            <w:hideMark/>
          </w:tcPr>
          <w:p w14:paraId="2A5432E6" w14:textId="5A1A0206" w:rsidR="006715E7" w:rsidRPr="006715E7" w:rsidRDefault="006715E7" w:rsidP="00DE308A">
            <w:pPr>
              <w:jc w:val="right"/>
              <w:rPr>
                <w:rFonts w:ascii="Calibri" w:hAnsi="Calibri" w:cs="Calibri"/>
                <w:color w:val="000000"/>
                <w:szCs w:val="20"/>
                <w:lang w:val="en-CA" w:eastAsia="en-CA"/>
              </w:rPr>
            </w:pPr>
            <w:r w:rsidRPr="00FC2211">
              <w:rPr>
                <w:rFonts w:ascii="Calibri" w:hAnsi="Calibri" w:cs="Calibri"/>
                <w:color w:val="000000"/>
                <w:szCs w:val="20"/>
                <w:lang w:val="en-CA" w:eastAsia="en-CA"/>
              </w:rPr>
              <w:t xml:space="preserve">   </w:t>
            </w:r>
            <w:r w:rsidR="00174D4E" w:rsidRPr="00FC2211">
              <w:rPr>
                <w:rFonts w:ascii="Calibri" w:hAnsi="Calibri" w:cs="Calibri"/>
                <w:color w:val="000000"/>
                <w:szCs w:val="20"/>
                <w:lang w:val="en-CA" w:eastAsia="en-CA"/>
              </w:rPr>
              <w:t>802,511</w:t>
            </w:r>
            <w:r w:rsidRPr="006715E7">
              <w:rPr>
                <w:rFonts w:ascii="Calibri" w:hAnsi="Calibri" w:cs="Calibri"/>
                <w:color w:val="000000"/>
                <w:szCs w:val="20"/>
                <w:lang w:val="en-CA" w:eastAsia="en-CA"/>
              </w:rPr>
              <w:t xml:space="preserve"> </w:t>
            </w:r>
          </w:p>
        </w:tc>
      </w:tr>
    </w:tbl>
    <w:p w14:paraId="5F65351B" w14:textId="5C8C1DBB" w:rsidR="00714F68" w:rsidRPr="00FC2211" w:rsidRDefault="00714F68" w:rsidP="00714F68">
      <w:pPr>
        <w:pStyle w:val="Heading1"/>
        <w:rPr>
          <w:lang w:val="en-GB"/>
        </w:rPr>
      </w:pPr>
      <w:r w:rsidRPr="00FC2211">
        <w:rPr>
          <w:lang w:val="en-GB"/>
        </w:rPr>
        <w:t>2</w:t>
      </w:r>
      <w:r>
        <w:rPr>
          <w:lang w:val="en-GB"/>
        </w:rPr>
        <w:t>3.</w:t>
      </w:r>
      <w:r w:rsidRPr="00FC2211">
        <w:rPr>
          <w:lang w:val="en-GB"/>
        </w:rPr>
        <w:t xml:space="preserve">   S</w:t>
      </w:r>
      <w:r>
        <w:rPr>
          <w:lang w:val="en-GB"/>
        </w:rPr>
        <w:t>UBSEQUENT EVENTS</w:t>
      </w:r>
    </w:p>
    <w:p w14:paraId="4F14416E" w14:textId="4ADABBE1" w:rsidR="00714F68" w:rsidRDefault="00714F68" w:rsidP="007B7013">
      <w:pPr>
        <w:rPr>
          <w:rFonts w:cstheme="minorHAnsi"/>
          <w:szCs w:val="20"/>
          <w:lang w:val="en-GB"/>
        </w:rPr>
      </w:pPr>
    </w:p>
    <w:p w14:paraId="7A5DDF79" w14:textId="0964D73A" w:rsidR="0029163D" w:rsidRDefault="0029163D" w:rsidP="0029163D">
      <w:pPr>
        <w:ind w:left="426" w:firstLine="6"/>
        <w:jc w:val="both"/>
        <w:rPr>
          <w:rFonts w:cstheme="minorBidi"/>
          <w:lang w:val="en-GB"/>
        </w:rPr>
      </w:pPr>
      <w:r w:rsidRPr="0029163D">
        <w:rPr>
          <w:rFonts w:cstheme="minorBidi"/>
          <w:lang w:val="en-GB"/>
        </w:rPr>
        <w:t xml:space="preserve">On January 11, 2024, the Company announced an offering of a non-brokered private placement of unsecured convertible debentures in the aggregate principal amount of up to $700,000. Each Debenture </w:t>
      </w:r>
      <w:r w:rsidR="00983EF6">
        <w:rPr>
          <w:rFonts w:cstheme="minorBidi"/>
          <w:lang w:val="en-GB"/>
        </w:rPr>
        <w:t>is</w:t>
      </w:r>
      <w:r w:rsidRPr="0029163D">
        <w:rPr>
          <w:rFonts w:cstheme="minorBidi"/>
          <w:lang w:val="en-GB"/>
        </w:rPr>
        <w:t xml:space="preserve"> convertible into common shares in the capital of the Company (each, a “Share”) at a conversion price of $0.085 per Share for the first year from the date of issuance and thereafter at an adjusted conversion price of $0.10 per Share until the date which is three (3) years from the date of issuance (the “Maturity Date”) and bears interest at the rate of 12.0% per annum for a period expiring on the Maturity Date.</w:t>
      </w:r>
    </w:p>
    <w:p w14:paraId="3B63B61F" w14:textId="77777777" w:rsidR="0029163D" w:rsidRDefault="0029163D" w:rsidP="0029163D">
      <w:pPr>
        <w:ind w:left="426" w:firstLine="6"/>
        <w:jc w:val="both"/>
        <w:rPr>
          <w:rFonts w:cstheme="minorBidi"/>
          <w:lang w:val="en-GB"/>
        </w:rPr>
      </w:pPr>
    </w:p>
    <w:p w14:paraId="79CDB748" w14:textId="14100410" w:rsidR="0029163D" w:rsidRDefault="0029163D" w:rsidP="00C805A2">
      <w:pPr>
        <w:ind w:left="426" w:firstLine="6"/>
        <w:jc w:val="both"/>
        <w:rPr>
          <w:rFonts w:cstheme="minorBidi"/>
          <w:lang w:val="en-GB"/>
        </w:rPr>
      </w:pPr>
      <w:r w:rsidRPr="0029163D">
        <w:rPr>
          <w:rFonts w:cstheme="minorBidi"/>
          <w:lang w:val="en-GB"/>
        </w:rPr>
        <w:t xml:space="preserve">An insider participated in the Offering. The insider’s participation </w:t>
      </w:r>
      <w:r w:rsidR="007E6079">
        <w:rPr>
          <w:rFonts w:cstheme="minorBidi"/>
          <w:lang w:val="en-GB"/>
        </w:rPr>
        <w:t>constitutes</w:t>
      </w:r>
      <w:r w:rsidRPr="0029163D">
        <w:rPr>
          <w:rFonts w:cstheme="minorBidi"/>
          <w:lang w:val="en-GB"/>
        </w:rPr>
        <w:t xml:space="preserve"> a “related party transaction” within the meaning of Multilateral Instrument 61-101 – Protection of Minority Securityholders in Special Transactions (“MI 61-101”). The transaction is exempted from the formal valuation and minority shareholder approval requirements of MI 61-101 pursuant to sections 5.5(a) and 5.7(1)(a) of MI 61-101 as neither the fair market value of any securities issued to nor the consideration paid by such person, exceeds 25% of the Company’s market capitalization. In connection with the Offering, the Company paid finders’ fees to certain eligible finders, as permitted by the policies of the TSX Venture Exchange (the “Exchange”).</w:t>
      </w:r>
    </w:p>
    <w:p w14:paraId="271841D7" w14:textId="77777777" w:rsidR="0029163D" w:rsidRPr="0029163D" w:rsidRDefault="0029163D" w:rsidP="0029163D">
      <w:pPr>
        <w:ind w:left="426" w:firstLine="6"/>
        <w:jc w:val="both"/>
        <w:rPr>
          <w:rFonts w:cstheme="minorBidi"/>
          <w:lang w:val="en-GB"/>
        </w:rPr>
      </w:pPr>
    </w:p>
    <w:p w14:paraId="63FD2F8D" w14:textId="77777777" w:rsidR="0029163D" w:rsidRDefault="0029163D" w:rsidP="0029163D">
      <w:pPr>
        <w:ind w:left="426" w:firstLine="6"/>
        <w:jc w:val="both"/>
        <w:rPr>
          <w:rFonts w:cstheme="minorBidi"/>
          <w:lang w:val="en-GB"/>
        </w:rPr>
      </w:pPr>
      <w:r w:rsidRPr="0029163D">
        <w:rPr>
          <w:rFonts w:cstheme="minorBidi"/>
          <w:lang w:val="en-GB"/>
        </w:rPr>
        <w:t>Upon a change of control, the Company may redeem the principal amount and any unpaid interest of the Debentures in cash, without penalty, at any time before the Maturity Date by providing a ten (10) day notice period to the debenture holder by way of a written notice.</w:t>
      </w:r>
    </w:p>
    <w:p w14:paraId="40B752C6" w14:textId="77777777" w:rsidR="0029163D" w:rsidRPr="0029163D" w:rsidRDefault="0029163D" w:rsidP="0029163D">
      <w:pPr>
        <w:ind w:left="426" w:firstLine="6"/>
        <w:jc w:val="both"/>
        <w:rPr>
          <w:rFonts w:cstheme="minorBidi"/>
          <w:lang w:val="en-GB"/>
        </w:rPr>
      </w:pPr>
    </w:p>
    <w:p w14:paraId="34B8E042" w14:textId="031631BB" w:rsidR="00DD5266" w:rsidRDefault="0029163D" w:rsidP="0029163D">
      <w:pPr>
        <w:ind w:left="426" w:firstLine="6"/>
        <w:jc w:val="both"/>
        <w:rPr>
          <w:rFonts w:cstheme="minorBidi"/>
          <w:lang w:val="en-GB"/>
        </w:rPr>
      </w:pPr>
      <w:r w:rsidRPr="0029163D">
        <w:rPr>
          <w:rFonts w:cstheme="minorBidi"/>
          <w:lang w:val="en-GB"/>
        </w:rPr>
        <w:t>The Shares issuable upon the conversion of the Debentures will be subject to a statutory hold period of four (4) months plus a day from the date of issuance in accordance with applicable securities legislation. The Company intends to use the net proceeds of the Offering for general corporate purposes. The Debentures were not listed or posted for trading on any exchange.</w:t>
      </w:r>
    </w:p>
    <w:p w14:paraId="1C2AC8E4" w14:textId="77777777" w:rsidR="0029163D" w:rsidRDefault="0029163D" w:rsidP="0029163D">
      <w:pPr>
        <w:ind w:left="426" w:firstLine="6"/>
        <w:jc w:val="both"/>
        <w:rPr>
          <w:rFonts w:cstheme="minorBidi"/>
          <w:lang w:val="en-GB"/>
        </w:rPr>
      </w:pPr>
    </w:p>
    <w:p w14:paraId="64020535" w14:textId="77777777" w:rsidR="00DD5266" w:rsidRDefault="00DD5266" w:rsidP="00DD5266">
      <w:pPr>
        <w:ind w:left="426" w:firstLine="6"/>
        <w:jc w:val="both"/>
        <w:rPr>
          <w:rFonts w:cstheme="minorBidi"/>
          <w:lang w:val="en-GB"/>
        </w:rPr>
      </w:pPr>
      <w:r w:rsidRPr="00DD5266">
        <w:rPr>
          <w:rFonts w:cstheme="minorBidi"/>
          <w:lang w:val="en-GB"/>
        </w:rPr>
        <w:t xml:space="preserve">On January 31, 2024, the Company announced that further to its news release dated January 11, 2024, it had closed the first tranche of its non-brokered private placement (the “Offering”) of convertible debentures (each, a “Debenture”) for gross proceeds of $510,000. </w:t>
      </w:r>
    </w:p>
    <w:p w14:paraId="47C78237" w14:textId="77777777" w:rsidR="00DD5266" w:rsidRDefault="00DD5266" w:rsidP="00DD5266">
      <w:pPr>
        <w:ind w:left="426" w:firstLine="6"/>
        <w:jc w:val="both"/>
        <w:rPr>
          <w:rFonts w:cstheme="minorBidi"/>
          <w:lang w:val="en-GB"/>
        </w:rPr>
      </w:pPr>
    </w:p>
    <w:p w14:paraId="00A03A09" w14:textId="16B8CB21" w:rsidR="00DD5266" w:rsidRPr="00DD5266" w:rsidRDefault="00DD5266" w:rsidP="00DD5266">
      <w:pPr>
        <w:ind w:left="426" w:firstLine="6"/>
        <w:jc w:val="both"/>
        <w:rPr>
          <w:rFonts w:cstheme="minorBidi"/>
          <w:lang w:val="en-GB"/>
        </w:rPr>
      </w:pPr>
      <w:r w:rsidRPr="00594DF7">
        <w:rPr>
          <w:rFonts w:cstheme="minorBidi"/>
          <w:lang w:val="en-GB"/>
        </w:rPr>
        <w:t>On February 16, 2024</w:t>
      </w:r>
      <w:r w:rsidRPr="00DD5266">
        <w:rPr>
          <w:rFonts w:cstheme="minorBidi"/>
          <w:lang w:val="en-GB"/>
        </w:rPr>
        <w:t>, the Company announced that further to its news releases dated January 11, 2024</w:t>
      </w:r>
      <w:r w:rsidR="00983EF6">
        <w:rPr>
          <w:rFonts w:cstheme="minorBidi"/>
          <w:lang w:val="en-GB"/>
        </w:rPr>
        <w:t>,</w:t>
      </w:r>
      <w:r w:rsidRPr="00DD5266">
        <w:rPr>
          <w:rFonts w:cstheme="minorBidi"/>
          <w:lang w:val="en-GB"/>
        </w:rPr>
        <w:t xml:space="preserve"> and January 31, 2024</w:t>
      </w:r>
      <w:r w:rsidR="00594DF7">
        <w:rPr>
          <w:rFonts w:cstheme="minorBidi"/>
          <w:lang w:val="en-GB"/>
        </w:rPr>
        <w:t>,</w:t>
      </w:r>
      <w:r w:rsidRPr="00DD5266">
        <w:rPr>
          <w:rFonts w:cstheme="minorBidi"/>
          <w:lang w:val="en-GB"/>
        </w:rPr>
        <w:t xml:space="preserve"> it had closed a second tranche of its non-brokered private placement (the “Offering”) of convertible debentures (each, a “Debenture”) for gross proceeds of $60,000. INEO also announced it is no longer accepting investment in this Offering.</w:t>
      </w:r>
    </w:p>
    <w:sectPr w:rsidR="00DD5266" w:rsidRPr="00DD5266" w:rsidSect="0081636B">
      <w:pgSz w:w="12242" w:h="15842" w:code="1"/>
      <w:pgMar w:top="1440" w:right="1440" w:bottom="1440" w:left="1440" w:header="272"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858D" w14:textId="77777777" w:rsidR="0081636B" w:rsidRDefault="0081636B">
      <w:r>
        <w:separator/>
      </w:r>
    </w:p>
  </w:endnote>
  <w:endnote w:type="continuationSeparator" w:id="0">
    <w:p w14:paraId="335AFF14" w14:textId="77777777" w:rsidR="0081636B" w:rsidRDefault="0081636B">
      <w:r>
        <w:continuationSeparator/>
      </w:r>
    </w:p>
  </w:endnote>
  <w:endnote w:type="continuationNotice" w:id="1">
    <w:p w14:paraId="0B1730FC" w14:textId="77777777" w:rsidR="0081636B" w:rsidRDefault="00816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1B1D" w14:textId="77777777" w:rsidR="00E6340F" w:rsidRDefault="00E6340F">
    <w:pPr>
      <w:pStyle w:val="Footer"/>
      <w:jc w:val="right"/>
    </w:pPr>
    <w:r>
      <w:fldChar w:fldCharType="begin"/>
    </w:r>
    <w:r>
      <w:instrText xml:space="preserve"> PAGE   \* MERGEFORMAT </w:instrText>
    </w:r>
    <w: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E6340F" w14:paraId="6187C0D4" w14:textId="77777777" w:rsidTr="00B30B49">
      <w:tc>
        <w:tcPr>
          <w:tcW w:w="3120" w:type="dxa"/>
        </w:tcPr>
        <w:p w14:paraId="7C4FDF41" w14:textId="77777777" w:rsidR="00E6340F" w:rsidRDefault="00E6340F" w:rsidP="00B30B49">
          <w:pPr>
            <w:pStyle w:val="Header"/>
            <w:ind w:left="-115"/>
          </w:pPr>
        </w:p>
      </w:tc>
      <w:tc>
        <w:tcPr>
          <w:tcW w:w="3120" w:type="dxa"/>
        </w:tcPr>
        <w:p w14:paraId="1F34A8D7" w14:textId="77777777" w:rsidR="00E6340F" w:rsidRDefault="00E6340F" w:rsidP="00B30B49">
          <w:pPr>
            <w:pStyle w:val="Header"/>
            <w:jc w:val="center"/>
          </w:pPr>
        </w:p>
      </w:tc>
      <w:tc>
        <w:tcPr>
          <w:tcW w:w="3120" w:type="dxa"/>
        </w:tcPr>
        <w:p w14:paraId="423E0D0F" w14:textId="77777777" w:rsidR="00E6340F" w:rsidRDefault="00E6340F" w:rsidP="00B30B49">
          <w:pPr>
            <w:pStyle w:val="Header"/>
            <w:ind w:right="-115"/>
            <w:jc w:val="right"/>
          </w:pPr>
        </w:p>
      </w:tc>
    </w:tr>
  </w:tbl>
  <w:p w14:paraId="2FFD70B0" w14:textId="77777777" w:rsidR="00E6340F" w:rsidRDefault="00E63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867F" w14:textId="77777777" w:rsidR="00E6340F" w:rsidRDefault="00E6340F">
    <w:pPr>
      <w:pStyle w:val="Footer"/>
      <w:jc w:val="right"/>
    </w:pPr>
    <w:r>
      <w:fldChar w:fldCharType="begin"/>
    </w:r>
    <w:r>
      <w:instrText xml:space="preserve"> PAGE   \* MERGEFORMAT </w:instrText>
    </w:r>
    <w:r>
      <w:fldChar w:fldCharType="separate"/>
    </w:r>
    <w:r>
      <w:rPr>
        <w:noProof/>
      </w:rPr>
      <w:t>3</w:t>
    </w:r>
    <w:r>
      <w:rPr>
        <w:noProof/>
      </w:rPr>
      <w:fldChar w:fldCharType="end"/>
    </w:r>
  </w:p>
  <w:p w14:paraId="39EAA6E8" w14:textId="77777777" w:rsidR="00E6340F" w:rsidRDefault="00E6340F">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CB5" w14:textId="77777777" w:rsidR="00E6340F" w:rsidRDefault="00E6340F">
    <w:pPr>
      <w:pStyle w:val="Footer"/>
      <w:jc w:val="right"/>
    </w:pPr>
    <w:r>
      <w:fldChar w:fldCharType="begin"/>
    </w:r>
    <w:r>
      <w:instrText xml:space="preserve"> PAGE   \* MERGEFORMAT </w:instrText>
    </w:r>
    <w:r>
      <w:fldChar w:fldCharType="separate"/>
    </w:r>
    <w:r>
      <w:rPr>
        <w:noProof/>
      </w:rPr>
      <w:t>30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093C" w14:textId="77777777" w:rsidR="00E6340F" w:rsidRDefault="00E6340F">
    <w:pPr>
      <w:pStyle w:val="Footer"/>
      <w:jc w:val="right"/>
    </w:pPr>
    <w:r>
      <w:fldChar w:fldCharType="begin"/>
    </w:r>
    <w:r>
      <w:instrText xml:space="preserve"> PAGE   \* MERGEFORMAT </w:instrText>
    </w:r>
    <w:r>
      <w:fldChar w:fldCharType="separate"/>
    </w:r>
    <w:r>
      <w:rPr>
        <w:noProof/>
      </w:rPr>
      <w:t>3</w:t>
    </w:r>
    <w:r>
      <w:rPr>
        <w:noProof/>
      </w:rPr>
      <w:fldChar w:fldCharType="end"/>
    </w:r>
  </w:p>
  <w:p w14:paraId="47F82DB8" w14:textId="77777777" w:rsidR="00E6340F" w:rsidRDefault="00E6340F">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A5D7" w14:textId="77777777" w:rsidR="00E6340F" w:rsidRDefault="00E6340F" w:rsidP="00352848">
    <w:pPr>
      <w:pStyle w:val="Footer"/>
      <w:pBdr>
        <w:bottom w:val="single" w:sz="12" w:space="1" w:color="auto"/>
      </w:pBdr>
      <w:tabs>
        <w:tab w:val="left" w:pos="3225"/>
        <w:tab w:val="right" w:pos="9893"/>
      </w:tabs>
      <w:rPr>
        <w:rFonts w:cstheme="minorHAnsi"/>
      </w:rPr>
    </w:pPr>
  </w:p>
  <w:p w14:paraId="2BA7FA54" w14:textId="09EA6C3D" w:rsidR="00E6340F" w:rsidRPr="00A1348E" w:rsidRDefault="00E6340F" w:rsidP="00743579">
    <w:pPr>
      <w:pStyle w:val="Footer"/>
      <w:tabs>
        <w:tab w:val="left" w:pos="3225"/>
        <w:tab w:val="right" w:pos="9893"/>
      </w:tabs>
      <w:jc w:val="right"/>
      <w:rPr>
        <w:rFonts w:cstheme="minorHAnsi"/>
      </w:rPr>
    </w:pPr>
    <w:r>
      <w:rPr>
        <w:noProof/>
      </w:rPr>
      <w:drawing>
        <wp:anchor distT="0" distB="0" distL="114300" distR="114300" simplePos="0" relativeHeight="251658240" behindDoc="0" locked="0" layoutInCell="1" allowOverlap="1" wp14:anchorId="6680F3DB" wp14:editId="7C181310">
          <wp:simplePos x="0" y="0"/>
          <wp:positionH relativeFrom="margin">
            <wp:align>left</wp:align>
          </wp:positionH>
          <wp:positionV relativeFrom="paragraph">
            <wp:posOffset>6985</wp:posOffset>
          </wp:positionV>
          <wp:extent cx="866775" cy="38138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813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rPr>
      <w:tab/>
    </w:r>
    <w:r>
      <w:rPr>
        <w:rFonts w:cstheme="minorHAnsi"/>
      </w:rPr>
      <w:tab/>
    </w:r>
    <w:r>
      <w:rPr>
        <w:rFonts w:cstheme="minorHAnsi"/>
      </w:rPr>
      <w:tab/>
    </w:r>
    <w:r>
      <w:rPr>
        <w:rFonts w:cstheme="minorHAnsi"/>
      </w:rPr>
      <w:tab/>
    </w:r>
    <w:r w:rsidRPr="6D4617D3">
      <w:rPr>
        <w:rFonts w:cstheme="minorBidi"/>
      </w:rPr>
      <w:fldChar w:fldCharType="begin"/>
    </w:r>
    <w:r w:rsidRPr="6D4617D3">
      <w:rPr>
        <w:rFonts w:cstheme="minorBidi"/>
      </w:rPr>
      <w:instrText xml:space="preserve"> PAGE   \* MERGEFORMAT </w:instrText>
    </w:r>
    <w:r w:rsidRPr="6D4617D3">
      <w:rPr>
        <w:rFonts w:cstheme="minorBidi"/>
      </w:rPr>
      <w:fldChar w:fldCharType="separate"/>
    </w:r>
    <w:r w:rsidR="007C14CA">
      <w:rPr>
        <w:rFonts w:cstheme="minorBidi"/>
        <w:noProof/>
      </w:rPr>
      <w:t>6</w:t>
    </w:r>
    <w:r w:rsidRPr="6D4617D3">
      <w:rPr>
        <w:rFonts w:cstheme="minorBidi"/>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3F48" w14:textId="77777777" w:rsidR="00E6340F" w:rsidRDefault="00E6340F">
    <w:pPr>
      <w:pStyle w:val="Footer"/>
      <w:pBdr>
        <w:bottom w:val="single" w:sz="12" w:space="1" w:color="auto"/>
      </w:pBdr>
      <w:jc w:val="right"/>
    </w:pPr>
  </w:p>
  <w:p w14:paraId="02399862" w14:textId="372B739C" w:rsidR="00E6340F" w:rsidRPr="00743579" w:rsidRDefault="002721C3">
    <w:pPr>
      <w:pStyle w:val="Footer"/>
      <w:jc w:val="right"/>
      <w:rPr>
        <w:rFonts w:cstheme="minorHAnsi"/>
      </w:rPr>
    </w:pPr>
    <w:sdt>
      <w:sdtPr>
        <w:id w:val="-1544202479"/>
        <w:docPartObj>
          <w:docPartGallery w:val="Page Numbers (Bottom of Page)"/>
          <w:docPartUnique/>
        </w:docPartObj>
      </w:sdtPr>
      <w:sdtEndPr>
        <w:rPr>
          <w:rFonts w:cstheme="minorHAnsi"/>
        </w:rPr>
      </w:sdtEndPr>
      <w:sdtContent>
        <w:r w:rsidR="00E6340F" w:rsidRPr="00743579">
          <w:rPr>
            <w:noProof/>
          </w:rPr>
          <w:drawing>
            <wp:anchor distT="0" distB="0" distL="114300" distR="114300" simplePos="0" relativeHeight="251658241" behindDoc="0" locked="0" layoutInCell="1" allowOverlap="1" wp14:anchorId="42A04C57" wp14:editId="1A9D8571">
              <wp:simplePos x="0" y="0"/>
              <wp:positionH relativeFrom="margin">
                <wp:posOffset>0</wp:posOffset>
              </wp:positionH>
              <wp:positionV relativeFrom="paragraph">
                <wp:posOffset>0</wp:posOffset>
              </wp:positionV>
              <wp:extent cx="866775" cy="381381"/>
              <wp:effectExtent l="0" t="0" r="0" b="0"/>
              <wp:wrapNone/>
              <wp:docPr id="1296861454" name="Picture 129686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3813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40F" w:rsidRPr="00743579">
          <w:rPr>
            <w:rFonts w:cstheme="minorHAnsi"/>
          </w:rPr>
          <w:fldChar w:fldCharType="begin"/>
        </w:r>
        <w:r w:rsidR="00E6340F" w:rsidRPr="00743579">
          <w:rPr>
            <w:rFonts w:cstheme="minorHAnsi"/>
          </w:rPr>
          <w:instrText xml:space="preserve"> PAGE   \* MERGEFORMAT </w:instrText>
        </w:r>
        <w:r w:rsidR="00E6340F" w:rsidRPr="00743579">
          <w:rPr>
            <w:rFonts w:cstheme="minorHAnsi"/>
          </w:rPr>
          <w:fldChar w:fldCharType="separate"/>
        </w:r>
        <w:r w:rsidR="007C14CA">
          <w:rPr>
            <w:rFonts w:cstheme="minorHAnsi"/>
            <w:noProof/>
          </w:rPr>
          <w:t>30</w:t>
        </w:r>
        <w:r w:rsidR="00E6340F" w:rsidRPr="00743579">
          <w:rPr>
            <w:rFonts w:cstheme="minorHAnsi"/>
          </w:rPr>
          <w:fldChar w:fldCharType="end"/>
        </w:r>
      </w:sdtContent>
    </w:sdt>
  </w:p>
  <w:p w14:paraId="76979860" w14:textId="77777777" w:rsidR="00E6340F" w:rsidRDefault="00E634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23A7" w14:textId="77777777" w:rsidR="0081636B" w:rsidRDefault="0081636B">
      <w:r>
        <w:separator/>
      </w:r>
    </w:p>
  </w:footnote>
  <w:footnote w:type="continuationSeparator" w:id="0">
    <w:p w14:paraId="48B36923" w14:textId="77777777" w:rsidR="0081636B" w:rsidRDefault="0081636B">
      <w:r>
        <w:continuationSeparator/>
      </w:r>
    </w:p>
  </w:footnote>
  <w:footnote w:type="continuationNotice" w:id="1">
    <w:p w14:paraId="7E543D06" w14:textId="77777777" w:rsidR="0081636B" w:rsidRDefault="008163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8A77" w14:textId="77777777" w:rsidR="00E6340F" w:rsidRPr="00DF6E1A" w:rsidRDefault="00E6340F" w:rsidP="00D855F3">
    <w:pPr>
      <w:pStyle w:val="Header"/>
      <w:tabs>
        <w:tab w:val="clear" w:pos="4320"/>
        <w:tab w:val="lef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27CE" w14:textId="77777777" w:rsidR="00E6340F" w:rsidRPr="00D64A12" w:rsidRDefault="00E6340F" w:rsidP="009B387B">
    <w:pPr>
      <w:rPr>
        <w:rFonts w:cs="Arial"/>
        <w:b/>
        <w:sz w:val="32"/>
        <w:szCs w:val="32"/>
      </w:rPr>
    </w:pPr>
    <w:r>
      <w:rPr>
        <w:rFonts w:cs="Arial"/>
        <w:b/>
        <w:sz w:val="32"/>
        <w:szCs w:val="32"/>
      </w:rPr>
      <w:t xml:space="preserve">  </w:t>
    </w:r>
  </w:p>
  <w:p w14:paraId="3BAEBE23" w14:textId="77777777" w:rsidR="00E6340F" w:rsidRPr="0042259E" w:rsidRDefault="00E6340F" w:rsidP="0042259E">
    <w:pPr>
      <w:rPr>
        <w:rFonts w:cs="Arial"/>
        <w:sz w:val="22"/>
        <w:szCs w:val="22"/>
      </w:rPr>
    </w:pPr>
    <w:r w:rsidRPr="0042259E">
      <w:rPr>
        <w:rFonts w:cs="Arial"/>
        <w:sz w:val="22"/>
        <w:szCs w:val="22"/>
      </w:rPr>
      <w:t xml:space="preserve"> </w:t>
    </w:r>
  </w:p>
  <w:p w14:paraId="39C11650" w14:textId="77777777" w:rsidR="00E6340F" w:rsidRPr="00D64A12" w:rsidRDefault="00E6340F" w:rsidP="0042259E">
    <w:pPr>
      <w:rPr>
        <w:rFonts w:cs="Arial"/>
        <w:sz w:val="22"/>
        <w:szCs w:val="22"/>
      </w:rPr>
    </w:pPr>
    <w:r w:rsidRPr="0042259E">
      <w:rPr>
        <w:rFonts w:cs="Arial"/>
        <w:sz w:val="22"/>
        <w:szCs w:val="22"/>
      </w:rPr>
      <w:t xml:space="preserve"> – </w:t>
    </w:r>
  </w:p>
  <w:p w14:paraId="3F81CD7C" w14:textId="77777777" w:rsidR="00E6340F" w:rsidRPr="00D64A12" w:rsidRDefault="00E6340F" w:rsidP="009B387B">
    <w:pPr>
      <w:rPr>
        <w:rFonts w:cs="Arial"/>
        <w:sz w:val="22"/>
        <w:szCs w:val="22"/>
      </w:rPr>
    </w:pPr>
    <w:r w:rsidRPr="00D64A12">
      <w:rPr>
        <w:rFonts w:cs="Arial"/>
        <w:sz w:val="22"/>
        <w:szCs w:val="22"/>
      </w:rPr>
      <w:t xml:space="preserve"> </w:t>
    </w:r>
  </w:p>
  <w:p w14:paraId="71B4E064" w14:textId="77777777" w:rsidR="00E6340F" w:rsidRPr="00D64A12" w:rsidRDefault="00E6340F" w:rsidP="009B387B">
    <w:pPr>
      <w:pStyle w:val="Header"/>
      <w:pBdr>
        <w:bottom w:val="double" w:sz="12" w:space="1" w:color="auto"/>
      </w:pBdr>
      <w:tabs>
        <w:tab w:val="clear" w:pos="4320"/>
        <w:tab w:val="clear" w:pos="8640"/>
        <w:tab w:val="left" w:pos="1110"/>
      </w:tabs>
      <w:rPr>
        <w:rFonts w:cs="Arial"/>
        <w:szCs w:val="20"/>
      </w:rPr>
    </w:pPr>
  </w:p>
  <w:p w14:paraId="43114E12" w14:textId="77777777" w:rsidR="00E6340F" w:rsidRDefault="00E634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BE96" w14:textId="77777777" w:rsidR="00E6340F" w:rsidRPr="00D64A12" w:rsidRDefault="00E6340F" w:rsidP="009B387B">
    <w:pPr>
      <w:rPr>
        <w:rFonts w:cs="Arial"/>
        <w:b/>
        <w:sz w:val="32"/>
        <w:szCs w:val="32"/>
      </w:rPr>
    </w:pPr>
    <w:r>
      <w:rPr>
        <w:rFonts w:cs="Arial"/>
        <w:b/>
        <w:sz w:val="32"/>
        <w:szCs w:val="32"/>
      </w:rPr>
      <w:t xml:space="preserve">Quadron Capital Corporation </w:t>
    </w:r>
  </w:p>
  <w:p w14:paraId="0BAD3AB7" w14:textId="77777777" w:rsidR="00E6340F" w:rsidRPr="0042259E" w:rsidRDefault="00E6340F" w:rsidP="0042259E">
    <w:pPr>
      <w:rPr>
        <w:rFonts w:cs="Arial"/>
        <w:sz w:val="22"/>
        <w:szCs w:val="22"/>
      </w:rPr>
    </w:pPr>
    <w:r w:rsidRPr="0042259E">
      <w:rPr>
        <w:rFonts w:cs="Arial"/>
        <w:sz w:val="22"/>
        <w:szCs w:val="22"/>
      </w:rPr>
      <w:t xml:space="preserve">Condensed </w:t>
    </w:r>
    <w:r>
      <w:rPr>
        <w:rFonts w:cs="Arial"/>
        <w:sz w:val="22"/>
        <w:szCs w:val="22"/>
      </w:rPr>
      <w:t>Consolidated interim</w:t>
    </w:r>
    <w:r w:rsidRPr="0042259E">
      <w:rPr>
        <w:rFonts w:cs="Arial"/>
        <w:sz w:val="22"/>
        <w:szCs w:val="22"/>
      </w:rPr>
      <w:t xml:space="preserve"> Statements of Financial Position </w:t>
    </w:r>
  </w:p>
  <w:p w14:paraId="0FB23721" w14:textId="77777777" w:rsidR="00E6340F" w:rsidRPr="00D64A12" w:rsidRDefault="00E6340F" w:rsidP="0042259E">
    <w:pPr>
      <w:rPr>
        <w:rFonts w:cs="Arial"/>
        <w:sz w:val="22"/>
        <w:szCs w:val="22"/>
      </w:rPr>
    </w:pPr>
    <w:r w:rsidRPr="0042259E">
      <w:rPr>
        <w:rFonts w:cs="Arial"/>
        <w:sz w:val="22"/>
        <w:szCs w:val="22"/>
      </w:rPr>
      <w:t>(Unaudited – Prepared by Management)</w:t>
    </w:r>
  </w:p>
  <w:p w14:paraId="42F9ACC1" w14:textId="77777777" w:rsidR="00E6340F" w:rsidRPr="00D64A12" w:rsidRDefault="00E6340F" w:rsidP="009B387B">
    <w:pPr>
      <w:rPr>
        <w:rFonts w:cs="Arial"/>
        <w:sz w:val="22"/>
        <w:szCs w:val="22"/>
      </w:rPr>
    </w:pPr>
    <w:r>
      <w:rPr>
        <w:rFonts w:cs="Arial"/>
        <w:sz w:val="22"/>
        <w:szCs w:val="22"/>
      </w:rPr>
      <w:t>As at</w:t>
    </w:r>
    <w:r w:rsidRPr="00D64A12">
      <w:rPr>
        <w:rFonts w:cs="Arial"/>
        <w:sz w:val="22"/>
        <w:szCs w:val="22"/>
      </w:rPr>
      <w:t xml:space="preserve">, </w:t>
    </w:r>
  </w:p>
  <w:p w14:paraId="7F6531B0" w14:textId="77777777" w:rsidR="00E6340F" w:rsidRPr="00D64A12" w:rsidRDefault="00E6340F" w:rsidP="009B387B">
    <w:pPr>
      <w:pStyle w:val="Header"/>
      <w:pBdr>
        <w:bottom w:val="double" w:sz="12" w:space="1" w:color="auto"/>
      </w:pBdr>
      <w:tabs>
        <w:tab w:val="clear" w:pos="4320"/>
        <w:tab w:val="clear" w:pos="8640"/>
        <w:tab w:val="left" w:pos="1110"/>
      </w:tabs>
      <w:rPr>
        <w:rFonts w:cs="Arial"/>
        <w:szCs w:val="20"/>
      </w:rPr>
    </w:pPr>
    <w:r w:rsidRPr="00D64A12">
      <w:rPr>
        <w:rFonts w:cstheme="minorHAnsi"/>
        <w:i/>
        <w:szCs w:val="20"/>
      </w:rPr>
      <w:t>(Expressed in Canadian dollars)</w:t>
    </w:r>
  </w:p>
  <w:p w14:paraId="68303B60" w14:textId="77777777" w:rsidR="00E6340F" w:rsidRDefault="00E634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FAE8" w14:textId="77777777" w:rsidR="00E6340F" w:rsidRPr="00D64A12" w:rsidRDefault="00E6340F" w:rsidP="000734DF">
    <w:pPr>
      <w:ind w:right="-705"/>
      <w:rPr>
        <w:rFonts w:cs="Arial"/>
        <w:b/>
        <w:sz w:val="32"/>
        <w:szCs w:val="32"/>
      </w:rPr>
    </w:pPr>
    <w:r>
      <w:rPr>
        <w:rFonts w:cs="Arial"/>
        <w:b/>
        <w:sz w:val="32"/>
        <w:szCs w:val="32"/>
      </w:rPr>
      <w:t xml:space="preserve">INEO Tech Corp. </w:t>
    </w:r>
  </w:p>
  <w:p w14:paraId="4DD5651B" w14:textId="721D2AC9" w:rsidR="00E6340F" w:rsidRDefault="00786F69">
    <w:pPr>
      <w:rPr>
        <w:rFonts w:cs="Arial"/>
        <w:sz w:val="22"/>
        <w:szCs w:val="22"/>
      </w:rPr>
    </w:pPr>
    <w:r>
      <w:rPr>
        <w:rFonts w:cs="Arial"/>
        <w:sz w:val="22"/>
        <w:szCs w:val="22"/>
      </w:rPr>
      <w:t xml:space="preserve">Interim  Condensed </w:t>
    </w:r>
    <w:r w:rsidR="00E6340F">
      <w:rPr>
        <w:rFonts w:cs="Arial"/>
        <w:sz w:val="22"/>
        <w:szCs w:val="22"/>
      </w:rPr>
      <w:t xml:space="preserve">Consolidated </w:t>
    </w:r>
    <w:r w:rsidR="00E6340F" w:rsidRPr="00D64A12">
      <w:rPr>
        <w:rFonts w:cs="Arial"/>
        <w:sz w:val="22"/>
        <w:szCs w:val="22"/>
      </w:rPr>
      <w:t>Statement</w:t>
    </w:r>
    <w:r w:rsidR="00E6340F">
      <w:rPr>
        <w:rFonts w:cs="Arial"/>
        <w:sz w:val="22"/>
        <w:szCs w:val="22"/>
      </w:rPr>
      <w:t>s</w:t>
    </w:r>
    <w:r w:rsidR="00E6340F" w:rsidRPr="00D64A12">
      <w:rPr>
        <w:rFonts w:cs="Arial"/>
        <w:sz w:val="22"/>
        <w:szCs w:val="22"/>
      </w:rPr>
      <w:t xml:space="preserve"> of</w:t>
    </w:r>
    <w:r w:rsidR="00E6340F">
      <w:rPr>
        <w:rFonts w:cs="Arial"/>
        <w:sz w:val="22"/>
        <w:szCs w:val="22"/>
      </w:rPr>
      <w:t xml:space="preserve"> Financial Position</w:t>
    </w:r>
  </w:p>
  <w:p w14:paraId="0E9499F3" w14:textId="5861EEEB" w:rsidR="00E6340F" w:rsidRDefault="00B469FE" w:rsidP="00F02E0D">
    <w:pPr>
      <w:rPr>
        <w:rFonts w:cs="Arial"/>
        <w:sz w:val="22"/>
        <w:szCs w:val="22"/>
      </w:rPr>
    </w:pPr>
    <w:r>
      <w:rPr>
        <w:rFonts w:cs="Arial"/>
        <w:sz w:val="22"/>
        <w:szCs w:val="22"/>
      </w:rPr>
      <w:t xml:space="preserve">Unaudited - </w:t>
    </w:r>
    <w:r w:rsidR="00E6340F">
      <w:rPr>
        <w:rFonts w:cs="Arial"/>
        <w:sz w:val="22"/>
        <w:szCs w:val="22"/>
      </w:rPr>
      <w:t>Expressed in Canadian dollars)</w:t>
    </w:r>
  </w:p>
  <w:p w14:paraId="7323556C" w14:textId="53ACCF4C" w:rsidR="00E6340F" w:rsidRDefault="00E6340F" w:rsidP="00F02E0D">
    <w:pPr>
      <w:rPr>
        <w:rFonts w:cs="Arial"/>
        <w:sz w:val="22"/>
        <w:szCs w:val="22"/>
      </w:rPr>
    </w:pPr>
    <w:r>
      <w:rPr>
        <w:rFonts w:cs="Arial"/>
        <w:sz w:val="22"/>
        <w:szCs w:val="22"/>
      </w:rPr>
      <w:t xml:space="preserve">As at </w:t>
    </w:r>
    <w:r>
      <w:rPr>
        <w:rFonts w:cs="Arial"/>
        <w:sz w:val="22"/>
        <w:szCs w:val="22"/>
      </w:rPr>
      <w:tab/>
    </w:r>
  </w:p>
  <w:p w14:paraId="75E2AA49" w14:textId="77777777" w:rsidR="00E6340F" w:rsidRPr="00F02E0D" w:rsidRDefault="00E6340F" w:rsidP="00F02E0D">
    <w:pPr>
      <w:pBdr>
        <w:top w:val="single" w:sz="12" w:space="1" w:color="auto"/>
      </w:pBdr>
      <w:rPr>
        <w:rFonts w:ascii="Arial" w:hAnsi="Arial" w:cs="Arial"/>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F576" w14:textId="77777777" w:rsidR="00E6340F" w:rsidRPr="00443BA9" w:rsidRDefault="00E6340F" w:rsidP="00443BA9">
    <w:pPr>
      <w:tabs>
        <w:tab w:val="left" w:pos="180"/>
        <w:tab w:val="left" w:pos="270"/>
      </w:tabs>
      <w:rPr>
        <w:rFonts w:ascii="Calibri" w:hAnsi="Calibri"/>
        <w:b/>
        <w:sz w:val="36"/>
        <w:szCs w:val="20"/>
      </w:rPr>
    </w:pPr>
    <w:r>
      <w:rPr>
        <w:rFonts w:cs="Arial"/>
        <w:b/>
        <w:sz w:val="32"/>
        <w:szCs w:val="32"/>
      </w:rPr>
      <w:t xml:space="preserve">INEO Tech Corp. </w:t>
    </w:r>
  </w:p>
  <w:p w14:paraId="3CF05302" w14:textId="185C9FB8" w:rsidR="00E6340F" w:rsidRDefault="005848CA">
    <w:pPr>
      <w:rPr>
        <w:rFonts w:cs="Arial"/>
        <w:sz w:val="22"/>
        <w:szCs w:val="22"/>
      </w:rPr>
    </w:pPr>
    <w:r>
      <w:rPr>
        <w:rFonts w:cs="Arial"/>
        <w:sz w:val="22"/>
        <w:szCs w:val="22"/>
      </w:rPr>
      <w:t xml:space="preserve">Interim Condensed </w:t>
    </w:r>
    <w:r w:rsidR="00E6340F">
      <w:rPr>
        <w:rFonts w:cs="Arial"/>
        <w:sz w:val="22"/>
        <w:szCs w:val="22"/>
      </w:rPr>
      <w:t xml:space="preserve">Consolidated </w:t>
    </w:r>
    <w:r w:rsidR="00E6340F" w:rsidRPr="00D64A12">
      <w:rPr>
        <w:rFonts w:cs="Arial"/>
        <w:sz w:val="22"/>
        <w:szCs w:val="22"/>
      </w:rPr>
      <w:t>Statement</w:t>
    </w:r>
    <w:r w:rsidR="00E6340F">
      <w:rPr>
        <w:rFonts w:cs="Arial"/>
        <w:sz w:val="22"/>
        <w:szCs w:val="22"/>
      </w:rPr>
      <w:t>s</w:t>
    </w:r>
    <w:r w:rsidR="00E6340F" w:rsidRPr="00D64A12">
      <w:rPr>
        <w:rFonts w:cs="Arial"/>
        <w:sz w:val="22"/>
        <w:szCs w:val="22"/>
      </w:rPr>
      <w:t xml:space="preserve"> of</w:t>
    </w:r>
    <w:r w:rsidR="00E6340F">
      <w:rPr>
        <w:rFonts w:cs="Arial"/>
        <w:sz w:val="22"/>
        <w:szCs w:val="22"/>
      </w:rPr>
      <w:t xml:space="preserve"> Loss and Comprehensive Loss</w:t>
    </w:r>
  </w:p>
  <w:p w14:paraId="6AAD54D5" w14:textId="3B9DD4C1" w:rsidR="00E6340F" w:rsidRDefault="00E6340F" w:rsidP="00F02E0D">
    <w:pPr>
      <w:rPr>
        <w:rFonts w:cs="Arial"/>
        <w:sz w:val="22"/>
        <w:szCs w:val="22"/>
      </w:rPr>
    </w:pPr>
    <w:r>
      <w:rPr>
        <w:rFonts w:cs="Arial"/>
        <w:sz w:val="22"/>
        <w:szCs w:val="22"/>
      </w:rPr>
      <w:t>(</w:t>
    </w:r>
    <w:r w:rsidR="00112976">
      <w:rPr>
        <w:rFonts w:cs="Arial"/>
        <w:sz w:val="22"/>
        <w:szCs w:val="22"/>
      </w:rPr>
      <w:t xml:space="preserve">Unaudited - </w:t>
    </w:r>
    <w:r>
      <w:rPr>
        <w:rFonts w:cs="Arial"/>
        <w:sz w:val="22"/>
        <w:szCs w:val="22"/>
      </w:rPr>
      <w:t>Expressed in Canadian dollars)</w:t>
    </w:r>
  </w:p>
  <w:p w14:paraId="169C58CE" w14:textId="77777777" w:rsidR="00E6340F" w:rsidRPr="00F02E0D" w:rsidRDefault="00E6340F" w:rsidP="00F02E0D">
    <w:pPr>
      <w:pBdr>
        <w:top w:val="single" w:sz="12" w:space="1" w:color="auto"/>
      </w:pBdr>
      <w:rPr>
        <w:rFonts w:ascii="Arial" w:hAnsi="Arial" w:cs="Arial"/>
        <w:sz w:val="12"/>
        <w:szCs w:val="1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6B1A" w14:textId="77777777" w:rsidR="00E6340F" w:rsidRDefault="00E6340F">
    <w:pPr>
      <w:rPr>
        <w:rFonts w:ascii="Calibri" w:hAnsi="Calibri"/>
        <w:b/>
        <w:sz w:val="32"/>
        <w:szCs w:val="20"/>
      </w:rPr>
    </w:pPr>
    <w:r>
      <w:rPr>
        <w:rFonts w:cs="Arial"/>
        <w:b/>
        <w:sz w:val="32"/>
        <w:szCs w:val="32"/>
      </w:rPr>
      <w:t xml:space="preserve">INEO Tech Corp. </w:t>
    </w:r>
  </w:p>
  <w:p w14:paraId="079793E0" w14:textId="37A2022D" w:rsidR="00E6340F" w:rsidRDefault="0035128F">
    <w:pPr>
      <w:rPr>
        <w:rFonts w:cs="Arial"/>
        <w:sz w:val="22"/>
        <w:szCs w:val="22"/>
      </w:rPr>
    </w:pPr>
    <w:r>
      <w:rPr>
        <w:rFonts w:cs="Arial"/>
        <w:sz w:val="22"/>
        <w:szCs w:val="22"/>
      </w:rPr>
      <w:t xml:space="preserve">Interim Condensed </w:t>
    </w:r>
    <w:r w:rsidR="00E6340F">
      <w:rPr>
        <w:rFonts w:cs="Arial"/>
        <w:sz w:val="22"/>
        <w:szCs w:val="22"/>
      </w:rPr>
      <w:t xml:space="preserve">Consolidated </w:t>
    </w:r>
    <w:r w:rsidR="00E6340F" w:rsidRPr="00D64A12">
      <w:rPr>
        <w:rFonts w:cs="Arial"/>
        <w:sz w:val="22"/>
        <w:szCs w:val="22"/>
      </w:rPr>
      <w:t>Statement</w:t>
    </w:r>
    <w:r w:rsidR="00E6340F">
      <w:rPr>
        <w:rFonts w:cs="Arial"/>
        <w:sz w:val="22"/>
        <w:szCs w:val="22"/>
      </w:rPr>
      <w:t>s</w:t>
    </w:r>
    <w:r w:rsidR="00E6340F" w:rsidRPr="00D64A12">
      <w:rPr>
        <w:rFonts w:cs="Arial"/>
        <w:sz w:val="22"/>
        <w:szCs w:val="22"/>
      </w:rPr>
      <w:t xml:space="preserve"> of</w:t>
    </w:r>
    <w:r w:rsidR="00E6340F">
      <w:rPr>
        <w:rFonts w:cs="Arial"/>
        <w:sz w:val="22"/>
        <w:szCs w:val="22"/>
      </w:rPr>
      <w:t xml:space="preserve"> Shareholders’ </w:t>
    </w:r>
    <w:r w:rsidR="00025293">
      <w:rPr>
        <w:rFonts w:cs="Arial"/>
        <w:sz w:val="22"/>
        <w:szCs w:val="22"/>
      </w:rPr>
      <w:t>Equity</w:t>
    </w:r>
    <w:r w:rsidR="00E6340F">
      <w:rPr>
        <w:rFonts w:cs="Arial"/>
        <w:sz w:val="22"/>
        <w:szCs w:val="22"/>
      </w:rPr>
      <w:t xml:space="preserve"> </w:t>
    </w:r>
  </w:p>
  <w:p w14:paraId="5D109A2B" w14:textId="3973F0B1" w:rsidR="00E6340F" w:rsidRDefault="00E6340F" w:rsidP="00F02E0D">
    <w:pPr>
      <w:rPr>
        <w:rFonts w:cs="Arial"/>
        <w:sz w:val="22"/>
        <w:szCs w:val="22"/>
      </w:rPr>
    </w:pPr>
    <w:r>
      <w:rPr>
        <w:rFonts w:cs="Arial"/>
        <w:sz w:val="22"/>
        <w:szCs w:val="22"/>
      </w:rPr>
      <w:t>(</w:t>
    </w:r>
    <w:r w:rsidR="0035128F">
      <w:rPr>
        <w:rFonts w:cs="Arial"/>
        <w:sz w:val="22"/>
        <w:szCs w:val="22"/>
      </w:rPr>
      <w:t xml:space="preserve">Unaudited - </w:t>
    </w:r>
    <w:r>
      <w:rPr>
        <w:rFonts w:cs="Arial"/>
        <w:sz w:val="22"/>
        <w:szCs w:val="22"/>
      </w:rPr>
      <w:t>Expressed in Canadian dollars)</w:t>
    </w:r>
  </w:p>
  <w:p w14:paraId="60F73A63" w14:textId="77777777" w:rsidR="00E6340F" w:rsidRPr="00F02E0D" w:rsidRDefault="00E6340F" w:rsidP="00F02E0D">
    <w:pPr>
      <w:pBdr>
        <w:top w:val="single" w:sz="12" w:space="1" w:color="auto"/>
      </w:pBdr>
      <w:rPr>
        <w:rFonts w:ascii="Arial" w:hAnsi="Arial" w:cs="Arial"/>
        <w:sz w:val="12"/>
        <w:szCs w:val="1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F702" w14:textId="77777777" w:rsidR="00E6340F" w:rsidRDefault="00E6340F">
    <w:pPr>
      <w:rPr>
        <w:rFonts w:ascii="Calibri" w:hAnsi="Calibri"/>
        <w:b/>
        <w:sz w:val="32"/>
        <w:szCs w:val="20"/>
      </w:rPr>
    </w:pPr>
    <w:r>
      <w:rPr>
        <w:rFonts w:cs="Arial"/>
        <w:b/>
        <w:sz w:val="32"/>
        <w:szCs w:val="32"/>
      </w:rPr>
      <w:t xml:space="preserve">INEO Tech Corp. </w:t>
    </w:r>
  </w:p>
  <w:p w14:paraId="0C0EC698" w14:textId="4E3F2E67" w:rsidR="00E6340F" w:rsidRDefault="00E81399">
    <w:pPr>
      <w:rPr>
        <w:rFonts w:cs="Arial"/>
        <w:sz w:val="22"/>
        <w:szCs w:val="22"/>
      </w:rPr>
    </w:pPr>
    <w:r>
      <w:rPr>
        <w:rFonts w:cs="Arial"/>
        <w:sz w:val="22"/>
        <w:szCs w:val="22"/>
      </w:rPr>
      <w:t xml:space="preserve">Interim Condensed </w:t>
    </w:r>
    <w:r w:rsidR="00E6340F">
      <w:rPr>
        <w:rFonts w:cs="Arial"/>
        <w:sz w:val="22"/>
        <w:szCs w:val="22"/>
      </w:rPr>
      <w:t xml:space="preserve">Consolidated </w:t>
    </w:r>
    <w:r w:rsidR="00E6340F" w:rsidRPr="00D64A12">
      <w:rPr>
        <w:rFonts w:cs="Arial"/>
        <w:sz w:val="22"/>
        <w:szCs w:val="22"/>
      </w:rPr>
      <w:t>Statement</w:t>
    </w:r>
    <w:r w:rsidR="00E6340F">
      <w:rPr>
        <w:rFonts w:cs="Arial"/>
        <w:sz w:val="22"/>
        <w:szCs w:val="22"/>
      </w:rPr>
      <w:t>s</w:t>
    </w:r>
    <w:r w:rsidR="00E6340F" w:rsidRPr="00D64A12">
      <w:rPr>
        <w:rFonts w:cs="Arial"/>
        <w:sz w:val="22"/>
        <w:szCs w:val="22"/>
      </w:rPr>
      <w:t xml:space="preserve"> of</w:t>
    </w:r>
    <w:r w:rsidR="00E6340F">
      <w:rPr>
        <w:rFonts w:cs="Arial"/>
        <w:sz w:val="22"/>
        <w:szCs w:val="22"/>
      </w:rPr>
      <w:t xml:space="preserve"> Cash Flow</w:t>
    </w:r>
  </w:p>
  <w:p w14:paraId="2DE577E8" w14:textId="69E1AC9A" w:rsidR="00E6340F" w:rsidRDefault="00E6340F" w:rsidP="00F02E0D">
    <w:pPr>
      <w:rPr>
        <w:rFonts w:cs="Arial"/>
        <w:sz w:val="22"/>
        <w:szCs w:val="22"/>
      </w:rPr>
    </w:pPr>
    <w:r>
      <w:rPr>
        <w:rFonts w:cs="Arial"/>
        <w:sz w:val="22"/>
        <w:szCs w:val="22"/>
      </w:rPr>
      <w:t>(</w:t>
    </w:r>
    <w:r w:rsidR="00E81399">
      <w:rPr>
        <w:rFonts w:cs="Arial"/>
        <w:sz w:val="22"/>
        <w:szCs w:val="22"/>
      </w:rPr>
      <w:t xml:space="preserve">Unaudited - </w:t>
    </w:r>
    <w:r>
      <w:rPr>
        <w:rFonts w:cs="Arial"/>
        <w:sz w:val="22"/>
        <w:szCs w:val="22"/>
      </w:rPr>
      <w:t>Expressed in Canadian dollars)</w:t>
    </w:r>
  </w:p>
  <w:p w14:paraId="5735D9BD" w14:textId="77777777" w:rsidR="00E6340F" w:rsidRPr="00F02E0D" w:rsidRDefault="00E6340F" w:rsidP="00F02E0D">
    <w:pPr>
      <w:pBdr>
        <w:top w:val="single" w:sz="12" w:space="1" w:color="auto"/>
      </w:pBdr>
      <w:rPr>
        <w:rFonts w:ascii="Arial" w:hAnsi="Arial" w:cs="Arial"/>
        <w:sz w:val="12"/>
        <w:szCs w:val="1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1AD8" w14:textId="77777777" w:rsidR="00E6340F" w:rsidRDefault="00E6340F">
    <w:pPr>
      <w:rPr>
        <w:rFonts w:ascii="Calibri" w:hAnsi="Calibri"/>
        <w:b/>
        <w:sz w:val="32"/>
        <w:szCs w:val="20"/>
      </w:rPr>
    </w:pPr>
    <w:r>
      <w:rPr>
        <w:rFonts w:cs="Arial"/>
        <w:b/>
        <w:sz w:val="32"/>
        <w:szCs w:val="32"/>
      </w:rPr>
      <w:t xml:space="preserve">INEO Tech Corp. </w:t>
    </w:r>
  </w:p>
  <w:p w14:paraId="240BAC68" w14:textId="34912C69" w:rsidR="00E6340F" w:rsidRDefault="00E6340F">
    <w:pPr>
      <w:rPr>
        <w:rFonts w:cs="Arial"/>
        <w:sz w:val="22"/>
        <w:szCs w:val="22"/>
      </w:rPr>
    </w:pPr>
    <w:r w:rsidRPr="00A30DC1">
      <w:rPr>
        <w:rFonts w:cs="Arial"/>
        <w:sz w:val="22"/>
        <w:szCs w:val="22"/>
      </w:rPr>
      <w:t xml:space="preserve">Notes to the </w:t>
    </w:r>
    <w:r w:rsidR="00E81399">
      <w:rPr>
        <w:rFonts w:cs="Arial"/>
        <w:sz w:val="22"/>
        <w:szCs w:val="22"/>
      </w:rPr>
      <w:t xml:space="preserve">Interim Condensed </w:t>
    </w:r>
    <w:r>
      <w:rPr>
        <w:rFonts w:cs="Arial"/>
        <w:sz w:val="22"/>
        <w:szCs w:val="22"/>
      </w:rPr>
      <w:t>Consolidated Financial Statements</w:t>
    </w:r>
    <w:r w:rsidRPr="00A30DC1">
      <w:rPr>
        <w:rFonts w:cs="Arial"/>
        <w:sz w:val="22"/>
        <w:szCs w:val="22"/>
      </w:rPr>
      <w:t xml:space="preserve"> </w:t>
    </w:r>
  </w:p>
  <w:p w14:paraId="6EE1E6BF" w14:textId="427909FA" w:rsidR="00E6340F" w:rsidRDefault="00E6340F">
    <w:pPr>
      <w:rPr>
        <w:rFonts w:cs="Arial"/>
        <w:sz w:val="22"/>
        <w:szCs w:val="22"/>
      </w:rPr>
    </w:pPr>
    <w:r>
      <w:rPr>
        <w:rFonts w:cs="Arial"/>
        <w:sz w:val="22"/>
        <w:szCs w:val="22"/>
      </w:rPr>
      <w:t xml:space="preserve">As at and for the </w:t>
    </w:r>
    <w:r w:rsidR="002612A5">
      <w:rPr>
        <w:rFonts w:cs="Arial"/>
        <w:sz w:val="22"/>
        <w:szCs w:val="22"/>
      </w:rPr>
      <w:t>six</w:t>
    </w:r>
    <w:r w:rsidR="00E81399">
      <w:rPr>
        <w:rFonts w:cs="Arial"/>
        <w:sz w:val="22"/>
        <w:szCs w:val="22"/>
      </w:rPr>
      <w:t xml:space="preserve"> months</w:t>
    </w:r>
    <w:r>
      <w:rPr>
        <w:rFonts w:cs="Arial"/>
        <w:sz w:val="22"/>
        <w:szCs w:val="22"/>
      </w:rPr>
      <w:t xml:space="preserve"> ended </w:t>
    </w:r>
    <w:r w:rsidR="002612A5">
      <w:rPr>
        <w:rFonts w:cs="Arial"/>
        <w:sz w:val="22"/>
        <w:szCs w:val="22"/>
      </w:rPr>
      <w:t>December 31</w:t>
    </w:r>
    <w:r>
      <w:rPr>
        <w:rFonts w:cs="Arial"/>
        <w:sz w:val="22"/>
        <w:szCs w:val="22"/>
      </w:rPr>
      <w:t>, 202</w:t>
    </w:r>
    <w:r w:rsidR="00BC4282">
      <w:rPr>
        <w:rFonts w:cs="Arial"/>
        <w:sz w:val="22"/>
        <w:szCs w:val="22"/>
      </w:rPr>
      <w:t>3</w:t>
    </w:r>
    <w:r w:rsidR="00E81399">
      <w:rPr>
        <w:rFonts w:cs="Arial"/>
        <w:sz w:val="22"/>
        <w:szCs w:val="22"/>
      </w:rPr>
      <w:t>,</w:t>
    </w:r>
    <w:r>
      <w:rPr>
        <w:rFonts w:cs="Arial"/>
        <w:sz w:val="22"/>
        <w:szCs w:val="22"/>
      </w:rPr>
      <w:t xml:space="preserve"> and 202</w:t>
    </w:r>
    <w:r w:rsidR="00BC4282">
      <w:rPr>
        <w:rFonts w:cs="Arial"/>
        <w:sz w:val="22"/>
        <w:szCs w:val="22"/>
      </w:rPr>
      <w:t>2</w:t>
    </w:r>
  </w:p>
  <w:p w14:paraId="6B5E2CD6" w14:textId="4F7DE845" w:rsidR="00E6340F" w:rsidRDefault="00E6340F">
    <w:pPr>
      <w:rPr>
        <w:rFonts w:cs="Arial"/>
        <w:sz w:val="22"/>
        <w:szCs w:val="22"/>
      </w:rPr>
    </w:pPr>
    <w:r>
      <w:rPr>
        <w:rFonts w:cs="Arial"/>
        <w:sz w:val="22"/>
        <w:szCs w:val="22"/>
      </w:rPr>
      <w:t>(</w:t>
    </w:r>
    <w:r w:rsidR="00E81399">
      <w:rPr>
        <w:rFonts w:cs="Arial"/>
        <w:sz w:val="22"/>
        <w:szCs w:val="22"/>
      </w:rPr>
      <w:t xml:space="preserve">Unaudited - </w:t>
    </w:r>
    <w:r w:rsidR="00F6351D">
      <w:rPr>
        <w:rFonts w:cs="Arial"/>
        <w:sz w:val="22"/>
        <w:szCs w:val="22"/>
      </w:rPr>
      <w:t>E</w:t>
    </w:r>
    <w:r>
      <w:rPr>
        <w:rFonts w:cs="Arial"/>
        <w:sz w:val="22"/>
        <w:szCs w:val="22"/>
      </w:rPr>
      <w:t>xpressed in Canadian dollars)</w:t>
    </w:r>
  </w:p>
  <w:p w14:paraId="16EB0CE6" w14:textId="77777777" w:rsidR="00E6340F" w:rsidRPr="00F02E0D" w:rsidRDefault="00E6340F" w:rsidP="00F02E0D">
    <w:pPr>
      <w:pBdr>
        <w:top w:val="single" w:sz="12" w:space="1" w:color="auto"/>
      </w:pBd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1A4C20"/>
    <w:lvl w:ilvl="0">
      <w:start w:val="1"/>
      <w:numFmt w:val="decimal"/>
      <w:pStyle w:val="ListNumber5"/>
      <w:lvlText w:val="%1."/>
      <w:lvlJc w:val="left"/>
      <w:pPr>
        <w:tabs>
          <w:tab w:val="num" w:pos="1723"/>
        </w:tabs>
        <w:ind w:left="1723" w:hanging="360"/>
      </w:pPr>
    </w:lvl>
  </w:abstractNum>
  <w:abstractNum w:abstractNumId="1" w15:restartNumberingAfterBreak="0">
    <w:nsid w:val="FFFFFF7D"/>
    <w:multiLevelType w:val="hybridMultilevel"/>
    <w:tmpl w:val="E5AEE3AA"/>
    <w:lvl w:ilvl="0" w:tplc="7BF4C76E">
      <w:start w:val="1"/>
      <w:numFmt w:val="decimal"/>
      <w:pStyle w:val="ListNumber4"/>
      <w:lvlText w:val="%1."/>
      <w:lvlJc w:val="left"/>
      <w:pPr>
        <w:tabs>
          <w:tab w:val="num" w:pos="1440"/>
        </w:tabs>
        <w:ind w:left="1440" w:hanging="360"/>
      </w:pPr>
    </w:lvl>
    <w:lvl w:ilvl="1" w:tplc="445280D2">
      <w:numFmt w:val="decimal"/>
      <w:lvlText w:val=""/>
      <w:lvlJc w:val="left"/>
    </w:lvl>
    <w:lvl w:ilvl="2" w:tplc="6464E804">
      <w:numFmt w:val="decimal"/>
      <w:lvlText w:val=""/>
      <w:lvlJc w:val="left"/>
    </w:lvl>
    <w:lvl w:ilvl="3" w:tplc="9AF63EF2">
      <w:numFmt w:val="decimal"/>
      <w:lvlText w:val=""/>
      <w:lvlJc w:val="left"/>
    </w:lvl>
    <w:lvl w:ilvl="4" w:tplc="5C6608DA">
      <w:numFmt w:val="decimal"/>
      <w:lvlText w:val=""/>
      <w:lvlJc w:val="left"/>
    </w:lvl>
    <w:lvl w:ilvl="5" w:tplc="FD16ECB4">
      <w:numFmt w:val="decimal"/>
      <w:lvlText w:val=""/>
      <w:lvlJc w:val="left"/>
    </w:lvl>
    <w:lvl w:ilvl="6" w:tplc="5AAAC96A">
      <w:numFmt w:val="decimal"/>
      <w:lvlText w:val=""/>
      <w:lvlJc w:val="left"/>
    </w:lvl>
    <w:lvl w:ilvl="7" w:tplc="86BAF7DA">
      <w:numFmt w:val="decimal"/>
      <w:lvlText w:val=""/>
      <w:lvlJc w:val="left"/>
    </w:lvl>
    <w:lvl w:ilvl="8" w:tplc="FFCAA10C">
      <w:numFmt w:val="decimal"/>
      <w:lvlText w:val=""/>
      <w:lvlJc w:val="left"/>
    </w:lvl>
  </w:abstractNum>
  <w:abstractNum w:abstractNumId="2" w15:restartNumberingAfterBreak="0">
    <w:nsid w:val="FFFFFF7E"/>
    <w:multiLevelType w:val="hybridMultilevel"/>
    <w:tmpl w:val="B03C5FD6"/>
    <w:lvl w:ilvl="0" w:tplc="7D20A056">
      <w:start w:val="1"/>
      <w:numFmt w:val="decimal"/>
      <w:pStyle w:val="ListNumber3"/>
      <w:lvlText w:val="%1."/>
      <w:lvlJc w:val="left"/>
      <w:pPr>
        <w:tabs>
          <w:tab w:val="num" w:pos="1080"/>
        </w:tabs>
        <w:ind w:left="1080" w:hanging="360"/>
      </w:pPr>
    </w:lvl>
    <w:lvl w:ilvl="1" w:tplc="AADC2BD0">
      <w:numFmt w:val="decimal"/>
      <w:lvlText w:val=""/>
      <w:lvlJc w:val="left"/>
    </w:lvl>
    <w:lvl w:ilvl="2" w:tplc="34E6C32E">
      <w:numFmt w:val="decimal"/>
      <w:lvlText w:val=""/>
      <w:lvlJc w:val="left"/>
    </w:lvl>
    <w:lvl w:ilvl="3" w:tplc="5AD6534A">
      <w:numFmt w:val="decimal"/>
      <w:lvlText w:val=""/>
      <w:lvlJc w:val="left"/>
    </w:lvl>
    <w:lvl w:ilvl="4" w:tplc="A76EBFA6">
      <w:numFmt w:val="decimal"/>
      <w:lvlText w:val=""/>
      <w:lvlJc w:val="left"/>
    </w:lvl>
    <w:lvl w:ilvl="5" w:tplc="CD188C80">
      <w:numFmt w:val="decimal"/>
      <w:lvlText w:val=""/>
      <w:lvlJc w:val="left"/>
    </w:lvl>
    <w:lvl w:ilvl="6" w:tplc="A6B4E460">
      <w:numFmt w:val="decimal"/>
      <w:lvlText w:val=""/>
      <w:lvlJc w:val="left"/>
    </w:lvl>
    <w:lvl w:ilvl="7" w:tplc="C47A0012">
      <w:numFmt w:val="decimal"/>
      <w:lvlText w:val=""/>
      <w:lvlJc w:val="left"/>
    </w:lvl>
    <w:lvl w:ilvl="8" w:tplc="030A0E10">
      <w:numFmt w:val="decimal"/>
      <w:lvlText w:val=""/>
      <w:lvlJc w:val="left"/>
    </w:lvl>
  </w:abstractNum>
  <w:abstractNum w:abstractNumId="3" w15:restartNumberingAfterBreak="0">
    <w:nsid w:val="FFFFFF7F"/>
    <w:multiLevelType w:val="hybridMultilevel"/>
    <w:tmpl w:val="72B2B694"/>
    <w:lvl w:ilvl="0" w:tplc="448CFD3C">
      <w:start w:val="1"/>
      <w:numFmt w:val="decimal"/>
      <w:pStyle w:val="ListNumber2"/>
      <w:lvlText w:val="%1."/>
      <w:lvlJc w:val="left"/>
      <w:pPr>
        <w:tabs>
          <w:tab w:val="num" w:pos="720"/>
        </w:tabs>
        <w:ind w:left="720" w:hanging="360"/>
      </w:pPr>
    </w:lvl>
    <w:lvl w:ilvl="1" w:tplc="A13644FE">
      <w:numFmt w:val="decimal"/>
      <w:lvlText w:val=""/>
      <w:lvlJc w:val="left"/>
    </w:lvl>
    <w:lvl w:ilvl="2" w:tplc="530A41A8">
      <w:numFmt w:val="decimal"/>
      <w:lvlText w:val=""/>
      <w:lvlJc w:val="left"/>
    </w:lvl>
    <w:lvl w:ilvl="3" w:tplc="44EC7A4E">
      <w:numFmt w:val="decimal"/>
      <w:lvlText w:val=""/>
      <w:lvlJc w:val="left"/>
    </w:lvl>
    <w:lvl w:ilvl="4" w:tplc="6F3016B6">
      <w:numFmt w:val="decimal"/>
      <w:lvlText w:val=""/>
      <w:lvlJc w:val="left"/>
    </w:lvl>
    <w:lvl w:ilvl="5" w:tplc="84E6CE22">
      <w:numFmt w:val="decimal"/>
      <w:lvlText w:val=""/>
      <w:lvlJc w:val="left"/>
    </w:lvl>
    <w:lvl w:ilvl="6" w:tplc="884EC372">
      <w:numFmt w:val="decimal"/>
      <w:lvlText w:val=""/>
      <w:lvlJc w:val="left"/>
    </w:lvl>
    <w:lvl w:ilvl="7" w:tplc="684A533A">
      <w:numFmt w:val="decimal"/>
      <w:lvlText w:val=""/>
      <w:lvlJc w:val="left"/>
    </w:lvl>
    <w:lvl w:ilvl="8" w:tplc="58DA0D52">
      <w:numFmt w:val="decimal"/>
      <w:lvlText w:val=""/>
      <w:lvlJc w:val="left"/>
    </w:lvl>
  </w:abstractNum>
  <w:abstractNum w:abstractNumId="4" w15:restartNumberingAfterBreak="0">
    <w:nsid w:val="FFFFFF80"/>
    <w:multiLevelType w:val="hybridMultilevel"/>
    <w:tmpl w:val="68C02BC0"/>
    <w:lvl w:ilvl="0" w:tplc="E5A473BA">
      <w:start w:val="1"/>
      <w:numFmt w:val="bullet"/>
      <w:pStyle w:val="ListBullet5"/>
      <w:lvlText w:val=""/>
      <w:lvlJc w:val="left"/>
      <w:pPr>
        <w:tabs>
          <w:tab w:val="num" w:pos="1800"/>
        </w:tabs>
        <w:ind w:left="1800" w:hanging="360"/>
      </w:pPr>
      <w:rPr>
        <w:rFonts w:ascii="Symbol" w:hAnsi="Symbol" w:hint="default"/>
      </w:rPr>
    </w:lvl>
    <w:lvl w:ilvl="1" w:tplc="2756601E">
      <w:numFmt w:val="decimal"/>
      <w:lvlText w:val=""/>
      <w:lvlJc w:val="left"/>
    </w:lvl>
    <w:lvl w:ilvl="2" w:tplc="ED465996">
      <w:numFmt w:val="decimal"/>
      <w:lvlText w:val=""/>
      <w:lvlJc w:val="left"/>
    </w:lvl>
    <w:lvl w:ilvl="3" w:tplc="38E4DE66">
      <w:numFmt w:val="decimal"/>
      <w:lvlText w:val=""/>
      <w:lvlJc w:val="left"/>
    </w:lvl>
    <w:lvl w:ilvl="4" w:tplc="69068188">
      <w:numFmt w:val="decimal"/>
      <w:lvlText w:val=""/>
      <w:lvlJc w:val="left"/>
    </w:lvl>
    <w:lvl w:ilvl="5" w:tplc="D04A3A04">
      <w:numFmt w:val="decimal"/>
      <w:lvlText w:val=""/>
      <w:lvlJc w:val="left"/>
    </w:lvl>
    <w:lvl w:ilvl="6" w:tplc="0066B9F8">
      <w:numFmt w:val="decimal"/>
      <w:lvlText w:val=""/>
      <w:lvlJc w:val="left"/>
    </w:lvl>
    <w:lvl w:ilvl="7" w:tplc="167CD58C">
      <w:numFmt w:val="decimal"/>
      <w:lvlText w:val=""/>
      <w:lvlJc w:val="left"/>
    </w:lvl>
    <w:lvl w:ilvl="8" w:tplc="F3468240">
      <w:numFmt w:val="decimal"/>
      <w:lvlText w:val=""/>
      <w:lvlJc w:val="left"/>
    </w:lvl>
  </w:abstractNum>
  <w:abstractNum w:abstractNumId="5" w15:restartNumberingAfterBreak="0">
    <w:nsid w:val="FFFFFF82"/>
    <w:multiLevelType w:val="hybridMultilevel"/>
    <w:tmpl w:val="06820728"/>
    <w:lvl w:ilvl="0" w:tplc="FA94B808">
      <w:start w:val="1"/>
      <w:numFmt w:val="bullet"/>
      <w:pStyle w:val="ListBullet3"/>
      <w:lvlText w:val=""/>
      <w:lvlJc w:val="left"/>
      <w:pPr>
        <w:tabs>
          <w:tab w:val="num" w:pos="1080"/>
        </w:tabs>
        <w:ind w:left="1080" w:hanging="360"/>
      </w:pPr>
      <w:rPr>
        <w:rFonts w:ascii="Symbol" w:hAnsi="Symbol" w:hint="default"/>
      </w:rPr>
    </w:lvl>
    <w:lvl w:ilvl="1" w:tplc="A8B0056A">
      <w:numFmt w:val="decimal"/>
      <w:lvlText w:val=""/>
      <w:lvlJc w:val="left"/>
    </w:lvl>
    <w:lvl w:ilvl="2" w:tplc="17E894C6">
      <w:numFmt w:val="decimal"/>
      <w:lvlText w:val=""/>
      <w:lvlJc w:val="left"/>
    </w:lvl>
    <w:lvl w:ilvl="3" w:tplc="DADA6C8C">
      <w:numFmt w:val="decimal"/>
      <w:lvlText w:val=""/>
      <w:lvlJc w:val="left"/>
    </w:lvl>
    <w:lvl w:ilvl="4" w:tplc="B34021F2">
      <w:numFmt w:val="decimal"/>
      <w:lvlText w:val=""/>
      <w:lvlJc w:val="left"/>
    </w:lvl>
    <w:lvl w:ilvl="5" w:tplc="90E662EC">
      <w:numFmt w:val="decimal"/>
      <w:lvlText w:val=""/>
      <w:lvlJc w:val="left"/>
    </w:lvl>
    <w:lvl w:ilvl="6" w:tplc="832A628A">
      <w:numFmt w:val="decimal"/>
      <w:lvlText w:val=""/>
      <w:lvlJc w:val="left"/>
    </w:lvl>
    <w:lvl w:ilvl="7" w:tplc="E794B204">
      <w:numFmt w:val="decimal"/>
      <w:lvlText w:val=""/>
      <w:lvlJc w:val="left"/>
    </w:lvl>
    <w:lvl w:ilvl="8" w:tplc="F1586152">
      <w:numFmt w:val="decimal"/>
      <w:lvlText w:val=""/>
      <w:lvlJc w:val="left"/>
    </w:lvl>
  </w:abstractNum>
  <w:abstractNum w:abstractNumId="6" w15:restartNumberingAfterBreak="0">
    <w:nsid w:val="FFFFFF83"/>
    <w:multiLevelType w:val="hybridMultilevel"/>
    <w:tmpl w:val="DEAE44CC"/>
    <w:lvl w:ilvl="0" w:tplc="2202F9F2">
      <w:start w:val="1"/>
      <w:numFmt w:val="bullet"/>
      <w:pStyle w:val="ListBullet2"/>
      <w:lvlText w:val=""/>
      <w:lvlJc w:val="left"/>
      <w:pPr>
        <w:tabs>
          <w:tab w:val="num" w:pos="720"/>
        </w:tabs>
        <w:ind w:left="720" w:hanging="360"/>
      </w:pPr>
      <w:rPr>
        <w:rFonts w:ascii="Symbol" w:hAnsi="Symbol" w:hint="default"/>
      </w:rPr>
    </w:lvl>
    <w:lvl w:ilvl="1" w:tplc="7F7AF428">
      <w:numFmt w:val="decimal"/>
      <w:lvlText w:val=""/>
      <w:lvlJc w:val="left"/>
    </w:lvl>
    <w:lvl w:ilvl="2" w:tplc="4B8A5BD0">
      <w:numFmt w:val="decimal"/>
      <w:lvlText w:val=""/>
      <w:lvlJc w:val="left"/>
    </w:lvl>
    <w:lvl w:ilvl="3" w:tplc="BF68B004">
      <w:numFmt w:val="decimal"/>
      <w:lvlText w:val=""/>
      <w:lvlJc w:val="left"/>
    </w:lvl>
    <w:lvl w:ilvl="4" w:tplc="34A27452">
      <w:numFmt w:val="decimal"/>
      <w:lvlText w:val=""/>
      <w:lvlJc w:val="left"/>
    </w:lvl>
    <w:lvl w:ilvl="5" w:tplc="0692770C">
      <w:numFmt w:val="decimal"/>
      <w:lvlText w:val=""/>
      <w:lvlJc w:val="left"/>
    </w:lvl>
    <w:lvl w:ilvl="6" w:tplc="8F6A4DAC">
      <w:numFmt w:val="decimal"/>
      <w:lvlText w:val=""/>
      <w:lvlJc w:val="left"/>
    </w:lvl>
    <w:lvl w:ilvl="7" w:tplc="3AAEB4D8">
      <w:numFmt w:val="decimal"/>
      <w:lvlText w:val=""/>
      <w:lvlJc w:val="left"/>
    </w:lvl>
    <w:lvl w:ilvl="8" w:tplc="5080A2E4">
      <w:numFmt w:val="decimal"/>
      <w:lvlText w:val=""/>
      <w:lvlJc w:val="left"/>
    </w:lvl>
  </w:abstractNum>
  <w:abstractNum w:abstractNumId="7" w15:restartNumberingAfterBreak="0">
    <w:nsid w:val="FFFFFF88"/>
    <w:multiLevelType w:val="hybridMultilevel"/>
    <w:tmpl w:val="9D1E0664"/>
    <w:lvl w:ilvl="0" w:tplc="4DEE371A">
      <w:start w:val="1"/>
      <w:numFmt w:val="decimal"/>
      <w:pStyle w:val="ListNumber"/>
      <w:lvlText w:val="%1."/>
      <w:lvlJc w:val="left"/>
      <w:pPr>
        <w:tabs>
          <w:tab w:val="num" w:pos="360"/>
        </w:tabs>
        <w:ind w:left="360" w:hanging="360"/>
      </w:pPr>
    </w:lvl>
    <w:lvl w:ilvl="1" w:tplc="66CC0386">
      <w:numFmt w:val="decimal"/>
      <w:lvlText w:val=""/>
      <w:lvlJc w:val="left"/>
    </w:lvl>
    <w:lvl w:ilvl="2" w:tplc="81F88936">
      <w:numFmt w:val="decimal"/>
      <w:lvlText w:val=""/>
      <w:lvlJc w:val="left"/>
    </w:lvl>
    <w:lvl w:ilvl="3" w:tplc="50402AC4">
      <w:numFmt w:val="decimal"/>
      <w:lvlText w:val=""/>
      <w:lvlJc w:val="left"/>
    </w:lvl>
    <w:lvl w:ilvl="4" w:tplc="EEDE72CA">
      <w:numFmt w:val="decimal"/>
      <w:lvlText w:val=""/>
      <w:lvlJc w:val="left"/>
    </w:lvl>
    <w:lvl w:ilvl="5" w:tplc="425C2628">
      <w:numFmt w:val="decimal"/>
      <w:lvlText w:val=""/>
      <w:lvlJc w:val="left"/>
    </w:lvl>
    <w:lvl w:ilvl="6" w:tplc="3A5C67AC">
      <w:numFmt w:val="decimal"/>
      <w:lvlText w:val=""/>
      <w:lvlJc w:val="left"/>
    </w:lvl>
    <w:lvl w:ilvl="7" w:tplc="9978186C">
      <w:numFmt w:val="decimal"/>
      <w:lvlText w:val=""/>
      <w:lvlJc w:val="left"/>
    </w:lvl>
    <w:lvl w:ilvl="8" w:tplc="47169306">
      <w:numFmt w:val="decimal"/>
      <w:lvlText w:val=""/>
      <w:lvlJc w:val="left"/>
    </w:lvl>
  </w:abstractNum>
  <w:abstractNum w:abstractNumId="8" w15:restartNumberingAfterBreak="0">
    <w:nsid w:val="FFFFFF89"/>
    <w:multiLevelType w:val="hybridMultilevel"/>
    <w:tmpl w:val="5C98BF46"/>
    <w:lvl w:ilvl="0" w:tplc="02FA6928">
      <w:start w:val="1"/>
      <w:numFmt w:val="bullet"/>
      <w:pStyle w:val="ListBullet"/>
      <w:lvlText w:val=""/>
      <w:lvlJc w:val="left"/>
      <w:pPr>
        <w:tabs>
          <w:tab w:val="num" w:pos="360"/>
        </w:tabs>
        <w:ind w:left="360" w:hanging="360"/>
      </w:pPr>
      <w:rPr>
        <w:rFonts w:ascii="Symbol" w:hAnsi="Symbol" w:hint="default"/>
      </w:rPr>
    </w:lvl>
    <w:lvl w:ilvl="1" w:tplc="7D827DC2">
      <w:numFmt w:val="decimal"/>
      <w:lvlText w:val=""/>
      <w:lvlJc w:val="left"/>
    </w:lvl>
    <w:lvl w:ilvl="2" w:tplc="F6A83480">
      <w:numFmt w:val="decimal"/>
      <w:lvlText w:val=""/>
      <w:lvlJc w:val="left"/>
    </w:lvl>
    <w:lvl w:ilvl="3" w:tplc="66AC50B0">
      <w:numFmt w:val="decimal"/>
      <w:lvlText w:val=""/>
      <w:lvlJc w:val="left"/>
    </w:lvl>
    <w:lvl w:ilvl="4" w:tplc="ED5EDA68">
      <w:numFmt w:val="decimal"/>
      <w:lvlText w:val=""/>
      <w:lvlJc w:val="left"/>
    </w:lvl>
    <w:lvl w:ilvl="5" w:tplc="7BB2FBD0">
      <w:numFmt w:val="decimal"/>
      <w:lvlText w:val=""/>
      <w:lvlJc w:val="left"/>
    </w:lvl>
    <w:lvl w:ilvl="6" w:tplc="F44E0DB0">
      <w:numFmt w:val="decimal"/>
      <w:lvlText w:val=""/>
      <w:lvlJc w:val="left"/>
    </w:lvl>
    <w:lvl w:ilvl="7" w:tplc="9746C95A">
      <w:numFmt w:val="decimal"/>
      <w:lvlText w:val=""/>
      <w:lvlJc w:val="left"/>
    </w:lvl>
    <w:lvl w:ilvl="8" w:tplc="3D0A3C76">
      <w:numFmt w:val="decimal"/>
      <w:lvlText w:val=""/>
      <w:lvlJc w:val="left"/>
    </w:lvl>
  </w:abstractNum>
  <w:abstractNum w:abstractNumId="9" w15:restartNumberingAfterBreak="0">
    <w:nsid w:val="054D7F8A"/>
    <w:multiLevelType w:val="hybridMultilevel"/>
    <w:tmpl w:val="00D06998"/>
    <w:lvl w:ilvl="0" w:tplc="82B605D8">
      <w:start w:val="19"/>
      <w:numFmt w:val="decimal"/>
      <w:lvlText w:val="%1."/>
      <w:lvlJc w:val="left"/>
      <w:pPr>
        <w:ind w:left="408" w:hanging="360"/>
      </w:pPr>
      <w:rPr>
        <w:rFonts w:hint="default"/>
      </w:rPr>
    </w:lvl>
    <w:lvl w:ilvl="1" w:tplc="10090019" w:tentative="1">
      <w:start w:val="1"/>
      <w:numFmt w:val="lowerLetter"/>
      <w:lvlText w:val="%2."/>
      <w:lvlJc w:val="left"/>
      <w:pPr>
        <w:ind w:left="1128" w:hanging="360"/>
      </w:pPr>
    </w:lvl>
    <w:lvl w:ilvl="2" w:tplc="1009001B" w:tentative="1">
      <w:start w:val="1"/>
      <w:numFmt w:val="lowerRoman"/>
      <w:lvlText w:val="%3."/>
      <w:lvlJc w:val="right"/>
      <w:pPr>
        <w:ind w:left="1848" w:hanging="180"/>
      </w:pPr>
    </w:lvl>
    <w:lvl w:ilvl="3" w:tplc="1009000F" w:tentative="1">
      <w:start w:val="1"/>
      <w:numFmt w:val="decimal"/>
      <w:lvlText w:val="%4."/>
      <w:lvlJc w:val="left"/>
      <w:pPr>
        <w:ind w:left="2568" w:hanging="360"/>
      </w:pPr>
    </w:lvl>
    <w:lvl w:ilvl="4" w:tplc="10090019" w:tentative="1">
      <w:start w:val="1"/>
      <w:numFmt w:val="lowerLetter"/>
      <w:lvlText w:val="%5."/>
      <w:lvlJc w:val="left"/>
      <w:pPr>
        <w:ind w:left="3288" w:hanging="360"/>
      </w:pPr>
    </w:lvl>
    <w:lvl w:ilvl="5" w:tplc="1009001B" w:tentative="1">
      <w:start w:val="1"/>
      <w:numFmt w:val="lowerRoman"/>
      <w:lvlText w:val="%6."/>
      <w:lvlJc w:val="right"/>
      <w:pPr>
        <w:ind w:left="4008" w:hanging="180"/>
      </w:pPr>
    </w:lvl>
    <w:lvl w:ilvl="6" w:tplc="1009000F" w:tentative="1">
      <w:start w:val="1"/>
      <w:numFmt w:val="decimal"/>
      <w:lvlText w:val="%7."/>
      <w:lvlJc w:val="left"/>
      <w:pPr>
        <w:ind w:left="4728" w:hanging="360"/>
      </w:pPr>
    </w:lvl>
    <w:lvl w:ilvl="7" w:tplc="10090019" w:tentative="1">
      <w:start w:val="1"/>
      <w:numFmt w:val="lowerLetter"/>
      <w:lvlText w:val="%8."/>
      <w:lvlJc w:val="left"/>
      <w:pPr>
        <w:ind w:left="5448" w:hanging="360"/>
      </w:pPr>
    </w:lvl>
    <w:lvl w:ilvl="8" w:tplc="1009001B" w:tentative="1">
      <w:start w:val="1"/>
      <w:numFmt w:val="lowerRoman"/>
      <w:lvlText w:val="%9."/>
      <w:lvlJc w:val="right"/>
      <w:pPr>
        <w:ind w:left="6168" w:hanging="180"/>
      </w:pPr>
    </w:lvl>
  </w:abstractNum>
  <w:abstractNum w:abstractNumId="10" w15:restartNumberingAfterBreak="0">
    <w:nsid w:val="0719681B"/>
    <w:multiLevelType w:val="hybridMultilevel"/>
    <w:tmpl w:val="FB50E292"/>
    <w:lvl w:ilvl="0" w:tplc="96E8D25C">
      <w:start w:val="2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8A66B90"/>
    <w:multiLevelType w:val="hybridMultilevel"/>
    <w:tmpl w:val="C65416E2"/>
    <w:lvl w:ilvl="0" w:tplc="FFFFFFFF">
      <w:start w:val="19"/>
      <w:numFmt w:val="decimal"/>
      <w:lvlText w:val="%1."/>
      <w:lvlJc w:val="left"/>
      <w:pPr>
        <w:ind w:left="408" w:hanging="360"/>
      </w:pPr>
      <w:rPr>
        <w:rFonts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12" w15:restartNumberingAfterBreak="0">
    <w:nsid w:val="0C1E03C8"/>
    <w:multiLevelType w:val="hybridMultilevel"/>
    <w:tmpl w:val="8F0C5AB4"/>
    <w:lvl w:ilvl="0" w:tplc="843C890A">
      <w:start w:val="2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D507863"/>
    <w:multiLevelType w:val="hybridMultilevel"/>
    <w:tmpl w:val="9FD6459A"/>
    <w:lvl w:ilvl="0" w:tplc="576408E6">
      <w:start w:val="21"/>
      <w:numFmt w:val="decimal"/>
      <w:lvlText w:val="%1."/>
      <w:lvlJc w:val="left"/>
      <w:pPr>
        <w:ind w:left="928"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3973472"/>
    <w:multiLevelType w:val="hybridMultilevel"/>
    <w:tmpl w:val="76DAFA0C"/>
    <w:lvl w:ilvl="0" w:tplc="8D5EC254">
      <w:start w:val="22"/>
      <w:numFmt w:val="decimal"/>
      <w:lvlText w:val="%1."/>
      <w:lvlJc w:val="left"/>
      <w:pPr>
        <w:ind w:left="928"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6445133"/>
    <w:multiLevelType w:val="hybridMultilevel"/>
    <w:tmpl w:val="A8C4F958"/>
    <w:lvl w:ilvl="0" w:tplc="C5CCAC1E">
      <w:start w:val="21"/>
      <w:numFmt w:val="decimal"/>
      <w:lvlText w:val="%1."/>
      <w:lvlJc w:val="left"/>
      <w:pPr>
        <w:ind w:left="928"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7100099"/>
    <w:multiLevelType w:val="hybridMultilevel"/>
    <w:tmpl w:val="B7526ADC"/>
    <w:lvl w:ilvl="0" w:tplc="FFFFFFFF">
      <w:start w:val="2"/>
      <w:numFmt w:val="lowerLetter"/>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7" w15:restartNumberingAfterBreak="0">
    <w:nsid w:val="1FD73485"/>
    <w:multiLevelType w:val="multilevel"/>
    <w:tmpl w:val="083C6972"/>
    <w:styleLink w:val="CurrentList1"/>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86410A"/>
    <w:multiLevelType w:val="hybridMultilevel"/>
    <w:tmpl w:val="D090AEEE"/>
    <w:lvl w:ilvl="0" w:tplc="FDF2C6DE">
      <w:start w:val="17"/>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576593E"/>
    <w:multiLevelType w:val="hybridMultilevel"/>
    <w:tmpl w:val="F678105A"/>
    <w:lvl w:ilvl="0" w:tplc="2F1CAFA2">
      <w:start w:val="3"/>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7A513F1"/>
    <w:multiLevelType w:val="hybridMultilevel"/>
    <w:tmpl w:val="58CAC084"/>
    <w:lvl w:ilvl="0" w:tplc="E5C66890">
      <w:start w:val="2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A535A7F"/>
    <w:multiLevelType w:val="multilevel"/>
    <w:tmpl w:val="C8F4DC50"/>
    <w:styleLink w:val="CurrentList2"/>
    <w:lvl w:ilvl="0">
      <w:start w:val="14"/>
      <w:numFmt w:val="decimal"/>
      <w:lvlText w:val="%1."/>
      <w:lvlJc w:val="left"/>
      <w:pPr>
        <w:ind w:left="360"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2" w15:restartNumberingAfterBreak="0">
    <w:nsid w:val="2AD72FEF"/>
    <w:multiLevelType w:val="hybridMultilevel"/>
    <w:tmpl w:val="F6EC57B4"/>
    <w:lvl w:ilvl="0" w:tplc="1CCC2012">
      <w:start w:val="14"/>
      <w:numFmt w:val="decimal"/>
      <w:lvlText w:val="%1."/>
      <w:lvlJc w:val="left"/>
      <w:pPr>
        <w:ind w:left="360" w:hanging="360"/>
      </w:pPr>
      <w:rPr>
        <w:rFonts w:hint="default"/>
      </w:rPr>
    </w:lvl>
    <w:lvl w:ilvl="1" w:tplc="10090019">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23" w15:restartNumberingAfterBreak="0">
    <w:nsid w:val="320516D7"/>
    <w:multiLevelType w:val="hybridMultilevel"/>
    <w:tmpl w:val="6792CEE4"/>
    <w:lvl w:ilvl="0" w:tplc="82B605D8">
      <w:start w:val="19"/>
      <w:numFmt w:val="decimal"/>
      <w:lvlText w:val="%1."/>
      <w:lvlJc w:val="left"/>
      <w:pPr>
        <w:ind w:left="408" w:hanging="360"/>
      </w:pPr>
      <w:rPr>
        <w:rFonts w:hint="default"/>
      </w:rPr>
    </w:lvl>
    <w:lvl w:ilvl="1" w:tplc="10090019" w:tentative="1">
      <w:start w:val="1"/>
      <w:numFmt w:val="lowerLetter"/>
      <w:lvlText w:val="%2."/>
      <w:lvlJc w:val="left"/>
      <w:pPr>
        <w:ind w:left="1128" w:hanging="360"/>
      </w:pPr>
    </w:lvl>
    <w:lvl w:ilvl="2" w:tplc="1009001B" w:tentative="1">
      <w:start w:val="1"/>
      <w:numFmt w:val="lowerRoman"/>
      <w:lvlText w:val="%3."/>
      <w:lvlJc w:val="right"/>
      <w:pPr>
        <w:ind w:left="1848" w:hanging="180"/>
      </w:pPr>
    </w:lvl>
    <w:lvl w:ilvl="3" w:tplc="1009000F" w:tentative="1">
      <w:start w:val="1"/>
      <w:numFmt w:val="decimal"/>
      <w:lvlText w:val="%4."/>
      <w:lvlJc w:val="left"/>
      <w:pPr>
        <w:ind w:left="2568" w:hanging="360"/>
      </w:pPr>
    </w:lvl>
    <w:lvl w:ilvl="4" w:tplc="10090019" w:tentative="1">
      <w:start w:val="1"/>
      <w:numFmt w:val="lowerLetter"/>
      <w:lvlText w:val="%5."/>
      <w:lvlJc w:val="left"/>
      <w:pPr>
        <w:ind w:left="3288" w:hanging="360"/>
      </w:pPr>
    </w:lvl>
    <w:lvl w:ilvl="5" w:tplc="1009001B" w:tentative="1">
      <w:start w:val="1"/>
      <w:numFmt w:val="lowerRoman"/>
      <w:lvlText w:val="%6."/>
      <w:lvlJc w:val="right"/>
      <w:pPr>
        <w:ind w:left="4008" w:hanging="180"/>
      </w:pPr>
    </w:lvl>
    <w:lvl w:ilvl="6" w:tplc="1009000F" w:tentative="1">
      <w:start w:val="1"/>
      <w:numFmt w:val="decimal"/>
      <w:lvlText w:val="%7."/>
      <w:lvlJc w:val="left"/>
      <w:pPr>
        <w:ind w:left="4728" w:hanging="360"/>
      </w:pPr>
    </w:lvl>
    <w:lvl w:ilvl="7" w:tplc="10090019" w:tentative="1">
      <w:start w:val="1"/>
      <w:numFmt w:val="lowerLetter"/>
      <w:lvlText w:val="%8."/>
      <w:lvlJc w:val="left"/>
      <w:pPr>
        <w:ind w:left="5448" w:hanging="360"/>
      </w:pPr>
    </w:lvl>
    <w:lvl w:ilvl="8" w:tplc="1009001B" w:tentative="1">
      <w:start w:val="1"/>
      <w:numFmt w:val="lowerRoman"/>
      <w:lvlText w:val="%9."/>
      <w:lvlJc w:val="right"/>
      <w:pPr>
        <w:ind w:left="6168" w:hanging="180"/>
      </w:pPr>
    </w:lvl>
  </w:abstractNum>
  <w:abstractNum w:abstractNumId="24" w15:restartNumberingAfterBreak="0">
    <w:nsid w:val="34346E17"/>
    <w:multiLevelType w:val="hybridMultilevel"/>
    <w:tmpl w:val="0ABEA0AE"/>
    <w:lvl w:ilvl="0" w:tplc="82B605D8">
      <w:start w:val="19"/>
      <w:numFmt w:val="decimal"/>
      <w:lvlText w:val="%1."/>
      <w:lvlJc w:val="left"/>
      <w:pPr>
        <w:ind w:left="408" w:hanging="360"/>
      </w:pPr>
      <w:rPr>
        <w:rFonts w:hint="default"/>
      </w:rPr>
    </w:lvl>
    <w:lvl w:ilvl="1" w:tplc="10090019" w:tentative="1">
      <w:start w:val="1"/>
      <w:numFmt w:val="lowerLetter"/>
      <w:lvlText w:val="%2."/>
      <w:lvlJc w:val="left"/>
      <w:pPr>
        <w:ind w:left="1128" w:hanging="360"/>
      </w:pPr>
    </w:lvl>
    <w:lvl w:ilvl="2" w:tplc="1009001B" w:tentative="1">
      <w:start w:val="1"/>
      <w:numFmt w:val="lowerRoman"/>
      <w:lvlText w:val="%3."/>
      <w:lvlJc w:val="right"/>
      <w:pPr>
        <w:ind w:left="1848" w:hanging="180"/>
      </w:pPr>
    </w:lvl>
    <w:lvl w:ilvl="3" w:tplc="1009000F" w:tentative="1">
      <w:start w:val="1"/>
      <w:numFmt w:val="decimal"/>
      <w:lvlText w:val="%4."/>
      <w:lvlJc w:val="left"/>
      <w:pPr>
        <w:ind w:left="2568" w:hanging="360"/>
      </w:pPr>
    </w:lvl>
    <w:lvl w:ilvl="4" w:tplc="10090019" w:tentative="1">
      <w:start w:val="1"/>
      <w:numFmt w:val="lowerLetter"/>
      <w:lvlText w:val="%5."/>
      <w:lvlJc w:val="left"/>
      <w:pPr>
        <w:ind w:left="3288" w:hanging="360"/>
      </w:pPr>
    </w:lvl>
    <w:lvl w:ilvl="5" w:tplc="1009001B" w:tentative="1">
      <w:start w:val="1"/>
      <w:numFmt w:val="lowerRoman"/>
      <w:lvlText w:val="%6."/>
      <w:lvlJc w:val="right"/>
      <w:pPr>
        <w:ind w:left="4008" w:hanging="180"/>
      </w:pPr>
    </w:lvl>
    <w:lvl w:ilvl="6" w:tplc="1009000F" w:tentative="1">
      <w:start w:val="1"/>
      <w:numFmt w:val="decimal"/>
      <w:lvlText w:val="%7."/>
      <w:lvlJc w:val="left"/>
      <w:pPr>
        <w:ind w:left="4728" w:hanging="360"/>
      </w:pPr>
    </w:lvl>
    <w:lvl w:ilvl="7" w:tplc="10090019" w:tentative="1">
      <w:start w:val="1"/>
      <w:numFmt w:val="lowerLetter"/>
      <w:lvlText w:val="%8."/>
      <w:lvlJc w:val="left"/>
      <w:pPr>
        <w:ind w:left="5448" w:hanging="360"/>
      </w:pPr>
    </w:lvl>
    <w:lvl w:ilvl="8" w:tplc="1009001B" w:tentative="1">
      <w:start w:val="1"/>
      <w:numFmt w:val="lowerRoman"/>
      <w:lvlText w:val="%9."/>
      <w:lvlJc w:val="right"/>
      <w:pPr>
        <w:ind w:left="6168" w:hanging="180"/>
      </w:pPr>
    </w:lvl>
  </w:abstractNum>
  <w:abstractNum w:abstractNumId="25" w15:restartNumberingAfterBreak="0">
    <w:nsid w:val="39617890"/>
    <w:multiLevelType w:val="hybridMultilevel"/>
    <w:tmpl w:val="86FE458C"/>
    <w:lvl w:ilvl="0" w:tplc="F502E246">
      <w:start w:val="1"/>
      <w:numFmt w:val="decimal"/>
      <w:pStyle w:val="Par1"/>
      <w:lvlText w:val="%1"/>
      <w:lvlJc w:val="left"/>
      <w:pPr>
        <w:tabs>
          <w:tab w:val="num" w:pos="432"/>
        </w:tabs>
        <w:ind w:left="432" w:hanging="432"/>
      </w:pPr>
      <w:rPr>
        <w:rFonts w:cs="Times New Roman" w:hint="default"/>
      </w:rPr>
    </w:lvl>
    <w:lvl w:ilvl="1" w:tplc="2CA2AC12">
      <w:start w:val="1"/>
      <w:numFmt w:val="lowerLetter"/>
      <w:pStyle w:val="Par2"/>
      <w:lvlText w:val="%2)"/>
      <w:lvlJc w:val="left"/>
      <w:pPr>
        <w:tabs>
          <w:tab w:val="num" w:pos="864"/>
        </w:tabs>
        <w:ind w:left="864" w:hanging="432"/>
      </w:pPr>
      <w:rPr>
        <w:rFonts w:cs="Times New Roman" w:hint="default"/>
      </w:rPr>
    </w:lvl>
    <w:lvl w:ilvl="2" w:tplc="BE9028D6">
      <w:start w:val="1"/>
      <w:numFmt w:val="lowerRoman"/>
      <w:pStyle w:val="Par3"/>
      <w:lvlText w:val="%3)"/>
      <w:lvlJc w:val="left"/>
      <w:pPr>
        <w:tabs>
          <w:tab w:val="num" w:pos="1296"/>
        </w:tabs>
        <w:ind w:left="1296" w:hanging="432"/>
      </w:pPr>
      <w:rPr>
        <w:rFonts w:cs="Times New Roman" w:hint="default"/>
      </w:rPr>
    </w:lvl>
    <w:lvl w:ilvl="3" w:tplc="0CA6B9BE">
      <w:start w:val="1"/>
      <w:numFmt w:val="decimal"/>
      <w:lvlText w:val="(%4)"/>
      <w:lvlJc w:val="left"/>
      <w:pPr>
        <w:tabs>
          <w:tab w:val="num" w:pos="1872"/>
        </w:tabs>
        <w:ind w:left="1872" w:hanging="360"/>
      </w:pPr>
      <w:rPr>
        <w:rFonts w:cs="Times New Roman" w:hint="default"/>
      </w:rPr>
    </w:lvl>
    <w:lvl w:ilvl="4" w:tplc="676C113C">
      <w:start w:val="1"/>
      <w:numFmt w:val="lowerLetter"/>
      <w:lvlText w:val="(%5)"/>
      <w:lvlJc w:val="left"/>
      <w:pPr>
        <w:tabs>
          <w:tab w:val="num" w:pos="2232"/>
        </w:tabs>
        <w:ind w:left="2232" w:hanging="360"/>
      </w:pPr>
      <w:rPr>
        <w:rFonts w:cs="Times New Roman" w:hint="default"/>
      </w:rPr>
    </w:lvl>
    <w:lvl w:ilvl="5" w:tplc="A9D26A06">
      <w:start w:val="1"/>
      <w:numFmt w:val="lowerRoman"/>
      <w:lvlText w:val="(%6)"/>
      <w:lvlJc w:val="left"/>
      <w:pPr>
        <w:tabs>
          <w:tab w:val="num" w:pos="2592"/>
        </w:tabs>
        <w:ind w:left="2592" w:hanging="360"/>
      </w:pPr>
      <w:rPr>
        <w:rFonts w:cs="Times New Roman" w:hint="default"/>
      </w:rPr>
    </w:lvl>
    <w:lvl w:ilvl="6" w:tplc="DF624F36">
      <w:start w:val="1"/>
      <w:numFmt w:val="decimal"/>
      <w:lvlText w:val="%7."/>
      <w:lvlJc w:val="left"/>
      <w:pPr>
        <w:tabs>
          <w:tab w:val="num" w:pos="2952"/>
        </w:tabs>
        <w:ind w:left="2952" w:hanging="360"/>
      </w:pPr>
      <w:rPr>
        <w:rFonts w:cs="Times New Roman" w:hint="default"/>
      </w:rPr>
    </w:lvl>
    <w:lvl w:ilvl="7" w:tplc="4A96C5C0">
      <w:start w:val="1"/>
      <w:numFmt w:val="lowerLetter"/>
      <w:lvlText w:val="%8."/>
      <w:lvlJc w:val="left"/>
      <w:pPr>
        <w:tabs>
          <w:tab w:val="num" w:pos="3312"/>
        </w:tabs>
        <w:ind w:left="3312" w:hanging="360"/>
      </w:pPr>
      <w:rPr>
        <w:rFonts w:cs="Times New Roman" w:hint="default"/>
      </w:rPr>
    </w:lvl>
    <w:lvl w:ilvl="8" w:tplc="E716D7C4">
      <w:start w:val="1"/>
      <w:numFmt w:val="lowerRoman"/>
      <w:lvlText w:val="%9."/>
      <w:lvlJc w:val="left"/>
      <w:pPr>
        <w:tabs>
          <w:tab w:val="num" w:pos="3672"/>
        </w:tabs>
        <w:ind w:left="3672" w:hanging="360"/>
      </w:pPr>
      <w:rPr>
        <w:rFonts w:cs="Times New Roman" w:hint="default"/>
      </w:rPr>
    </w:lvl>
  </w:abstractNum>
  <w:abstractNum w:abstractNumId="26" w15:restartNumberingAfterBreak="0">
    <w:nsid w:val="3D3563CA"/>
    <w:multiLevelType w:val="hybridMultilevel"/>
    <w:tmpl w:val="1ED2D784"/>
    <w:lvl w:ilvl="0" w:tplc="7AEE7450">
      <w:start w:val="1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5230251"/>
    <w:multiLevelType w:val="hybridMultilevel"/>
    <w:tmpl w:val="2330593E"/>
    <w:lvl w:ilvl="0" w:tplc="D4403CDC">
      <w:start w:val="3"/>
      <w:numFmt w:val="decimal"/>
      <w:pStyle w:val="FSheading"/>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31E17"/>
    <w:multiLevelType w:val="hybridMultilevel"/>
    <w:tmpl w:val="31FACF9C"/>
    <w:lvl w:ilvl="0" w:tplc="ACACE132">
      <w:start w:val="2"/>
      <w:numFmt w:val="lowerLetter"/>
      <w:lvlText w:val="%1)"/>
      <w:lvlJc w:val="left"/>
      <w:pPr>
        <w:ind w:left="928" w:hanging="360"/>
      </w:pPr>
      <w:rPr>
        <w:rFonts w:hint="default"/>
      </w:r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29" w15:restartNumberingAfterBreak="0">
    <w:nsid w:val="4C2E44CA"/>
    <w:multiLevelType w:val="hybridMultilevel"/>
    <w:tmpl w:val="58680A0C"/>
    <w:lvl w:ilvl="0" w:tplc="F10C0A52">
      <w:start w:val="22"/>
      <w:numFmt w:val="decimal"/>
      <w:lvlText w:val="%1."/>
      <w:lvlJc w:val="left"/>
      <w:pPr>
        <w:ind w:left="928"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D93419E"/>
    <w:multiLevelType w:val="hybridMultilevel"/>
    <w:tmpl w:val="DB18BDA8"/>
    <w:lvl w:ilvl="0" w:tplc="10090017">
      <w:start w:val="1"/>
      <w:numFmt w:val="lowerLetter"/>
      <w:lvlText w:val="%1)"/>
      <w:lvlJc w:val="left"/>
      <w:pPr>
        <w:ind w:left="720" w:hanging="360"/>
      </w:pPr>
      <w:rPr>
        <w:rFonts w:hint="default"/>
      </w:rPr>
    </w:lvl>
    <w:lvl w:ilvl="1" w:tplc="D34EF948">
      <w:start w:val="1"/>
      <w:numFmt w:val="lowerRoman"/>
      <w:lvlText w:val="(%2)"/>
      <w:lvlJc w:val="left"/>
      <w:pPr>
        <w:ind w:left="1440" w:hanging="360"/>
      </w:pPr>
      <w:rPr>
        <w:rFonts w:hint="default"/>
      </w:rPr>
    </w:lvl>
    <w:lvl w:ilvl="2" w:tplc="4D20528E">
      <w:start w:val="1"/>
      <w:numFmt w:val="upperLetter"/>
      <w:lvlText w:val="%3)"/>
      <w:lvlJc w:val="left"/>
      <w:pPr>
        <w:ind w:left="2340" w:hanging="360"/>
      </w:pPr>
      <w:rPr>
        <w:rFonts w:hint="default"/>
      </w:rPr>
    </w:lvl>
    <w:lvl w:ilvl="3" w:tplc="297E3AEE">
      <w:start w:val="15"/>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0614F11"/>
    <w:multiLevelType w:val="hybridMultilevel"/>
    <w:tmpl w:val="0BB0AFA2"/>
    <w:lvl w:ilvl="0" w:tplc="DC2657BA">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26E0392"/>
    <w:multiLevelType w:val="hybridMultilevel"/>
    <w:tmpl w:val="7B6E8AFA"/>
    <w:lvl w:ilvl="0" w:tplc="1009000F">
      <w:start w:val="1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DBC2F7F"/>
    <w:multiLevelType w:val="hybridMultilevel"/>
    <w:tmpl w:val="8DFA17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0864814"/>
    <w:multiLevelType w:val="hybridMultilevel"/>
    <w:tmpl w:val="EC401366"/>
    <w:lvl w:ilvl="0" w:tplc="88046978">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30926FE"/>
    <w:multiLevelType w:val="hybridMultilevel"/>
    <w:tmpl w:val="26DC24BE"/>
    <w:lvl w:ilvl="0" w:tplc="794021F2">
      <w:start w:val="17"/>
      <w:numFmt w:val="decimal"/>
      <w:lvlText w:val="%1."/>
      <w:lvlJc w:val="left"/>
      <w:pPr>
        <w:ind w:left="36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6A05027"/>
    <w:multiLevelType w:val="hybridMultilevel"/>
    <w:tmpl w:val="5832CA9E"/>
    <w:lvl w:ilvl="0" w:tplc="87E4D0E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9177AF"/>
    <w:multiLevelType w:val="hybridMultilevel"/>
    <w:tmpl w:val="A3629864"/>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4A7103"/>
    <w:multiLevelType w:val="hybridMultilevel"/>
    <w:tmpl w:val="C5E69FDC"/>
    <w:lvl w:ilvl="0" w:tplc="82B605D8">
      <w:start w:val="19"/>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6B8A607F"/>
    <w:multiLevelType w:val="hybridMultilevel"/>
    <w:tmpl w:val="37341222"/>
    <w:lvl w:ilvl="0" w:tplc="CA50EC0A">
      <w:start w:val="1"/>
      <w:numFmt w:val="lowerRoman"/>
      <w:lvlText w:val="%1)"/>
      <w:lvlJc w:val="left"/>
      <w:pPr>
        <w:ind w:left="1077" w:hanging="720"/>
      </w:pPr>
    </w:lvl>
    <w:lvl w:ilvl="1" w:tplc="10090019">
      <w:start w:val="1"/>
      <w:numFmt w:val="lowerLetter"/>
      <w:lvlText w:val="%2."/>
      <w:lvlJc w:val="left"/>
      <w:pPr>
        <w:ind w:left="1437" w:hanging="360"/>
      </w:pPr>
    </w:lvl>
    <w:lvl w:ilvl="2" w:tplc="1009001B">
      <w:start w:val="1"/>
      <w:numFmt w:val="lowerRoman"/>
      <w:lvlText w:val="%3."/>
      <w:lvlJc w:val="right"/>
      <w:pPr>
        <w:ind w:left="2157" w:hanging="180"/>
      </w:pPr>
    </w:lvl>
    <w:lvl w:ilvl="3" w:tplc="1009000F">
      <w:start w:val="1"/>
      <w:numFmt w:val="decimal"/>
      <w:lvlText w:val="%4."/>
      <w:lvlJc w:val="left"/>
      <w:pPr>
        <w:ind w:left="2877" w:hanging="360"/>
      </w:pPr>
    </w:lvl>
    <w:lvl w:ilvl="4" w:tplc="10090019">
      <w:start w:val="1"/>
      <w:numFmt w:val="lowerLetter"/>
      <w:lvlText w:val="%5."/>
      <w:lvlJc w:val="left"/>
      <w:pPr>
        <w:ind w:left="3597" w:hanging="360"/>
      </w:pPr>
    </w:lvl>
    <w:lvl w:ilvl="5" w:tplc="1009001B">
      <w:start w:val="1"/>
      <w:numFmt w:val="lowerRoman"/>
      <w:lvlText w:val="%6."/>
      <w:lvlJc w:val="right"/>
      <w:pPr>
        <w:ind w:left="4317" w:hanging="180"/>
      </w:pPr>
    </w:lvl>
    <w:lvl w:ilvl="6" w:tplc="1009000F">
      <w:start w:val="1"/>
      <w:numFmt w:val="decimal"/>
      <w:lvlText w:val="%7."/>
      <w:lvlJc w:val="left"/>
      <w:pPr>
        <w:ind w:left="5037" w:hanging="360"/>
      </w:pPr>
    </w:lvl>
    <w:lvl w:ilvl="7" w:tplc="10090019">
      <w:start w:val="1"/>
      <w:numFmt w:val="lowerLetter"/>
      <w:lvlText w:val="%8."/>
      <w:lvlJc w:val="left"/>
      <w:pPr>
        <w:ind w:left="5757" w:hanging="360"/>
      </w:pPr>
    </w:lvl>
    <w:lvl w:ilvl="8" w:tplc="1009001B">
      <w:start w:val="1"/>
      <w:numFmt w:val="lowerRoman"/>
      <w:lvlText w:val="%9."/>
      <w:lvlJc w:val="right"/>
      <w:pPr>
        <w:ind w:left="6477" w:hanging="180"/>
      </w:pPr>
    </w:lvl>
  </w:abstractNum>
  <w:abstractNum w:abstractNumId="40" w15:restartNumberingAfterBreak="0">
    <w:nsid w:val="6E0A3FEC"/>
    <w:multiLevelType w:val="hybridMultilevel"/>
    <w:tmpl w:val="1E865DB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36F3543"/>
    <w:multiLevelType w:val="hybridMultilevel"/>
    <w:tmpl w:val="16725CB0"/>
    <w:lvl w:ilvl="0" w:tplc="14984D6A">
      <w:start w:val="1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84C3ECA"/>
    <w:multiLevelType w:val="hybridMultilevel"/>
    <w:tmpl w:val="B4D2542A"/>
    <w:lvl w:ilvl="0" w:tplc="FCC811FC">
      <w:start w:val="2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E4438CB"/>
    <w:multiLevelType w:val="hybridMultilevel"/>
    <w:tmpl w:val="07943032"/>
    <w:lvl w:ilvl="0" w:tplc="36F0F490">
      <w:start w:val="16"/>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EDE4EE4"/>
    <w:multiLevelType w:val="hybridMultilevel"/>
    <w:tmpl w:val="6C08E3A6"/>
    <w:lvl w:ilvl="0" w:tplc="5ED220C0">
      <w:start w:val="20"/>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F9418F3"/>
    <w:multiLevelType w:val="hybridMultilevel"/>
    <w:tmpl w:val="8E9217C6"/>
    <w:lvl w:ilvl="0" w:tplc="D34EF948">
      <w:start w:val="1"/>
      <w:numFmt w:val="lowerRoman"/>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21942996">
    <w:abstractNumId w:val="25"/>
  </w:num>
  <w:num w:numId="2" w16cid:durableId="1458991339">
    <w:abstractNumId w:val="30"/>
  </w:num>
  <w:num w:numId="3" w16cid:durableId="241835536">
    <w:abstractNumId w:val="8"/>
  </w:num>
  <w:num w:numId="4" w16cid:durableId="380057279">
    <w:abstractNumId w:val="27"/>
  </w:num>
  <w:num w:numId="5" w16cid:durableId="1867061578">
    <w:abstractNumId w:val="36"/>
  </w:num>
  <w:num w:numId="6" w16cid:durableId="597569495">
    <w:abstractNumId w:val="6"/>
  </w:num>
  <w:num w:numId="7" w16cid:durableId="1866939838">
    <w:abstractNumId w:val="5"/>
  </w:num>
  <w:num w:numId="8" w16cid:durableId="352270092">
    <w:abstractNumId w:val="4"/>
  </w:num>
  <w:num w:numId="9" w16cid:durableId="1471292225">
    <w:abstractNumId w:val="7"/>
  </w:num>
  <w:num w:numId="10" w16cid:durableId="73941868">
    <w:abstractNumId w:val="3"/>
  </w:num>
  <w:num w:numId="11" w16cid:durableId="540047973">
    <w:abstractNumId w:val="2"/>
  </w:num>
  <w:num w:numId="12" w16cid:durableId="1697581955">
    <w:abstractNumId w:val="1"/>
  </w:num>
  <w:num w:numId="13" w16cid:durableId="742877235">
    <w:abstractNumId w:val="0"/>
  </w:num>
  <w:num w:numId="14" w16cid:durableId="904529744">
    <w:abstractNumId w:val="39"/>
  </w:num>
  <w:num w:numId="15" w16cid:durableId="779878400">
    <w:abstractNumId w:val="28"/>
  </w:num>
  <w:num w:numId="16" w16cid:durableId="1267419874">
    <w:abstractNumId w:val="40"/>
  </w:num>
  <w:num w:numId="17" w16cid:durableId="1119683791">
    <w:abstractNumId w:val="19"/>
  </w:num>
  <w:num w:numId="18" w16cid:durableId="964430566">
    <w:abstractNumId w:val="17"/>
  </w:num>
  <w:num w:numId="19" w16cid:durableId="643580686">
    <w:abstractNumId w:val="37"/>
  </w:num>
  <w:num w:numId="20" w16cid:durableId="250314126">
    <w:abstractNumId w:val="22"/>
  </w:num>
  <w:num w:numId="21" w16cid:durableId="1559979604">
    <w:abstractNumId w:val="21"/>
  </w:num>
  <w:num w:numId="22" w16cid:durableId="1339650801">
    <w:abstractNumId w:val="9"/>
  </w:num>
  <w:num w:numId="23" w16cid:durableId="109328014">
    <w:abstractNumId w:val="23"/>
  </w:num>
  <w:num w:numId="24" w16cid:durableId="640114307">
    <w:abstractNumId w:val="24"/>
  </w:num>
  <w:num w:numId="25" w16cid:durableId="1156727716">
    <w:abstractNumId w:val="32"/>
  </w:num>
  <w:num w:numId="26" w16cid:durableId="89279810">
    <w:abstractNumId w:val="16"/>
  </w:num>
  <w:num w:numId="27" w16cid:durableId="1659993665">
    <w:abstractNumId w:val="31"/>
  </w:num>
  <w:num w:numId="28" w16cid:durableId="985401711">
    <w:abstractNumId w:val="11"/>
  </w:num>
  <w:num w:numId="29" w16cid:durableId="815028666">
    <w:abstractNumId w:val="38"/>
  </w:num>
  <w:num w:numId="30" w16cid:durableId="1629434839">
    <w:abstractNumId w:val="33"/>
  </w:num>
  <w:num w:numId="31" w16cid:durableId="1918591579">
    <w:abstractNumId w:val="26"/>
  </w:num>
  <w:num w:numId="32" w16cid:durableId="1695232536">
    <w:abstractNumId w:val="42"/>
  </w:num>
  <w:num w:numId="33" w16cid:durableId="1676034017">
    <w:abstractNumId w:val="44"/>
  </w:num>
  <w:num w:numId="34" w16cid:durableId="80680904">
    <w:abstractNumId w:val="12"/>
  </w:num>
  <w:num w:numId="35" w16cid:durableId="1702630649">
    <w:abstractNumId w:val="35"/>
  </w:num>
  <w:num w:numId="36" w16cid:durableId="1653679015">
    <w:abstractNumId w:val="43"/>
  </w:num>
  <w:num w:numId="37" w16cid:durableId="1236235028">
    <w:abstractNumId w:val="10"/>
  </w:num>
  <w:num w:numId="38" w16cid:durableId="2043089297">
    <w:abstractNumId w:val="20"/>
  </w:num>
  <w:num w:numId="39" w16cid:durableId="1944259167">
    <w:abstractNumId w:val="18"/>
  </w:num>
  <w:num w:numId="40" w16cid:durableId="1529442204">
    <w:abstractNumId w:val="13"/>
  </w:num>
  <w:num w:numId="41" w16cid:durableId="1495144113">
    <w:abstractNumId w:val="29"/>
  </w:num>
  <w:num w:numId="42" w16cid:durableId="770466275">
    <w:abstractNumId w:val="14"/>
  </w:num>
  <w:num w:numId="43" w16cid:durableId="1356035709">
    <w:abstractNumId w:val="34"/>
  </w:num>
  <w:num w:numId="44" w16cid:durableId="349767836">
    <w:abstractNumId w:val="45"/>
  </w:num>
  <w:num w:numId="45" w16cid:durableId="967659372">
    <w:abstractNumId w:val="15"/>
  </w:num>
  <w:num w:numId="46" w16cid:durableId="593057413">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trackedChanges" w:enforcement="0"/>
  <w:defaultTabStop w:val="144"/>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Q2sDA0srA0NzIxNjFW0lEKTi0uzszPAykwNKsFAPffKjItAAAA"/>
  </w:docVars>
  <w:rsids>
    <w:rsidRoot w:val="00D23817"/>
    <w:rsid w:val="00000274"/>
    <w:rsid w:val="000002CB"/>
    <w:rsid w:val="0000060C"/>
    <w:rsid w:val="00000848"/>
    <w:rsid w:val="00000C20"/>
    <w:rsid w:val="00001375"/>
    <w:rsid w:val="000013F8"/>
    <w:rsid w:val="000013F9"/>
    <w:rsid w:val="000015E7"/>
    <w:rsid w:val="00001689"/>
    <w:rsid w:val="00001B85"/>
    <w:rsid w:val="00001C1C"/>
    <w:rsid w:val="00001CB0"/>
    <w:rsid w:val="00001DA8"/>
    <w:rsid w:val="00002063"/>
    <w:rsid w:val="0000286E"/>
    <w:rsid w:val="00002EBE"/>
    <w:rsid w:val="0000311D"/>
    <w:rsid w:val="000031F6"/>
    <w:rsid w:val="0000337E"/>
    <w:rsid w:val="0000341E"/>
    <w:rsid w:val="00003766"/>
    <w:rsid w:val="00003924"/>
    <w:rsid w:val="00003E26"/>
    <w:rsid w:val="00003E3B"/>
    <w:rsid w:val="0000405A"/>
    <w:rsid w:val="0000465B"/>
    <w:rsid w:val="00004801"/>
    <w:rsid w:val="000049EE"/>
    <w:rsid w:val="00004FBB"/>
    <w:rsid w:val="000054BE"/>
    <w:rsid w:val="00005679"/>
    <w:rsid w:val="00005AC8"/>
    <w:rsid w:val="00005B1E"/>
    <w:rsid w:val="00005BF2"/>
    <w:rsid w:val="00005F85"/>
    <w:rsid w:val="00006017"/>
    <w:rsid w:val="0000618C"/>
    <w:rsid w:val="000065A5"/>
    <w:rsid w:val="000065E8"/>
    <w:rsid w:val="000065EC"/>
    <w:rsid w:val="000066C0"/>
    <w:rsid w:val="00006CA2"/>
    <w:rsid w:val="00006E5D"/>
    <w:rsid w:val="0000728C"/>
    <w:rsid w:val="000073ED"/>
    <w:rsid w:val="000075EB"/>
    <w:rsid w:val="0000774D"/>
    <w:rsid w:val="00007776"/>
    <w:rsid w:val="000078A0"/>
    <w:rsid w:val="00007C5E"/>
    <w:rsid w:val="00007DD8"/>
    <w:rsid w:val="0001013B"/>
    <w:rsid w:val="0001058D"/>
    <w:rsid w:val="00010A88"/>
    <w:rsid w:val="00010B84"/>
    <w:rsid w:val="00010FAA"/>
    <w:rsid w:val="000114A8"/>
    <w:rsid w:val="00011701"/>
    <w:rsid w:val="00011943"/>
    <w:rsid w:val="00011CE4"/>
    <w:rsid w:val="000128EA"/>
    <w:rsid w:val="00012A8C"/>
    <w:rsid w:val="00013138"/>
    <w:rsid w:val="00013686"/>
    <w:rsid w:val="00013945"/>
    <w:rsid w:val="00013965"/>
    <w:rsid w:val="00013AAC"/>
    <w:rsid w:val="00013DFC"/>
    <w:rsid w:val="00013E1B"/>
    <w:rsid w:val="00013EF8"/>
    <w:rsid w:val="0001415D"/>
    <w:rsid w:val="000142F7"/>
    <w:rsid w:val="00014351"/>
    <w:rsid w:val="00014B8D"/>
    <w:rsid w:val="00014DAD"/>
    <w:rsid w:val="00014FE5"/>
    <w:rsid w:val="0001522E"/>
    <w:rsid w:val="00015442"/>
    <w:rsid w:val="000156BE"/>
    <w:rsid w:val="00015787"/>
    <w:rsid w:val="0001594E"/>
    <w:rsid w:val="00015959"/>
    <w:rsid w:val="00015A9F"/>
    <w:rsid w:val="00015AA8"/>
    <w:rsid w:val="00015AA9"/>
    <w:rsid w:val="00015D8E"/>
    <w:rsid w:val="00015D98"/>
    <w:rsid w:val="00016599"/>
    <w:rsid w:val="000165C1"/>
    <w:rsid w:val="000166E4"/>
    <w:rsid w:val="000167F6"/>
    <w:rsid w:val="00016CE9"/>
    <w:rsid w:val="00016D36"/>
    <w:rsid w:val="00016D8F"/>
    <w:rsid w:val="00016EFF"/>
    <w:rsid w:val="000171DB"/>
    <w:rsid w:val="00017252"/>
    <w:rsid w:val="000176E6"/>
    <w:rsid w:val="00017777"/>
    <w:rsid w:val="00017971"/>
    <w:rsid w:val="000202E3"/>
    <w:rsid w:val="00020568"/>
    <w:rsid w:val="00020CC0"/>
    <w:rsid w:val="00020F76"/>
    <w:rsid w:val="0002117D"/>
    <w:rsid w:val="00021284"/>
    <w:rsid w:val="0002175D"/>
    <w:rsid w:val="000218BE"/>
    <w:rsid w:val="000218E1"/>
    <w:rsid w:val="00021B70"/>
    <w:rsid w:val="00021C36"/>
    <w:rsid w:val="00021F37"/>
    <w:rsid w:val="00022098"/>
    <w:rsid w:val="000220A7"/>
    <w:rsid w:val="000222F8"/>
    <w:rsid w:val="000224C1"/>
    <w:rsid w:val="000229EE"/>
    <w:rsid w:val="00022B6B"/>
    <w:rsid w:val="0002326D"/>
    <w:rsid w:val="00023270"/>
    <w:rsid w:val="0002386E"/>
    <w:rsid w:val="000238E8"/>
    <w:rsid w:val="00023C71"/>
    <w:rsid w:val="00023CEF"/>
    <w:rsid w:val="00023D41"/>
    <w:rsid w:val="00023D88"/>
    <w:rsid w:val="0002404C"/>
    <w:rsid w:val="000248B4"/>
    <w:rsid w:val="00024BAB"/>
    <w:rsid w:val="00024F50"/>
    <w:rsid w:val="0002503F"/>
    <w:rsid w:val="00025293"/>
    <w:rsid w:val="000253A7"/>
    <w:rsid w:val="00025408"/>
    <w:rsid w:val="000256CD"/>
    <w:rsid w:val="00025862"/>
    <w:rsid w:val="00025C51"/>
    <w:rsid w:val="00025F4F"/>
    <w:rsid w:val="00026BAE"/>
    <w:rsid w:val="00026E6A"/>
    <w:rsid w:val="0002751F"/>
    <w:rsid w:val="0002771F"/>
    <w:rsid w:val="00027864"/>
    <w:rsid w:val="000302B3"/>
    <w:rsid w:val="0003034F"/>
    <w:rsid w:val="00030A60"/>
    <w:rsid w:val="00030C64"/>
    <w:rsid w:val="00030C8D"/>
    <w:rsid w:val="000310ED"/>
    <w:rsid w:val="00031145"/>
    <w:rsid w:val="00031251"/>
    <w:rsid w:val="000313E6"/>
    <w:rsid w:val="00031761"/>
    <w:rsid w:val="00031F23"/>
    <w:rsid w:val="0003200F"/>
    <w:rsid w:val="000323D3"/>
    <w:rsid w:val="0003268D"/>
    <w:rsid w:val="00032F5A"/>
    <w:rsid w:val="0003314C"/>
    <w:rsid w:val="00033261"/>
    <w:rsid w:val="000333BF"/>
    <w:rsid w:val="0003340C"/>
    <w:rsid w:val="0003378C"/>
    <w:rsid w:val="00033AD1"/>
    <w:rsid w:val="00033D36"/>
    <w:rsid w:val="000347E7"/>
    <w:rsid w:val="0003494B"/>
    <w:rsid w:val="00034EB1"/>
    <w:rsid w:val="00036637"/>
    <w:rsid w:val="00036AC7"/>
    <w:rsid w:val="00036C86"/>
    <w:rsid w:val="00036EF6"/>
    <w:rsid w:val="00036F84"/>
    <w:rsid w:val="0003761B"/>
    <w:rsid w:val="00037636"/>
    <w:rsid w:val="00037902"/>
    <w:rsid w:val="00040290"/>
    <w:rsid w:val="0004049C"/>
    <w:rsid w:val="00040576"/>
    <w:rsid w:val="000406EF"/>
    <w:rsid w:val="000408A4"/>
    <w:rsid w:val="00040C5C"/>
    <w:rsid w:val="00040DA6"/>
    <w:rsid w:val="00040E60"/>
    <w:rsid w:val="000410E1"/>
    <w:rsid w:val="0004127A"/>
    <w:rsid w:val="00041C51"/>
    <w:rsid w:val="00041FD8"/>
    <w:rsid w:val="000422F5"/>
    <w:rsid w:val="0004256A"/>
    <w:rsid w:val="0004267D"/>
    <w:rsid w:val="00042C06"/>
    <w:rsid w:val="00042C5C"/>
    <w:rsid w:val="00042D34"/>
    <w:rsid w:val="00042ED7"/>
    <w:rsid w:val="00043A18"/>
    <w:rsid w:val="00043B9D"/>
    <w:rsid w:val="00043C98"/>
    <w:rsid w:val="00044767"/>
    <w:rsid w:val="000449BD"/>
    <w:rsid w:val="00045013"/>
    <w:rsid w:val="00045340"/>
    <w:rsid w:val="00045383"/>
    <w:rsid w:val="00045467"/>
    <w:rsid w:val="000454F9"/>
    <w:rsid w:val="0004567F"/>
    <w:rsid w:val="000457DB"/>
    <w:rsid w:val="00045AA7"/>
    <w:rsid w:val="0004610B"/>
    <w:rsid w:val="00046330"/>
    <w:rsid w:val="000465A6"/>
    <w:rsid w:val="0004686B"/>
    <w:rsid w:val="000471C3"/>
    <w:rsid w:val="000473EA"/>
    <w:rsid w:val="0004741A"/>
    <w:rsid w:val="00047BA7"/>
    <w:rsid w:val="00047BAB"/>
    <w:rsid w:val="00047E47"/>
    <w:rsid w:val="00047F78"/>
    <w:rsid w:val="00047FF0"/>
    <w:rsid w:val="00050484"/>
    <w:rsid w:val="00050742"/>
    <w:rsid w:val="000508AA"/>
    <w:rsid w:val="00050A33"/>
    <w:rsid w:val="00050B3A"/>
    <w:rsid w:val="00050E5C"/>
    <w:rsid w:val="00050F25"/>
    <w:rsid w:val="00051353"/>
    <w:rsid w:val="000516F9"/>
    <w:rsid w:val="0005198F"/>
    <w:rsid w:val="00051A59"/>
    <w:rsid w:val="00051DC4"/>
    <w:rsid w:val="0005306F"/>
    <w:rsid w:val="000532D2"/>
    <w:rsid w:val="00053346"/>
    <w:rsid w:val="000533D6"/>
    <w:rsid w:val="000534CA"/>
    <w:rsid w:val="00053523"/>
    <w:rsid w:val="00053B8A"/>
    <w:rsid w:val="00053E9F"/>
    <w:rsid w:val="00054110"/>
    <w:rsid w:val="0005413C"/>
    <w:rsid w:val="000541C8"/>
    <w:rsid w:val="00054361"/>
    <w:rsid w:val="00054547"/>
    <w:rsid w:val="00054665"/>
    <w:rsid w:val="0005472E"/>
    <w:rsid w:val="00054840"/>
    <w:rsid w:val="00054A65"/>
    <w:rsid w:val="00054AA2"/>
    <w:rsid w:val="00054B33"/>
    <w:rsid w:val="00054B4E"/>
    <w:rsid w:val="000552D8"/>
    <w:rsid w:val="000553E0"/>
    <w:rsid w:val="000554B4"/>
    <w:rsid w:val="00055560"/>
    <w:rsid w:val="00055726"/>
    <w:rsid w:val="000559B2"/>
    <w:rsid w:val="00055A5D"/>
    <w:rsid w:val="00055C56"/>
    <w:rsid w:val="00055DE6"/>
    <w:rsid w:val="00055EB1"/>
    <w:rsid w:val="00055F02"/>
    <w:rsid w:val="0005649F"/>
    <w:rsid w:val="0005653F"/>
    <w:rsid w:val="00056AE3"/>
    <w:rsid w:val="00056E65"/>
    <w:rsid w:val="000572C6"/>
    <w:rsid w:val="00057980"/>
    <w:rsid w:val="00057B4A"/>
    <w:rsid w:val="00057CC7"/>
    <w:rsid w:val="000602EA"/>
    <w:rsid w:val="00060452"/>
    <w:rsid w:val="000606A7"/>
    <w:rsid w:val="000608EA"/>
    <w:rsid w:val="00060CF0"/>
    <w:rsid w:val="00060D90"/>
    <w:rsid w:val="00060EAA"/>
    <w:rsid w:val="00061207"/>
    <w:rsid w:val="0006176A"/>
    <w:rsid w:val="000618A9"/>
    <w:rsid w:val="00061977"/>
    <w:rsid w:val="00061A76"/>
    <w:rsid w:val="00061B5A"/>
    <w:rsid w:val="00061F52"/>
    <w:rsid w:val="0006203F"/>
    <w:rsid w:val="000625CF"/>
    <w:rsid w:val="00062B12"/>
    <w:rsid w:val="00062DB4"/>
    <w:rsid w:val="00062F78"/>
    <w:rsid w:val="000631E8"/>
    <w:rsid w:val="000641C3"/>
    <w:rsid w:val="00064264"/>
    <w:rsid w:val="0006454B"/>
    <w:rsid w:val="000645DF"/>
    <w:rsid w:val="00064949"/>
    <w:rsid w:val="00064A2C"/>
    <w:rsid w:val="00064CC8"/>
    <w:rsid w:val="00064DD6"/>
    <w:rsid w:val="000650E6"/>
    <w:rsid w:val="00065672"/>
    <w:rsid w:val="00065A33"/>
    <w:rsid w:val="00065A9C"/>
    <w:rsid w:val="00065B8D"/>
    <w:rsid w:val="00065D54"/>
    <w:rsid w:val="000669A1"/>
    <w:rsid w:val="00066DD5"/>
    <w:rsid w:val="0006735D"/>
    <w:rsid w:val="00067545"/>
    <w:rsid w:val="000700B8"/>
    <w:rsid w:val="00070389"/>
    <w:rsid w:val="00070F6A"/>
    <w:rsid w:val="0007158B"/>
    <w:rsid w:val="0007175F"/>
    <w:rsid w:val="00071784"/>
    <w:rsid w:val="000717F6"/>
    <w:rsid w:val="00071E7F"/>
    <w:rsid w:val="00071F45"/>
    <w:rsid w:val="0007221C"/>
    <w:rsid w:val="0007223E"/>
    <w:rsid w:val="000728B6"/>
    <w:rsid w:val="00072B90"/>
    <w:rsid w:val="00072E7E"/>
    <w:rsid w:val="00072F0D"/>
    <w:rsid w:val="000732FD"/>
    <w:rsid w:val="00073302"/>
    <w:rsid w:val="000734DF"/>
    <w:rsid w:val="00073523"/>
    <w:rsid w:val="00073619"/>
    <w:rsid w:val="0007363A"/>
    <w:rsid w:val="00073685"/>
    <w:rsid w:val="000736A0"/>
    <w:rsid w:val="00073732"/>
    <w:rsid w:val="00073DD9"/>
    <w:rsid w:val="00073E1E"/>
    <w:rsid w:val="00073EE3"/>
    <w:rsid w:val="00073FC3"/>
    <w:rsid w:val="0007440D"/>
    <w:rsid w:val="00074989"/>
    <w:rsid w:val="00074B6C"/>
    <w:rsid w:val="00075069"/>
    <w:rsid w:val="000751AB"/>
    <w:rsid w:val="00075533"/>
    <w:rsid w:val="00075700"/>
    <w:rsid w:val="00075EE0"/>
    <w:rsid w:val="00075EEF"/>
    <w:rsid w:val="00075FA9"/>
    <w:rsid w:val="00076163"/>
    <w:rsid w:val="00076C93"/>
    <w:rsid w:val="000772B9"/>
    <w:rsid w:val="000772BB"/>
    <w:rsid w:val="0007769D"/>
    <w:rsid w:val="000776F3"/>
    <w:rsid w:val="00077785"/>
    <w:rsid w:val="00077806"/>
    <w:rsid w:val="00077F68"/>
    <w:rsid w:val="00080227"/>
    <w:rsid w:val="0008047D"/>
    <w:rsid w:val="00080546"/>
    <w:rsid w:val="00080556"/>
    <w:rsid w:val="0008062E"/>
    <w:rsid w:val="000806D0"/>
    <w:rsid w:val="00080AD5"/>
    <w:rsid w:val="00080EE5"/>
    <w:rsid w:val="0008117B"/>
    <w:rsid w:val="000812B6"/>
    <w:rsid w:val="000814F4"/>
    <w:rsid w:val="0008159B"/>
    <w:rsid w:val="0008173D"/>
    <w:rsid w:val="00081988"/>
    <w:rsid w:val="00081F94"/>
    <w:rsid w:val="000822B4"/>
    <w:rsid w:val="00082EB6"/>
    <w:rsid w:val="0008349B"/>
    <w:rsid w:val="00083CA8"/>
    <w:rsid w:val="00083CD3"/>
    <w:rsid w:val="00083D78"/>
    <w:rsid w:val="00083EEF"/>
    <w:rsid w:val="0008453C"/>
    <w:rsid w:val="000845B7"/>
    <w:rsid w:val="00084604"/>
    <w:rsid w:val="0008471A"/>
    <w:rsid w:val="0008490D"/>
    <w:rsid w:val="00085034"/>
    <w:rsid w:val="0008530E"/>
    <w:rsid w:val="00085386"/>
    <w:rsid w:val="000853B9"/>
    <w:rsid w:val="0008546A"/>
    <w:rsid w:val="000856EB"/>
    <w:rsid w:val="0008581F"/>
    <w:rsid w:val="000860C2"/>
    <w:rsid w:val="000861CC"/>
    <w:rsid w:val="000863F4"/>
    <w:rsid w:val="0008652C"/>
    <w:rsid w:val="0008695F"/>
    <w:rsid w:val="00086986"/>
    <w:rsid w:val="00086AA7"/>
    <w:rsid w:val="00087053"/>
    <w:rsid w:val="000870A9"/>
    <w:rsid w:val="0008715C"/>
    <w:rsid w:val="000872BE"/>
    <w:rsid w:val="00087FDE"/>
    <w:rsid w:val="000902E9"/>
    <w:rsid w:val="0009035E"/>
    <w:rsid w:val="000903D5"/>
    <w:rsid w:val="0009078D"/>
    <w:rsid w:val="000911C3"/>
    <w:rsid w:val="00091255"/>
    <w:rsid w:val="00091531"/>
    <w:rsid w:val="0009190C"/>
    <w:rsid w:val="00091C33"/>
    <w:rsid w:val="00091D83"/>
    <w:rsid w:val="00091E95"/>
    <w:rsid w:val="00092048"/>
    <w:rsid w:val="00092439"/>
    <w:rsid w:val="000924C1"/>
    <w:rsid w:val="00092670"/>
    <w:rsid w:val="000929F9"/>
    <w:rsid w:val="00092DFF"/>
    <w:rsid w:val="00092F71"/>
    <w:rsid w:val="00093183"/>
    <w:rsid w:val="0009350E"/>
    <w:rsid w:val="00093C64"/>
    <w:rsid w:val="00093D66"/>
    <w:rsid w:val="000941AD"/>
    <w:rsid w:val="000942DF"/>
    <w:rsid w:val="00094326"/>
    <w:rsid w:val="000943CB"/>
    <w:rsid w:val="000947A4"/>
    <w:rsid w:val="00094BB9"/>
    <w:rsid w:val="00094E17"/>
    <w:rsid w:val="00094E66"/>
    <w:rsid w:val="0009515B"/>
    <w:rsid w:val="0009516E"/>
    <w:rsid w:val="00095713"/>
    <w:rsid w:val="00096331"/>
    <w:rsid w:val="00096551"/>
    <w:rsid w:val="00096A47"/>
    <w:rsid w:val="00096C92"/>
    <w:rsid w:val="00096CC9"/>
    <w:rsid w:val="00097218"/>
    <w:rsid w:val="00097499"/>
    <w:rsid w:val="000976CF"/>
    <w:rsid w:val="0009783F"/>
    <w:rsid w:val="00097B84"/>
    <w:rsid w:val="000A0184"/>
    <w:rsid w:val="000A0462"/>
    <w:rsid w:val="000A0485"/>
    <w:rsid w:val="000A07BA"/>
    <w:rsid w:val="000A07F8"/>
    <w:rsid w:val="000A0AC2"/>
    <w:rsid w:val="000A0D53"/>
    <w:rsid w:val="000A0E3B"/>
    <w:rsid w:val="000A10E5"/>
    <w:rsid w:val="000A189E"/>
    <w:rsid w:val="000A1A1B"/>
    <w:rsid w:val="000A1E19"/>
    <w:rsid w:val="000A2301"/>
    <w:rsid w:val="000A2975"/>
    <w:rsid w:val="000A2C87"/>
    <w:rsid w:val="000A30E3"/>
    <w:rsid w:val="000A4155"/>
    <w:rsid w:val="000A44F1"/>
    <w:rsid w:val="000A48D8"/>
    <w:rsid w:val="000A4912"/>
    <w:rsid w:val="000A4A15"/>
    <w:rsid w:val="000A4AAD"/>
    <w:rsid w:val="000A5002"/>
    <w:rsid w:val="000A5080"/>
    <w:rsid w:val="000A5167"/>
    <w:rsid w:val="000A5460"/>
    <w:rsid w:val="000A546D"/>
    <w:rsid w:val="000A562E"/>
    <w:rsid w:val="000A5666"/>
    <w:rsid w:val="000A6415"/>
    <w:rsid w:val="000A69B6"/>
    <w:rsid w:val="000A6B8B"/>
    <w:rsid w:val="000A6CB6"/>
    <w:rsid w:val="000A6CFC"/>
    <w:rsid w:val="000A744D"/>
    <w:rsid w:val="000A7AB2"/>
    <w:rsid w:val="000A7B44"/>
    <w:rsid w:val="000A7B8D"/>
    <w:rsid w:val="000A7EDE"/>
    <w:rsid w:val="000B12E7"/>
    <w:rsid w:val="000B1921"/>
    <w:rsid w:val="000B1B4D"/>
    <w:rsid w:val="000B1C84"/>
    <w:rsid w:val="000B1D73"/>
    <w:rsid w:val="000B1E6D"/>
    <w:rsid w:val="000B1F16"/>
    <w:rsid w:val="000B24E7"/>
    <w:rsid w:val="000B2DEF"/>
    <w:rsid w:val="000B322B"/>
    <w:rsid w:val="000B3570"/>
    <w:rsid w:val="000B35B5"/>
    <w:rsid w:val="000B3750"/>
    <w:rsid w:val="000B3804"/>
    <w:rsid w:val="000B3D04"/>
    <w:rsid w:val="000B3E11"/>
    <w:rsid w:val="000B3E25"/>
    <w:rsid w:val="000B409E"/>
    <w:rsid w:val="000B471E"/>
    <w:rsid w:val="000B4779"/>
    <w:rsid w:val="000B498F"/>
    <w:rsid w:val="000B4FB7"/>
    <w:rsid w:val="000B5117"/>
    <w:rsid w:val="000B5135"/>
    <w:rsid w:val="000B565C"/>
    <w:rsid w:val="000B5AFF"/>
    <w:rsid w:val="000B5BA7"/>
    <w:rsid w:val="000B5BD1"/>
    <w:rsid w:val="000B5BE5"/>
    <w:rsid w:val="000B5D0A"/>
    <w:rsid w:val="000B5D10"/>
    <w:rsid w:val="000B6036"/>
    <w:rsid w:val="000B6ADF"/>
    <w:rsid w:val="000B71BB"/>
    <w:rsid w:val="000B750F"/>
    <w:rsid w:val="000B79BE"/>
    <w:rsid w:val="000B7BA3"/>
    <w:rsid w:val="000B7D33"/>
    <w:rsid w:val="000B7E24"/>
    <w:rsid w:val="000C006F"/>
    <w:rsid w:val="000C0177"/>
    <w:rsid w:val="000C0510"/>
    <w:rsid w:val="000C17FF"/>
    <w:rsid w:val="000C1942"/>
    <w:rsid w:val="000C232A"/>
    <w:rsid w:val="000C247C"/>
    <w:rsid w:val="000C252C"/>
    <w:rsid w:val="000C259C"/>
    <w:rsid w:val="000C2B62"/>
    <w:rsid w:val="000C2CD0"/>
    <w:rsid w:val="000C2E0B"/>
    <w:rsid w:val="000C2F3E"/>
    <w:rsid w:val="000C3248"/>
    <w:rsid w:val="000C333E"/>
    <w:rsid w:val="000C35FE"/>
    <w:rsid w:val="000C36EF"/>
    <w:rsid w:val="000C3E25"/>
    <w:rsid w:val="000C3F8B"/>
    <w:rsid w:val="000C3FE2"/>
    <w:rsid w:val="000C4098"/>
    <w:rsid w:val="000C412E"/>
    <w:rsid w:val="000C41F7"/>
    <w:rsid w:val="000C4497"/>
    <w:rsid w:val="000C4651"/>
    <w:rsid w:val="000C4DF7"/>
    <w:rsid w:val="000C5181"/>
    <w:rsid w:val="000C54AE"/>
    <w:rsid w:val="000C5C09"/>
    <w:rsid w:val="000C5CF4"/>
    <w:rsid w:val="000C5F89"/>
    <w:rsid w:val="000C61AB"/>
    <w:rsid w:val="000C6891"/>
    <w:rsid w:val="000C6B98"/>
    <w:rsid w:val="000C6DFE"/>
    <w:rsid w:val="000C6FF7"/>
    <w:rsid w:val="000C72E1"/>
    <w:rsid w:val="000C731C"/>
    <w:rsid w:val="000C757A"/>
    <w:rsid w:val="000C780D"/>
    <w:rsid w:val="000D0250"/>
    <w:rsid w:val="000D0852"/>
    <w:rsid w:val="000D0D25"/>
    <w:rsid w:val="000D12F8"/>
    <w:rsid w:val="000D15E2"/>
    <w:rsid w:val="000D180C"/>
    <w:rsid w:val="000D1A25"/>
    <w:rsid w:val="000D231A"/>
    <w:rsid w:val="000D2AEF"/>
    <w:rsid w:val="000D36B2"/>
    <w:rsid w:val="000D3761"/>
    <w:rsid w:val="000D3C6A"/>
    <w:rsid w:val="000D3DBF"/>
    <w:rsid w:val="000D436C"/>
    <w:rsid w:val="000D4482"/>
    <w:rsid w:val="000D4972"/>
    <w:rsid w:val="000D4D76"/>
    <w:rsid w:val="000D5297"/>
    <w:rsid w:val="000D56D8"/>
    <w:rsid w:val="000D56EE"/>
    <w:rsid w:val="000D5986"/>
    <w:rsid w:val="000D6068"/>
    <w:rsid w:val="000D631E"/>
    <w:rsid w:val="000D666B"/>
    <w:rsid w:val="000D67E8"/>
    <w:rsid w:val="000D67FD"/>
    <w:rsid w:val="000D6830"/>
    <w:rsid w:val="000D6889"/>
    <w:rsid w:val="000D697B"/>
    <w:rsid w:val="000D6C23"/>
    <w:rsid w:val="000D715B"/>
    <w:rsid w:val="000D718F"/>
    <w:rsid w:val="000D71AD"/>
    <w:rsid w:val="000D7288"/>
    <w:rsid w:val="000D743D"/>
    <w:rsid w:val="000D7EBE"/>
    <w:rsid w:val="000E013B"/>
    <w:rsid w:val="000E0225"/>
    <w:rsid w:val="000E070E"/>
    <w:rsid w:val="000E0A6A"/>
    <w:rsid w:val="000E0B03"/>
    <w:rsid w:val="000E0CEA"/>
    <w:rsid w:val="000E0D25"/>
    <w:rsid w:val="000E1210"/>
    <w:rsid w:val="000E16CA"/>
    <w:rsid w:val="000E16D2"/>
    <w:rsid w:val="000E1B7E"/>
    <w:rsid w:val="000E1CB2"/>
    <w:rsid w:val="000E1FE1"/>
    <w:rsid w:val="000E23D4"/>
    <w:rsid w:val="000E24AC"/>
    <w:rsid w:val="000E26A3"/>
    <w:rsid w:val="000E28EF"/>
    <w:rsid w:val="000E29D1"/>
    <w:rsid w:val="000E3003"/>
    <w:rsid w:val="000E37DD"/>
    <w:rsid w:val="000E3A43"/>
    <w:rsid w:val="000E3B53"/>
    <w:rsid w:val="000E3FE5"/>
    <w:rsid w:val="000E416C"/>
    <w:rsid w:val="000E50EE"/>
    <w:rsid w:val="000E5301"/>
    <w:rsid w:val="000E6285"/>
    <w:rsid w:val="000E633E"/>
    <w:rsid w:val="000E661A"/>
    <w:rsid w:val="000E6C91"/>
    <w:rsid w:val="000E700D"/>
    <w:rsid w:val="000E7190"/>
    <w:rsid w:val="000E7412"/>
    <w:rsid w:val="000E75EF"/>
    <w:rsid w:val="000E77E0"/>
    <w:rsid w:val="000E7CC4"/>
    <w:rsid w:val="000E7F6B"/>
    <w:rsid w:val="000E7FC1"/>
    <w:rsid w:val="000F01BD"/>
    <w:rsid w:val="000F0610"/>
    <w:rsid w:val="000F085F"/>
    <w:rsid w:val="000F0934"/>
    <w:rsid w:val="000F09BB"/>
    <w:rsid w:val="000F0C1A"/>
    <w:rsid w:val="000F0D54"/>
    <w:rsid w:val="000F1584"/>
    <w:rsid w:val="000F16FB"/>
    <w:rsid w:val="000F1718"/>
    <w:rsid w:val="000F172B"/>
    <w:rsid w:val="000F18B0"/>
    <w:rsid w:val="000F1D71"/>
    <w:rsid w:val="000F1EA2"/>
    <w:rsid w:val="000F2483"/>
    <w:rsid w:val="000F27C7"/>
    <w:rsid w:val="000F3306"/>
    <w:rsid w:val="000F3664"/>
    <w:rsid w:val="000F38F5"/>
    <w:rsid w:val="000F4755"/>
    <w:rsid w:val="000F475F"/>
    <w:rsid w:val="000F4C49"/>
    <w:rsid w:val="000F54C6"/>
    <w:rsid w:val="000F55FA"/>
    <w:rsid w:val="000F5723"/>
    <w:rsid w:val="000F59F6"/>
    <w:rsid w:val="000F5D03"/>
    <w:rsid w:val="000F5D6A"/>
    <w:rsid w:val="000F6300"/>
    <w:rsid w:val="000F6A9C"/>
    <w:rsid w:val="000F6ED2"/>
    <w:rsid w:val="000F7014"/>
    <w:rsid w:val="000F72AD"/>
    <w:rsid w:val="000F7477"/>
    <w:rsid w:val="000F795A"/>
    <w:rsid w:val="000F7E9E"/>
    <w:rsid w:val="000F7F9C"/>
    <w:rsid w:val="001006AD"/>
    <w:rsid w:val="00100732"/>
    <w:rsid w:val="00100BEA"/>
    <w:rsid w:val="00100D71"/>
    <w:rsid w:val="001012D3"/>
    <w:rsid w:val="001015B3"/>
    <w:rsid w:val="001016D1"/>
    <w:rsid w:val="001019C6"/>
    <w:rsid w:val="00101EFE"/>
    <w:rsid w:val="001020B5"/>
    <w:rsid w:val="00102998"/>
    <w:rsid w:val="00102E89"/>
    <w:rsid w:val="00103440"/>
    <w:rsid w:val="001038F0"/>
    <w:rsid w:val="00103AE9"/>
    <w:rsid w:val="00103D74"/>
    <w:rsid w:val="001041CA"/>
    <w:rsid w:val="0010453B"/>
    <w:rsid w:val="00104B57"/>
    <w:rsid w:val="001055DB"/>
    <w:rsid w:val="00105B81"/>
    <w:rsid w:val="00105DFA"/>
    <w:rsid w:val="00105E14"/>
    <w:rsid w:val="00106789"/>
    <w:rsid w:val="00106BCE"/>
    <w:rsid w:val="00106BF6"/>
    <w:rsid w:val="00107193"/>
    <w:rsid w:val="0010720F"/>
    <w:rsid w:val="0010723E"/>
    <w:rsid w:val="001077DA"/>
    <w:rsid w:val="00107C5C"/>
    <w:rsid w:val="00107C89"/>
    <w:rsid w:val="00107E82"/>
    <w:rsid w:val="00107EBB"/>
    <w:rsid w:val="001109ED"/>
    <w:rsid w:val="00110F16"/>
    <w:rsid w:val="00110F39"/>
    <w:rsid w:val="00110F49"/>
    <w:rsid w:val="0011104A"/>
    <w:rsid w:val="001111A5"/>
    <w:rsid w:val="001116C8"/>
    <w:rsid w:val="001119D7"/>
    <w:rsid w:val="0011214D"/>
    <w:rsid w:val="00112338"/>
    <w:rsid w:val="00112687"/>
    <w:rsid w:val="001127A6"/>
    <w:rsid w:val="00112976"/>
    <w:rsid w:val="00112A81"/>
    <w:rsid w:val="00113444"/>
    <w:rsid w:val="00113C11"/>
    <w:rsid w:val="00113E02"/>
    <w:rsid w:val="00113EEE"/>
    <w:rsid w:val="00114071"/>
    <w:rsid w:val="00114467"/>
    <w:rsid w:val="001144B2"/>
    <w:rsid w:val="00114517"/>
    <w:rsid w:val="00114531"/>
    <w:rsid w:val="00114A3A"/>
    <w:rsid w:val="00114FD4"/>
    <w:rsid w:val="00115364"/>
    <w:rsid w:val="001155F9"/>
    <w:rsid w:val="0011579E"/>
    <w:rsid w:val="00115ED2"/>
    <w:rsid w:val="00115F7D"/>
    <w:rsid w:val="00116062"/>
    <w:rsid w:val="00116338"/>
    <w:rsid w:val="001163EA"/>
    <w:rsid w:val="001163F1"/>
    <w:rsid w:val="001165DD"/>
    <w:rsid w:val="001167AB"/>
    <w:rsid w:val="001169B5"/>
    <w:rsid w:val="00116AA2"/>
    <w:rsid w:val="0011705B"/>
    <w:rsid w:val="0011732F"/>
    <w:rsid w:val="0011745E"/>
    <w:rsid w:val="00117583"/>
    <w:rsid w:val="0011784B"/>
    <w:rsid w:val="00117B48"/>
    <w:rsid w:val="00117EB3"/>
    <w:rsid w:val="001200CB"/>
    <w:rsid w:val="00120288"/>
    <w:rsid w:val="001203CF"/>
    <w:rsid w:val="00120548"/>
    <w:rsid w:val="00120857"/>
    <w:rsid w:val="00120AC0"/>
    <w:rsid w:val="00121221"/>
    <w:rsid w:val="001215F6"/>
    <w:rsid w:val="0012171C"/>
    <w:rsid w:val="00121F04"/>
    <w:rsid w:val="00122258"/>
    <w:rsid w:val="001224D4"/>
    <w:rsid w:val="00122625"/>
    <w:rsid w:val="00122766"/>
    <w:rsid w:val="00122803"/>
    <w:rsid w:val="00122B5E"/>
    <w:rsid w:val="00122FF8"/>
    <w:rsid w:val="00123C9C"/>
    <w:rsid w:val="00123CD1"/>
    <w:rsid w:val="00124183"/>
    <w:rsid w:val="00124B91"/>
    <w:rsid w:val="00124DF3"/>
    <w:rsid w:val="00124F07"/>
    <w:rsid w:val="00124FDD"/>
    <w:rsid w:val="00125414"/>
    <w:rsid w:val="001254CC"/>
    <w:rsid w:val="00125943"/>
    <w:rsid w:val="001259C5"/>
    <w:rsid w:val="001260B4"/>
    <w:rsid w:val="0012658A"/>
    <w:rsid w:val="0012671A"/>
    <w:rsid w:val="0012696B"/>
    <w:rsid w:val="00126DD0"/>
    <w:rsid w:val="00126FC7"/>
    <w:rsid w:val="00127457"/>
    <w:rsid w:val="00127460"/>
    <w:rsid w:val="00127655"/>
    <w:rsid w:val="00127BCC"/>
    <w:rsid w:val="00127ED3"/>
    <w:rsid w:val="001304D7"/>
    <w:rsid w:val="0013055F"/>
    <w:rsid w:val="0013074D"/>
    <w:rsid w:val="0013087A"/>
    <w:rsid w:val="00130B1E"/>
    <w:rsid w:val="0013130A"/>
    <w:rsid w:val="001315E9"/>
    <w:rsid w:val="00131BBA"/>
    <w:rsid w:val="0013200C"/>
    <w:rsid w:val="001322D5"/>
    <w:rsid w:val="00132F21"/>
    <w:rsid w:val="00133319"/>
    <w:rsid w:val="00133C07"/>
    <w:rsid w:val="0013419A"/>
    <w:rsid w:val="001344CC"/>
    <w:rsid w:val="00134519"/>
    <w:rsid w:val="00134A41"/>
    <w:rsid w:val="00134CD6"/>
    <w:rsid w:val="00134E62"/>
    <w:rsid w:val="0013503E"/>
    <w:rsid w:val="00135074"/>
    <w:rsid w:val="001352CE"/>
    <w:rsid w:val="001355A2"/>
    <w:rsid w:val="00135640"/>
    <w:rsid w:val="001357E8"/>
    <w:rsid w:val="00135841"/>
    <w:rsid w:val="00135BD8"/>
    <w:rsid w:val="001369E4"/>
    <w:rsid w:val="00136C14"/>
    <w:rsid w:val="00136E79"/>
    <w:rsid w:val="00136EB1"/>
    <w:rsid w:val="00136FAE"/>
    <w:rsid w:val="0013701A"/>
    <w:rsid w:val="001376F1"/>
    <w:rsid w:val="00137786"/>
    <w:rsid w:val="00137B9B"/>
    <w:rsid w:val="00137C22"/>
    <w:rsid w:val="0014004C"/>
    <w:rsid w:val="001402A4"/>
    <w:rsid w:val="001403FB"/>
    <w:rsid w:val="0014049E"/>
    <w:rsid w:val="0014114F"/>
    <w:rsid w:val="001413D5"/>
    <w:rsid w:val="00141607"/>
    <w:rsid w:val="0014181A"/>
    <w:rsid w:val="0014195E"/>
    <w:rsid w:val="00141BC1"/>
    <w:rsid w:val="00141E88"/>
    <w:rsid w:val="00141F3C"/>
    <w:rsid w:val="00142024"/>
    <w:rsid w:val="00142517"/>
    <w:rsid w:val="00142638"/>
    <w:rsid w:val="00142CF7"/>
    <w:rsid w:val="00142D24"/>
    <w:rsid w:val="00142EA9"/>
    <w:rsid w:val="0014313F"/>
    <w:rsid w:val="0014346F"/>
    <w:rsid w:val="001436AB"/>
    <w:rsid w:val="00143A9D"/>
    <w:rsid w:val="00143CCC"/>
    <w:rsid w:val="001440EC"/>
    <w:rsid w:val="001446FB"/>
    <w:rsid w:val="00144C4A"/>
    <w:rsid w:val="00145275"/>
    <w:rsid w:val="00145552"/>
    <w:rsid w:val="00145C42"/>
    <w:rsid w:val="00145CA6"/>
    <w:rsid w:val="00146454"/>
    <w:rsid w:val="001468D3"/>
    <w:rsid w:val="00146F8F"/>
    <w:rsid w:val="00147186"/>
    <w:rsid w:val="0014729B"/>
    <w:rsid w:val="00147440"/>
    <w:rsid w:val="00147741"/>
    <w:rsid w:val="00147CEC"/>
    <w:rsid w:val="00147CF0"/>
    <w:rsid w:val="00147E89"/>
    <w:rsid w:val="00147EEF"/>
    <w:rsid w:val="001501C7"/>
    <w:rsid w:val="00150397"/>
    <w:rsid w:val="00150491"/>
    <w:rsid w:val="00150585"/>
    <w:rsid w:val="00150A2F"/>
    <w:rsid w:val="00150A5B"/>
    <w:rsid w:val="00150D96"/>
    <w:rsid w:val="00150F32"/>
    <w:rsid w:val="00150F74"/>
    <w:rsid w:val="00151020"/>
    <w:rsid w:val="0015129F"/>
    <w:rsid w:val="001515D3"/>
    <w:rsid w:val="00151616"/>
    <w:rsid w:val="00151878"/>
    <w:rsid w:val="00151EBE"/>
    <w:rsid w:val="00151FC1"/>
    <w:rsid w:val="0015225E"/>
    <w:rsid w:val="001524BC"/>
    <w:rsid w:val="0015274B"/>
    <w:rsid w:val="001527FD"/>
    <w:rsid w:val="00152E59"/>
    <w:rsid w:val="00152ED8"/>
    <w:rsid w:val="00153335"/>
    <w:rsid w:val="00153738"/>
    <w:rsid w:val="00153A4B"/>
    <w:rsid w:val="00153C05"/>
    <w:rsid w:val="00154487"/>
    <w:rsid w:val="00154520"/>
    <w:rsid w:val="0015486C"/>
    <w:rsid w:val="001548F0"/>
    <w:rsid w:val="001549D4"/>
    <w:rsid w:val="00154F54"/>
    <w:rsid w:val="00154F9D"/>
    <w:rsid w:val="00155108"/>
    <w:rsid w:val="00155CD1"/>
    <w:rsid w:val="00155D22"/>
    <w:rsid w:val="00155E88"/>
    <w:rsid w:val="001566DC"/>
    <w:rsid w:val="00156ECE"/>
    <w:rsid w:val="0015706E"/>
    <w:rsid w:val="001571EB"/>
    <w:rsid w:val="00157269"/>
    <w:rsid w:val="00157411"/>
    <w:rsid w:val="00157A37"/>
    <w:rsid w:val="00157E12"/>
    <w:rsid w:val="00157EA6"/>
    <w:rsid w:val="00157F8C"/>
    <w:rsid w:val="00160B01"/>
    <w:rsid w:val="00160DEF"/>
    <w:rsid w:val="001612AD"/>
    <w:rsid w:val="0016134F"/>
    <w:rsid w:val="001618CC"/>
    <w:rsid w:val="00162168"/>
    <w:rsid w:val="0016216A"/>
    <w:rsid w:val="001622ED"/>
    <w:rsid w:val="0016281F"/>
    <w:rsid w:val="00163283"/>
    <w:rsid w:val="0016328F"/>
    <w:rsid w:val="00163322"/>
    <w:rsid w:val="00163746"/>
    <w:rsid w:val="00163DB6"/>
    <w:rsid w:val="00163E01"/>
    <w:rsid w:val="001643A6"/>
    <w:rsid w:val="00164C47"/>
    <w:rsid w:val="00164CE7"/>
    <w:rsid w:val="00165074"/>
    <w:rsid w:val="001650EB"/>
    <w:rsid w:val="001658A4"/>
    <w:rsid w:val="00165949"/>
    <w:rsid w:val="00165C09"/>
    <w:rsid w:val="00165C27"/>
    <w:rsid w:val="00166034"/>
    <w:rsid w:val="0016638D"/>
    <w:rsid w:val="001663B3"/>
    <w:rsid w:val="00166740"/>
    <w:rsid w:val="0016687C"/>
    <w:rsid w:val="00166B67"/>
    <w:rsid w:val="00166BE4"/>
    <w:rsid w:val="00166D8E"/>
    <w:rsid w:val="001678E4"/>
    <w:rsid w:val="00167A4D"/>
    <w:rsid w:val="00167DC3"/>
    <w:rsid w:val="00167EDB"/>
    <w:rsid w:val="0017008C"/>
    <w:rsid w:val="00170169"/>
    <w:rsid w:val="00170676"/>
    <w:rsid w:val="001706B5"/>
    <w:rsid w:val="00170884"/>
    <w:rsid w:val="00170EF9"/>
    <w:rsid w:val="00170F8C"/>
    <w:rsid w:val="00171052"/>
    <w:rsid w:val="00171352"/>
    <w:rsid w:val="00171353"/>
    <w:rsid w:val="0017198E"/>
    <w:rsid w:val="00172058"/>
    <w:rsid w:val="00172372"/>
    <w:rsid w:val="0017299A"/>
    <w:rsid w:val="00172F12"/>
    <w:rsid w:val="001734E0"/>
    <w:rsid w:val="0017376B"/>
    <w:rsid w:val="001739FA"/>
    <w:rsid w:val="00173F5F"/>
    <w:rsid w:val="00173F82"/>
    <w:rsid w:val="00174256"/>
    <w:rsid w:val="00174374"/>
    <w:rsid w:val="00174436"/>
    <w:rsid w:val="001745CC"/>
    <w:rsid w:val="001746FA"/>
    <w:rsid w:val="00174C13"/>
    <w:rsid w:val="00174C15"/>
    <w:rsid w:val="00174D04"/>
    <w:rsid w:val="00174D4E"/>
    <w:rsid w:val="00174EC8"/>
    <w:rsid w:val="001750A6"/>
    <w:rsid w:val="00175746"/>
    <w:rsid w:val="00175CB2"/>
    <w:rsid w:val="00176374"/>
    <w:rsid w:val="00176536"/>
    <w:rsid w:val="00177622"/>
    <w:rsid w:val="001776E7"/>
    <w:rsid w:val="001779C6"/>
    <w:rsid w:val="00177C00"/>
    <w:rsid w:val="00177E0A"/>
    <w:rsid w:val="0018064B"/>
    <w:rsid w:val="0018083F"/>
    <w:rsid w:val="00180AC8"/>
    <w:rsid w:val="00180D94"/>
    <w:rsid w:val="001814F2"/>
    <w:rsid w:val="00181C29"/>
    <w:rsid w:val="00181D8F"/>
    <w:rsid w:val="00181F66"/>
    <w:rsid w:val="00182653"/>
    <w:rsid w:val="00182B65"/>
    <w:rsid w:val="00182D39"/>
    <w:rsid w:val="0018348F"/>
    <w:rsid w:val="001837AB"/>
    <w:rsid w:val="001839A4"/>
    <w:rsid w:val="00183A7C"/>
    <w:rsid w:val="00183AED"/>
    <w:rsid w:val="00183CEC"/>
    <w:rsid w:val="00183FFA"/>
    <w:rsid w:val="001845EA"/>
    <w:rsid w:val="0018483F"/>
    <w:rsid w:val="00184998"/>
    <w:rsid w:val="00184ACF"/>
    <w:rsid w:val="00184B58"/>
    <w:rsid w:val="00184C3A"/>
    <w:rsid w:val="0018511C"/>
    <w:rsid w:val="001851A0"/>
    <w:rsid w:val="001851E1"/>
    <w:rsid w:val="00185957"/>
    <w:rsid w:val="00185FBD"/>
    <w:rsid w:val="00185FE6"/>
    <w:rsid w:val="0018696A"/>
    <w:rsid w:val="00186AC2"/>
    <w:rsid w:val="00186B9A"/>
    <w:rsid w:val="001870E9"/>
    <w:rsid w:val="00187377"/>
    <w:rsid w:val="0018779D"/>
    <w:rsid w:val="0018794C"/>
    <w:rsid w:val="00187E4E"/>
    <w:rsid w:val="00187EED"/>
    <w:rsid w:val="0019038A"/>
    <w:rsid w:val="00190AB8"/>
    <w:rsid w:val="00190AD7"/>
    <w:rsid w:val="00190BA4"/>
    <w:rsid w:val="00190BF1"/>
    <w:rsid w:val="00190FA2"/>
    <w:rsid w:val="001911BB"/>
    <w:rsid w:val="001911FA"/>
    <w:rsid w:val="001916F9"/>
    <w:rsid w:val="001917AB"/>
    <w:rsid w:val="0019197A"/>
    <w:rsid w:val="00191CB8"/>
    <w:rsid w:val="0019201B"/>
    <w:rsid w:val="0019220C"/>
    <w:rsid w:val="001926EE"/>
    <w:rsid w:val="0019313A"/>
    <w:rsid w:val="00193400"/>
    <w:rsid w:val="001937C9"/>
    <w:rsid w:val="001938FA"/>
    <w:rsid w:val="00193ECD"/>
    <w:rsid w:val="00193F93"/>
    <w:rsid w:val="00194596"/>
    <w:rsid w:val="0019477E"/>
    <w:rsid w:val="00194A5E"/>
    <w:rsid w:val="00194DCC"/>
    <w:rsid w:val="001953FD"/>
    <w:rsid w:val="001954EF"/>
    <w:rsid w:val="001956EE"/>
    <w:rsid w:val="001958D4"/>
    <w:rsid w:val="0019592B"/>
    <w:rsid w:val="00195F8A"/>
    <w:rsid w:val="001962F0"/>
    <w:rsid w:val="00196423"/>
    <w:rsid w:val="00196447"/>
    <w:rsid w:val="00196B2C"/>
    <w:rsid w:val="00196EA9"/>
    <w:rsid w:val="00197405"/>
    <w:rsid w:val="001974F5"/>
    <w:rsid w:val="0019760A"/>
    <w:rsid w:val="00197787"/>
    <w:rsid w:val="001979F2"/>
    <w:rsid w:val="00197A70"/>
    <w:rsid w:val="00197AD5"/>
    <w:rsid w:val="00197DE5"/>
    <w:rsid w:val="001A006C"/>
    <w:rsid w:val="001A0129"/>
    <w:rsid w:val="001A06ED"/>
    <w:rsid w:val="001A0AD2"/>
    <w:rsid w:val="001A0D49"/>
    <w:rsid w:val="001A0F2D"/>
    <w:rsid w:val="001A1082"/>
    <w:rsid w:val="001A1815"/>
    <w:rsid w:val="001A2464"/>
    <w:rsid w:val="001A308E"/>
    <w:rsid w:val="001A339D"/>
    <w:rsid w:val="001A3446"/>
    <w:rsid w:val="001A3577"/>
    <w:rsid w:val="001A35E5"/>
    <w:rsid w:val="001A39B1"/>
    <w:rsid w:val="001A3E5D"/>
    <w:rsid w:val="001A3F2D"/>
    <w:rsid w:val="001A4052"/>
    <w:rsid w:val="001A41BB"/>
    <w:rsid w:val="001A463C"/>
    <w:rsid w:val="001A49A5"/>
    <w:rsid w:val="001A4FD3"/>
    <w:rsid w:val="001A50F6"/>
    <w:rsid w:val="001A520A"/>
    <w:rsid w:val="001A52E5"/>
    <w:rsid w:val="001A5487"/>
    <w:rsid w:val="001A55F6"/>
    <w:rsid w:val="001A5723"/>
    <w:rsid w:val="001A585D"/>
    <w:rsid w:val="001A5B82"/>
    <w:rsid w:val="001A65C0"/>
    <w:rsid w:val="001A68EF"/>
    <w:rsid w:val="001A6E62"/>
    <w:rsid w:val="001A6EE4"/>
    <w:rsid w:val="001A7377"/>
    <w:rsid w:val="001A7487"/>
    <w:rsid w:val="001A7B11"/>
    <w:rsid w:val="001A7B52"/>
    <w:rsid w:val="001A7CA7"/>
    <w:rsid w:val="001A7E63"/>
    <w:rsid w:val="001A7FA1"/>
    <w:rsid w:val="001B014E"/>
    <w:rsid w:val="001B0582"/>
    <w:rsid w:val="001B0644"/>
    <w:rsid w:val="001B06E3"/>
    <w:rsid w:val="001B08F7"/>
    <w:rsid w:val="001B105B"/>
    <w:rsid w:val="001B114C"/>
    <w:rsid w:val="001B11C8"/>
    <w:rsid w:val="001B1841"/>
    <w:rsid w:val="001B18FA"/>
    <w:rsid w:val="001B1E93"/>
    <w:rsid w:val="001B1EE1"/>
    <w:rsid w:val="001B1F1C"/>
    <w:rsid w:val="001B2073"/>
    <w:rsid w:val="001B22F0"/>
    <w:rsid w:val="001B238F"/>
    <w:rsid w:val="001B27C7"/>
    <w:rsid w:val="001B28F5"/>
    <w:rsid w:val="001B2A24"/>
    <w:rsid w:val="001B2AA0"/>
    <w:rsid w:val="001B2DC7"/>
    <w:rsid w:val="001B2F72"/>
    <w:rsid w:val="001B2F78"/>
    <w:rsid w:val="001B327B"/>
    <w:rsid w:val="001B374D"/>
    <w:rsid w:val="001B39F6"/>
    <w:rsid w:val="001B3A28"/>
    <w:rsid w:val="001B3A4A"/>
    <w:rsid w:val="001B47EE"/>
    <w:rsid w:val="001B4A91"/>
    <w:rsid w:val="001B4C76"/>
    <w:rsid w:val="001B4CC1"/>
    <w:rsid w:val="001B4DDF"/>
    <w:rsid w:val="001B4E85"/>
    <w:rsid w:val="001B5309"/>
    <w:rsid w:val="001B5D9E"/>
    <w:rsid w:val="001B5FFC"/>
    <w:rsid w:val="001B60C2"/>
    <w:rsid w:val="001B6248"/>
    <w:rsid w:val="001B6402"/>
    <w:rsid w:val="001B653C"/>
    <w:rsid w:val="001B68C5"/>
    <w:rsid w:val="001B6927"/>
    <w:rsid w:val="001B6C8C"/>
    <w:rsid w:val="001B6E93"/>
    <w:rsid w:val="001B727B"/>
    <w:rsid w:val="001B7716"/>
    <w:rsid w:val="001B7A57"/>
    <w:rsid w:val="001B7A96"/>
    <w:rsid w:val="001B7BF0"/>
    <w:rsid w:val="001C01C7"/>
    <w:rsid w:val="001C0756"/>
    <w:rsid w:val="001C0B76"/>
    <w:rsid w:val="001C0BD6"/>
    <w:rsid w:val="001C0E68"/>
    <w:rsid w:val="001C0EFB"/>
    <w:rsid w:val="001C120B"/>
    <w:rsid w:val="001C15AC"/>
    <w:rsid w:val="001C1624"/>
    <w:rsid w:val="001C17CF"/>
    <w:rsid w:val="001C1949"/>
    <w:rsid w:val="001C249B"/>
    <w:rsid w:val="001C2636"/>
    <w:rsid w:val="001C2B9D"/>
    <w:rsid w:val="001C2FEC"/>
    <w:rsid w:val="001C343E"/>
    <w:rsid w:val="001C34F1"/>
    <w:rsid w:val="001C36A1"/>
    <w:rsid w:val="001C38E7"/>
    <w:rsid w:val="001C406F"/>
    <w:rsid w:val="001C4D86"/>
    <w:rsid w:val="001C516F"/>
    <w:rsid w:val="001C5245"/>
    <w:rsid w:val="001C5446"/>
    <w:rsid w:val="001C58D3"/>
    <w:rsid w:val="001C597C"/>
    <w:rsid w:val="001C59A5"/>
    <w:rsid w:val="001C5B8A"/>
    <w:rsid w:val="001C74CD"/>
    <w:rsid w:val="001C794A"/>
    <w:rsid w:val="001C7D36"/>
    <w:rsid w:val="001D02A6"/>
    <w:rsid w:val="001D038B"/>
    <w:rsid w:val="001D0FBD"/>
    <w:rsid w:val="001D1109"/>
    <w:rsid w:val="001D143E"/>
    <w:rsid w:val="001D1BA9"/>
    <w:rsid w:val="001D1C83"/>
    <w:rsid w:val="001D1E43"/>
    <w:rsid w:val="001D224D"/>
    <w:rsid w:val="001D2E77"/>
    <w:rsid w:val="001D3159"/>
    <w:rsid w:val="001D338E"/>
    <w:rsid w:val="001D33CA"/>
    <w:rsid w:val="001D366D"/>
    <w:rsid w:val="001D3691"/>
    <w:rsid w:val="001D3E3D"/>
    <w:rsid w:val="001D40D3"/>
    <w:rsid w:val="001D4228"/>
    <w:rsid w:val="001D47F7"/>
    <w:rsid w:val="001D4910"/>
    <w:rsid w:val="001D4946"/>
    <w:rsid w:val="001D4BBA"/>
    <w:rsid w:val="001D4F38"/>
    <w:rsid w:val="001D4F92"/>
    <w:rsid w:val="001D5598"/>
    <w:rsid w:val="001D5EE4"/>
    <w:rsid w:val="001D64B8"/>
    <w:rsid w:val="001D6722"/>
    <w:rsid w:val="001D6A89"/>
    <w:rsid w:val="001D6BEE"/>
    <w:rsid w:val="001D6DFD"/>
    <w:rsid w:val="001D6EAB"/>
    <w:rsid w:val="001D6EB3"/>
    <w:rsid w:val="001D792E"/>
    <w:rsid w:val="001D7DFB"/>
    <w:rsid w:val="001D7E20"/>
    <w:rsid w:val="001E007A"/>
    <w:rsid w:val="001E0264"/>
    <w:rsid w:val="001E0778"/>
    <w:rsid w:val="001E084F"/>
    <w:rsid w:val="001E0A4E"/>
    <w:rsid w:val="001E0A68"/>
    <w:rsid w:val="001E0D03"/>
    <w:rsid w:val="001E0EF9"/>
    <w:rsid w:val="001E14FE"/>
    <w:rsid w:val="001E1719"/>
    <w:rsid w:val="001E175F"/>
    <w:rsid w:val="001E1A8E"/>
    <w:rsid w:val="001E1C44"/>
    <w:rsid w:val="001E2747"/>
    <w:rsid w:val="001E2980"/>
    <w:rsid w:val="001E2B4C"/>
    <w:rsid w:val="001E2B5C"/>
    <w:rsid w:val="001E2B9D"/>
    <w:rsid w:val="001E3033"/>
    <w:rsid w:val="001E3166"/>
    <w:rsid w:val="001E323F"/>
    <w:rsid w:val="001E345F"/>
    <w:rsid w:val="001E3902"/>
    <w:rsid w:val="001E3C57"/>
    <w:rsid w:val="001E4105"/>
    <w:rsid w:val="001E4197"/>
    <w:rsid w:val="001E43E5"/>
    <w:rsid w:val="001E4943"/>
    <w:rsid w:val="001E4AD3"/>
    <w:rsid w:val="001E54C1"/>
    <w:rsid w:val="001E5FB7"/>
    <w:rsid w:val="001E60AA"/>
    <w:rsid w:val="001E64D9"/>
    <w:rsid w:val="001E6A91"/>
    <w:rsid w:val="001E73D0"/>
    <w:rsid w:val="001E7642"/>
    <w:rsid w:val="001E7839"/>
    <w:rsid w:val="001F0168"/>
    <w:rsid w:val="001F0426"/>
    <w:rsid w:val="001F0616"/>
    <w:rsid w:val="001F069C"/>
    <w:rsid w:val="001F1141"/>
    <w:rsid w:val="001F1358"/>
    <w:rsid w:val="001F143E"/>
    <w:rsid w:val="001F17DF"/>
    <w:rsid w:val="001F19D8"/>
    <w:rsid w:val="001F2173"/>
    <w:rsid w:val="001F2C7B"/>
    <w:rsid w:val="001F2EE7"/>
    <w:rsid w:val="001F2F32"/>
    <w:rsid w:val="001F3452"/>
    <w:rsid w:val="001F3739"/>
    <w:rsid w:val="001F3792"/>
    <w:rsid w:val="001F37BE"/>
    <w:rsid w:val="001F37F5"/>
    <w:rsid w:val="001F397E"/>
    <w:rsid w:val="001F4556"/>
    <w:rsid w:val="001F45BD"/>
    <w:rsid w:val="001F46EC"/>
    <w:rsid w:val="001F472A"/>
    <w:rsid w:val="001F4999"/>
    <w:rsid w:val="001F4A96"/>
    <w:rsid w:val="001F4B04"/>
    <w:rsid w:val="001F4B07"/>
    <w:rsid w:val="001F4BAE"/>
    <w:rsid w:val="001F4BB9"/>
    <w:rsid w:val="001F4C63"/>
    <w:rsid w:val="001F4D8B"/>
    <w:rsid w:val="001F4E5E"/>
    <w:rsid w:val="001F52BA"/>
    <w:rsid w:val="001F5614"/>
    <w:rsid w:val="001F57B4"/>
    <w:rsid w:val="001F5942"/>
    <w:rsid w:val="001F5E70"/>
    <w:rsid w:val="001F6665"/>
    <w:rsid w:val="001F668F"/>
    <w:rsid w:val="001F6985"/>
    <w:rsid w:val="001F6B72"/>
    <w:rsid w:val="001F7249"/>
    <w:rsid w:val="001F726F"/>
    <w:rsid w:val="001F7341"/>
    <w:rsid w:val="001F77FC"/>
    <w:rsid w:val="001F7A05"/>
    <w:rsid w:val="001F7B74"/>
    <w:rsid w:val="00200395"/>
    <w:rsid w:val="00200399"/>
    <w:rsid w:val="002005E5"/>
    <w:rsid w:val="002006C0"/>
    <w:rsid w:val="00200711"/>
    <w:rsid w:val="00200A79"/>
    <w:rsid w:val="00200BD4"/>
    <w:rsid w:val="00201113"/>
    <w:rsid w:val="0020115E"/>
    <w:rsid w:val="0020138D"/>
    <w:rsid w:val="002013A6"/>
    <w:rsid w:val="002015E6"/>
    <w:rsid w:val="00201908"/>
    <w:rsid w:val="00201A36"/>
    <w:rsid w:val="00201C4C"/>
    <w:rsid w:val="00201C92"/>
    <w:rsid w:val="00201FE5"/>
    <w:rsid w:val="002022F3"/>
    <w:rsid w:val="002023BF"/>
    <w:rsid w:val="002029D9"/>
    <w:rsid w:val="00202AB7"/>
    <w:rsid w:val="00202D61"/>
    <w:rsid w:val="00202FA1"/>
    <w:rsid w:val="00203320"/>
    <w:rsid w:val="0020380F"/>
    <w:rsid w:val="002038A4"/>
    <w:rsid w:val="00203B6E"/>
    <w:rsid w:val="00203D29"/>
    <w:rsid w:val="0020417E"/>
    <w:rsid w:val="002050CA"/>
    <w:rsid w:val="002059CF"/>
    <w:rsid w:val="00205DA0"/>
    <w:rsid w:val="00205E84"/>
    <w:rsid w:val="00205EDC"/>
    <w:rsid w:val="00205FC4"/>
    <w:rsid w:val="00205FFD"/>
    <w:rsid w:val="0020603F"/>
    <w:rsid w:val="002064CF"/>
    <w:rsid w:val="0020677F"/>
    <w:rsid w:val="00206B65"/>
    <w:rsid w:val="00206F18"/>
    <w:rsid w:val="00207088"/>
    <w:rsid w:val="002071A6"/>
    <w:rsid w:val="00207259"/>
    <w:rsid w:val="002074C2"/>
    <w:rsid w:val="002076B8"/>
    <w:rsid w:val="00207717"/>
    <w:rsid w:val="00207762"/>
    <w:rsid w:val="002077EF"/>
    <w:rsid w:val="00207DF5"/>
    <w:rsid w:val="00210172"/>
    <w:rsid w:val="00210933"/>
    <w:rsid w:val="00210C79"/>
    <w:rsid w:val="00210DC6"/>
    <w:rsid w:val="002110AC"/>
    <w:rsid w:val="002111D0"/>
    <w:rsid w:val="0021141E"/>
    <w:rsid w:val="00211896"/>
    <w:rsid w:val="00211ACD"/>
    <w:rsid w:val="00211F6B"/>
    <w:rsid w:val="0021219C"/>
    <w:rsid w:val="00212706"/>
    <w:rsid w:val="002129CD"/>
    <w:rsid w:val="00212B1B"/>
    <w:rsid w:val="00213561"/>
    <w:rsid w:val="002135E2"/>
    <w:rsid w:val="00213AA6"/>
    <w:rsid w:val="00213BA3"/>
    <w:rsid w:val="00213D59"/>
    <w:rsid w:val="00214471"/>
    <w:rsid w:val="00214A2D"/>
    <w:rsid w:val="00214BC7"/>
    <w:rsid w:val="0021503E"/>
    <w:rsid w:val="002150D8"/>
    <w:rsid w:val="00215EE1"/>
    <w:rsid w:val="002165E7"/>
    <w:rsid w:val="002168FE"/>
    <w:rsid w:val="00216A15"/>
    <w:rsid w:val="00216AFF"/>
    <w:rsid w:val="002170A1"/>
    <w:rsid w:val="002174E6"/>
    <w:rsid w:val="00217624"/>
    <w:rsid w:val="002176A1"/>
    <w:rsid w:val="00217A3B"/>
    <w:rsid w:val="00217D98"/>
    <w:rsid w:val="00217E17"/>
    <w:rsid w:val="00217EE1"/>
    <w:rsid w:val="00217F12"/>
    <w:rsid w:val="0022008E"/>
    <w:rsid w:val="0022035C"/>
    <w:rsid w:val="00220463"/>
    <w:rsid w:val="00220831"/>
    <w:rsid w:val="00220B35"/>
    <w:rsid w:val="00221032"/>
    <w:rsid w:val="002213A3"/>
    <w:rsid w:val="00221984"/>
    <w:rsid w:val="002219B8"/>
    <w:rsid w:val="00221BA3"/>
    <w:rsid w:val="00221EB4"/>
    <w:rsid w:val="00221FA9"/>
    <w:rsid w:val="00222263"/>
    <w:rsid w:val="0022232E"/>
    <w:rsid w:val="002223D0"/>
    <w:rsid w:val="0022277B"/>
    <w:rsid w:val="0022282A"/>
    <w:rsid w:val="00222CA6"/>
    <w:rsid w:val="00222E19"/>
    <w:rsid w:val="00222FA5"/>
    <w:rsid w:val="0022313D"/>
    <w:rsid w:val="002231CD"/>
    <w:rsid w:val="0022323A"/>
    <w:rsid w:val="0022324A"/>
    <w:rsid w:val="00223539"/>
    <w:rsid w:val="00223A66"/>
    <w:rsid w:val="00223E9B"/>
    <w:rsid w:val="00223FB5"/>
    <w:rsid w:val="002241E0"/>
    <w:rsid w:val="0022445F"/>
    <w:rsid w:val="002247B4"/>
    <w:rsid w:val="002249BB"/>
    <w:rsid w:val="00224E80"/>
    <w:rsid w:val="00224EE0"/>
    <w:rsid w:val="002252C8"/>
    <w:rsid w:val="002257C6"/>
    <w:rsid w:val="0022581A"/>
    <w:rsid w:val="002258CE"/>
    <w:rsid w:val="00225A0D"/>
    <w:rsid w:val="00225CE9"/>
    <w:rsid w:val="002263D3"/>
    <w:rsid w:val="00226FD5"/>
    <w:rsid w:val="002273BE"/>
    <w:rsid w:val="0022759C"/>
    <w:rsid w:val="00227AD6"/>
    <w:rsid w:val="00227C9C"/>
    <w:rsid w:val="00227DFF"/>
    <w:rsid w:val="002301BA"/>
    <w:rsid w:val="002309FD"/>
    <w:rsid w:val="00230C9D"/>
    <w:rsid w:val="00230E16"/>
    <w:rsid w:val="00231078"/>
    <w:rsid w:val="002310BC"/>
    <w:rsid w:val="00231268"/>
    <w:rsid w:val="0023139B"/>
    <w:rsid w:val="002313DA"/>
    <w:rsid w:val="00231A00"/>
    <w:rsid w:val="00231B7D"/>
    <w:rsid w:val="0023211A"/>
    <w:rsid w:val="00232429"/>
    <w:rsid w:val="00232512"/>
    <w:rsid w:val="002330AA"/>
    <w:rsid w:val="002331F1"/>
    <w:rsid w:val="002334FE"/>
    <w:rsid w:val="00233531"/>
    <w:rsid w:val="002335D9"/>
    <w:rsid w:val="002338FD"/>
    <w:rsid w:val="00233C21"/>
    <w:rsid w:val="00233F14"/>
    <w:rsid w:val="002342C9"/>
    <w:rsid w:val="002342CA"/>
    <w:rsid w:val="00234605"/>
    <w:rsid w:val="00234A90"/>
    <w:rsid w:val="00234B1E"/>
    <w:rsid w:val="00234C82"/>
    <w:rsid w:val="0023524E"/>
    <w:rsid w:val="002352BF"/>
    <w:rsid w:val="002353C6"/>
    <w:rsid w:val="00235E7F"/>
    <w:rsid w:val="0023632B"/>
    <w:rsid w:val="002365D7"/>
    <w:rsid w:val="002368A4"/>
    <w:rsid w:val="00236AAE"/>
    <w:rsid w:val="00236F2C"/>
    <w:rsid w:val="00236FF1"/>
    <w:rsid w:val="00237820"/>
    <w:rsid w:val="00237B11"/>
    <w:rsid w:val="00237DCE"/>
    <w:rsid w:val="00237E5E"/>
    <w:rsid w:val="00240634"/>
    <w:rsid w:val="00240808"/>
    <w:rsid w:val="00240B9D"/>
    <w:rsid w:val="00240D3D"/>
    <w:rsid w:val="00240F55"/>
    <w:rsid w:val="002418C0"/>
    <w:rsid w:val="002418C6"/>
    <w:rsid w:val="00241B40"/>
    <w:rsid w:val="00241FFF"/>
    <w:rsid w:val="00242369"/>
    <w:rsid w:val="00242DCA"/>
    <w:rsid w:val="002430B2"/>
    <w:rsid w:val="00243119"/>
    <w:rsid w:val="002431ED"/>
    <w:rsid w:val="00243420"/>
    <w:rsid w:val="00243692"/>
    <w:rsid w:val="00243B9D"/>
    <w:rsid w:val="00243D7F"/>
    <w:rsid w:val="00243E04"/>
    <w:rsid w:val="00244356"/>
    <w:rsid w:val="00244756"/>
    <w:rsid w:val="00244C6B"/>
    <w:rsid w:val="00244DBC"/>
    <w:rsid w:val="0024500F"/>
    <w:rsid w:val="00245087"/>
    <w:rsid w:val="0024528A"/>
    <w:rsid w:val="0024539A"/>
    <w:rsid w:val="00245E5F"/>
    <w:rsid w:val="00246043"/>
    <w:rsid w:val="00246178"/>
    <w:rsid w:val="00246182"/>
    <w:rsid w:val="002461C3"/>
    <w:rsid w:val="002461EA"/>
    <w:rsid w:val="002465E3"/>
    <w:rsid w:val="002467AF"/>
    <w:rsid w:val="00246B61"/>
    <w:rsid w:val="00246C74"/>
    <w:rsid w:val="00246CCF"/>
    <w:rsid w:val="00247131"/>
    <w:rsid w:val="00247D96"/>
    <w:rsid w:val="0025009A"/>
    <w:rsid w:val="002501AB"/>
    <w:rsid w:val="002502C8"/>
    <w:rsid w:val="0025053C"/>
    <w:rsid w:val="00250703"/>
    <w:rsid w:val="00250741"/>
    <w:rsid w:val="0025103A"/>
    <w:rsid w:val="002518D6"/>
    <w:rsid w:val="00251A1F"/>
    <w:rsid w:val="00251D82"/>
    <w:rsid w:val="002523FA"/>
    <w:rsid w:val="00252515"/>
    <w:rsid w:val="002529AC"/>
    <w:rsid w:val="00252B03"/>
    <w:rsid w:val="00252B7D"/>
    <w:rsid w:val="00252D02"/>
    <w:rsid w:val="002538FF"/>
    <w:rsid w:val="00253BFF"/>
    <w:rsid w:val="0025421B"/>
    <w:rsid w:val="002546F8"/>
    <w:rsid w:val="00254877"/>
    <w:rsid w:val="00254A90"/>
    <w:rsid w:val="00255011"/>
    <w:rsid w:val="002559A3"/>
    <w:rsid w:val="00255ADD"/>
    <w:rsid w:val="00255E69"/>
    <w:rsid w:val="00255F74"/>
    <w:rsid w:val="002561B2"/>
    <w:rsid w:val="00256AD6"/>
    <w:rsid w:val="00256F30"/>
    <w:rsid w:val="0025716B"/>
    <w:rsid w:val="002575E7"/>
    <w:rsid w:val="00257605"/>
    <w:rsid w:val="00260146"/>
    <w:rsid w:val="00260346"/>
    <w:rsid w:val="002606C5"/>
    <w:rsid w:val="00260E56"/>
    <w:rsid w:val="00260EC3"/>
    <w:rsid w:val="002612A5"/>
    <w:rsid w:val="00261336"/>
    <w:rsid w:val="0026155A"/>
    <w:rsid w:val="002617CD"/>
    <w:rsid w:val="002618CB"/>
    <w:rsid w:val="0026203E"/>
    <w:rsid w:val="0026240B"/>
    <w:rsid w:val="002625F2"/>
    <w:rsid w:val="00262608"/>
    <w:rsid w:val="0026281D"/>
    <w:rsid w:val="002628F1"/>
    <w:rsid w:val="00262C5B"/>
    <w:rsid w:val="002630B5"/>
    <w:rsid w:val="0026337C"/>
    <w:rsid w:val="00263617"/>
    <w:rsid w:val="00263D4E"/>
    <w:rsid w:val="00264255"/>
    <w:rsid w:val="002645C1"/>
    <w:rsid w:val="00264AAF"/>
    <w:rsid w:val="00264DA2"/>
    <w:rsid w:val="00264F23"/>
    <w:rsid w:val="00265130"/>
    <w:rsid w:val="00265227"/>
    <w:rsid w:val="0026546E"/>
    <w:rsid w:val="0026556C"/>
    <w:rsid w:val="00265577"/>
    <w:rsid w:val="00265AEE"/>
    <w:rsid w:val="00266417"/>
    <w:rsid w:val="002668CB"/>
    <w:rsid w:val="00266ABE"/>
    <w:rsid w:val="00266EBD"/>
    <w:rsid w:val="002672BE"/>
    <w:rsid w:val="002673D3"/>
    <w:rsid w:val="002675D0"/>
    <w:rsid w:val="00267978"/>
    <w:rsid w:val="00267BCB"/>
    <w:rsid w:val="0027043B"/>
    <w:rsid w:val="00270653"/>
    <w:rsid w:val="00270E0D"/>
    <w:rsid w:val="00270E63"/>
    <w:rsid w:val="00270E8C"/>
    <w:rsid w:val="00270ED1"/>
    <w:rsid w:val="002714E2"/>
    <w:rsid w:val="0027152A"/>
    <w:rsid w:val="002715FE"/>
    <w:rsid w:val="002718C3"/>
    <w:rsid w:val="00271925"/>
    <w:rsid w:val="00271AB1"/>
    <w:rsid w:val="00271F27"/>
    <w:rsid w:val="002721C3"/>
    <w:rsid w:val="00272280"/>
    <w:rsid w:val="00272AB6"/>
    <w:rsid w:val="00272BDF"/>
    <w:rsid w:val="00272C63"/>
    <w:rsid w:val="00272E32"/>
    <w:rsid w:val="00272E42"/>
    <w:rsid w:val="00273748"/>
    <w:rsid w:val="00273B20"/>
    <w:rsid w:val="00273B9B"/>
    <w:rsid w:val="00273BD9"/>
    <w:rsid w:val="00273C97"/>
    <w:rsid w:val="00273DBF"/>
    <w:rsid w:val="00273E53"/>
    <w:rsid w:val="00274DCF"/>
    <w:rsid w:val="00274E5F"/>
    <w:rsid w:val="00274F0F"/>
    <w:rsid w:val="0027508F"/>
    <w:rsid w:val="002750D0"/>
    <w:rsid w:val="00275135"/>
    <w:rsid w:val="00275257"/>
    <w:rsid w:val="00275E22"/>
    <w:rsid w:val="00275F7F"/>
    <w:rsid w:val="002766C5"/>
    <w:rsid w:val="002766C8"/>
    <w:rsid w:val="00276AFD"/>
    <w:rsid w:val="00276BFE"/>
    <w:rsid w:val="00276C5D"/>
    <w:rsid w:val="00276F89"/>
    <w:rsid w:val="0027731B"/>
    <w:rsid w:val="00277479"/>
    <w:rsid w:val="00277CEE"/>
    <w:rsid w:val="00277DA1"/>
    <w:rsid w:val="0028001D"/>
    <w:rsid w:val="002800D5"/>
    <w:rsid w:val="0028026D"/>
    <w:rsid w:val="00280274"/>
    <w:rsid w:val="00280426"/>
    <w:rsid w:val="00280628"/>
    <w:rsid w:val="00280FCC"/>
    <w:rsid w:val="002810DE"/>
    <w:rsid w:val="0028115F"/>
    <w:rsid w:val="0028129D"/>
    <w:rsid w:val="00281407"/>
    <w:rsid w:val="00281A7A"/>
    <w:rsid w:val="002822BA"/>
    <w:rsid w:val="002824F3"/>
    <w:rsid w:val="00282BCE"/>
    <w:rsid w:val="00282FF9"/>
    <w:rsid w:val="00283132"/>
    <w:rsid w:val="0028313E"/>
    <w:rsid w:val="00283455"/>
    <w:rsid w:val="00283514"/>
    <w:rsid w:val="0028352C"/>
    <w:rsid w:val="00283550"/>
    <w:rsid w:val="002836E5"/>
    <w:rsid w:val="0028398B"/>
    <w:rsid w:val="00283A98"/>
    <w:rsid w:val="00283D50"/>
    <w:rsid w:val="002840C3"/>
    <w:rsid w:val="00284138"/>
    <w:rsid w:val="0028468A"/>
    <w:rsid w:val="0028475C"/>
    <w:rsid w:val="002847B9"/>
    <w:rsid w:val="002847F5"/>
    <w:rsid w:val="002848A7"/>
    <w:rsid w:val="002853C4"/>
    <w:rsid w:val="002858BA"/>
    <w:rsid w:val="00285B8C"/>
    <w:rsid w:val="00285DD0"/>
    <w:rsid w:val="00285E31"/>
    <w:rsid w:val="00285F61"/>
    <w:rsid w:val="00286006"/>
    <w:rsid w:val="002860D5"/>
    <w:rsid w:val="00286346"/>
    <w:rsid w:val="00286806"/>
    <w:rsid w:val="0028685D"/>
    <w:rsid w:val="0028695A"/>
    <w:rsid w:val="0028696B"/>
    <w:rsid w:val="002869B4"/>
    <w:rsid w:val="00286CD0"/>
    <w:rsid w:val="00286D08"/>
    <w:rsid w:val="00287118"/>
    <w:rsid w:val="002872BA"/>
    <w:rsid w:val="00287607"/>
    <w:rsid w:val="00287E44"/>
    <w:rsid w:val="00290170"/>
    <w:rsid w:val="002901E8"/>
    <w:rsid w:val="0029055F"/>
    <w:rsid w:val="00290565"/>
    <w:rsid w:val="00290BB2"/>
    <w:rsid w:val="00290C90"/>
    <w:rsid w:val="00290C96"/>
    <w:rsid w:val="00290DD6"/>
    <w:rsid w:val="0029163D"/>
    <w:rsid w:val="0029172C"/>
    <w:rsid w:val="00291794"/>
    <w:rsid w:val="002917F3"/>
    <w:rsid w:val="00291C2B"/>
    <w:rsid w:val="00291D5B"/>
    <w:rsid w:val="00291EF8"/>
    <w:rsid w:val="00292219"/>
    <w:rsid w:val="002925C5"/>
    <w:rsid w:val="00292B6B"/>
    <w:rsid w:val="002930D3"/>
    <w:rsid w:val="0029339F"/>
    <w:rsid w:val="00293543"/>
    <w:rsid w:val="0029367C"/>
    <w:rsid w:val="0029373C"/>
    <w:rsid w:val="002937CA"/>
    <w:rsid w:val="00293880"/>
    <w:rsid w:val="002938AD"/>
    <w:rsid w:val="00293911"/>
    <w:rsid w:val="00293994"/>
    <w:rsid w:val="002939BC"/>
    <w:rsid w:val="00293F4B"/>
    <w:rsid w:val="00294279"/>
    <w:rsid w:val="00294A48"/>
    <w:rsid w:val="002953F9"/>
    <w:rsid w:val="002956D3"/>
    <w:rsid w:val="002957A7"/>
    <w:rsid w:val="00295BDC"/>
    <w:rsid w:val="00295C49"/>
    <w:rsid w:val="00295CBB"/>
    <w:rsid w:val="00295D62"/>
    <w:rsid w:val="00295E48"/>
    <w:rsid w:val="00295F54"/>
    <w:rsid w:val="00296015"/>
    <w:rsid w:val="002961A8"/>
    <w:rsid w:val="00296ACF"/>
    <w:rsid w:val="0029705D"/>
    <w:rsid w:val="00297084"/>
    <w:rsid w:val="002A00BA"/>
    <w:rsid w:val="002A0344"/>
    <w:rsid w:val="002A0694"/>
    <w:rsid w:val="002A06FD"/>
    <w:rsid w:val="002A0803"/>
    <w:rsid w:val="002A0B40"/>
    <w:rsid w:val="002A0DB7"/>
    <w:rsid w:val="002A0DBE"/>
    <w:rsid w:val="002A0F2F"/>
    <w:rsid w:val="002A1394"/>
    <w:rsid w:val="002A1737"/>
    <w:rsid w:val="002A1991"/>
    <w:rsid w:val="002A1F31"/>
    <w:rsid w:val="002A2EBC"/>
    <w:rsid w:val="002A31CC"/>
    <w:rsid w:val="002A3270"/>
    <w:rsid w:val="002A3336"/>
    <w:rsid w:val="002A361F"/>
    <w:rsid w:val="002A37B1"/>
    <w:rsid w:val="002A3873"/>
    <w:rsid w:val="002A39B0"/>
    <w:rsid w:val="002A3A11"/>
    <w:rsid w:val="002A3A61"/>
    <w:rsid w:val="002A3AED"/>
    <w:rsid w:val="002A461C"/>
    <w:rsid w:val="002A47F5"/>
    <w:rsid w:val="002A48E4"/>
    <w:rsid w:val="002A4BC9"/>
    <w:rsid w:val="002A4EDF"/>
    <w:rsid w:val="002A4F1F"/>
    <w:rsid w:val="002A5102"/>
    <w:rsid w:val="002A51FC"/>
    <w:rsid w:val="002A55F1"/>
    <w:rsid w:val="002A562F"/>
    <w:rsid w:val="002A581B"/>
    <w:rsid w:val="002A5BC7"/>
    <w:rsid w:val="002A5C79"/>
    <w:rsid w:val="002A61C5"/>
    <w:rsid w:val="002A6243"/>
    <w:rsid w:val="002A6415"/>
    <w:rsid w:val="002A6622"/>
    <w:rsid w:val="002A6C55"/>
    <w:rsid w:val="002A751A"/>
    <w:rsid w:val="002A7616"/>
    <w:rsid w:val="002A7DF9"/>
    <w:rsid w:val="002B0053"/>
    <w:rsid w:val="002B005B"/>
    <w:rsid w:val="002B04EE"/>
    <w:rsid w:val="002B087C"/>
    <w:rsid w:val="002B1035"/>
    <w:rsid w:val="002B1226"/>
    <w:rsid w:val="002B1604"/>
    <w:rsid w:val="002B1817"/>
    <w:rsid w:val="002B186D"/>
    <w:rsid w:val="002B19EA"/>
    <w:rsid w:val="002B1CD3"/>
    <w:rsid w:val="002B204A"/>
    <w:rsid w:val="002B24CE"/>
    <w:rsid w:val="002B287F"/>
    <w:rsid w:val="002B2CA7"/>
    <w:rsid w:val="002B34CA"/>
    <w:rsid w:val="002B36BD"/>
    <w:rsid w:val="002B38F1"/>
    <w:rsid w:val="002B3DE9"/>
    <w:rsid w:val="002B4323"/>
    <w:rsid w:val="002B4534"/>
    <w:rsid w:val="002B484B"/>
    <w:rsid w:val="002B4E19"/>
    <w:rsid w:val="002B50AF"/>
    <w:rsid w:val="002B5A04"/>
    <w:rsid w:val="002B5A3F"/>
    <w:rsid w:val="002B5A48"/>
    <w:rsid w:val="002B5E28"/>
    <w:rsid w:val="002B5EDD"/>
    <w:rsid w:val="002B6100"/>
    <w:rsid w:val="002B6486"/>
    <w:rsid w:val="002B6DDA"/>
    <w:rsid w:val="002B6DF0"/>
    <w:rsid w:val="002B6F62"/>
    <w:rsid w:val="002B7141"/>
    <w:rsid w:val="002B756C"/>
    <w:rsid w:val="002B758C"/>
    <w:rsid w:val="002B75E7"/>
    <w:rsid w:val="002B75EC"/>
    <w:rsid w:val="002B7869"/>
    <w:rsid w:val="002B7B5F"/>
    <w:rsid w:val="002B7BDC"/>
    <w:rsid w:val="002C03DE"/>
    <w:rsid w:val="002C04D4"/>
    <w:rsid w:val="002C0BA3"/>
    <w:rsid w:val="002C133E"/>
    <w:rsid w:val="002C1708"/>
    <w:rsid w:val="002C1B55"/>
    <w:rsid w:val="002C1ED7"/>
    <w:rsid w:val="002C218E"/>
    <w:rsid w:val="002C243D"/>
    <w:rsid w:val="002C3906"/>
    <w:rsid w:val="002C394C"/>
    <w:rsid w:val="002C3B68"/>
    <w:rsid w:val="002C3F3B"/>
    <w:rsid w:val="002C3F83"/>
    <w:rsid w:val="002C4070"/>
    <w:rsid w:val="002C40D1"/>
    <w:rsid w:val="002C42D9"/>
    <w:rsid w:val="002C42DC"/>
    <w:rsid w:val="002C4824"/>
    <w:rsid w:val="002C491A"/>
    <w:rsid w:val="002C49C2"/>
    <w:rsid w:val="002C4D1B"/>
    <w:rsid w:val="002C5122"/>
    <w:rsid w:val="002C5314"/>
    <w:rsid w:val="002C540D"/>
    <w:rsid w:val="002C5A9A"/>
    <w:rsid w:val="002C5ABC"/>
    <w:rsid w:val="002C5BC4"/>
    <w:rsid w:val="002C5C73"/>
    <w:rsid w:val="002C5DE8"/>
    <w:rsid w:val="002C6DF9"/>
    <w:rsid w:val="002C713F"/>
    <w:rsid w:val="002C7218"/>
    <w:rsid w:val="002C73FE"/>
    <w:rsid w:val="002C7414"/>
    <w:rsid w:val="002C746C"/>
    <w:rsid w:val="002C754B"/>
    <w:rsid w:val="002C7F7C"/>
    <w:rsid w:val="002D0812"/>
    <w:rsid w:val="002D099F"/>
    <w:rsid w:val="002D0B94"/>
    <w:rsid w:val="002D1017"/>
    <w:rsid w:val="002D1027"/>
    <w:rsid w:val="002D1221"/>
    <w:rsid w:val="002D19E5"/>
    <w:rsid w:val="002D1CC2"/>
    <w:rsid w:val="002D2191"/>
    <w:rsid w:val="002D2478"/>
    <w:rsid w:val="002D2487"/>
    <w:rsid w:val="002D2761"/>
    <w:rsid w:val="002D2E20"/>
    <w:rsid w:val="002D2E48"/>
    <w:rsid w:val="002D2EA7"/>
    <w:rsid w:val="002D2FD7"/>
    <w:rsid w:val="002D3A96"/>
    <w:rsid w:val="002D3E3F"/>
    <w:rsid w:val="002D3EBE"/>
    <w:rsid w:val="002D3FB9"/>
    <w:rsid w:val="002D41EF"/>
    <w:rsid w:val="002D4A88"/>
    <w:rsid w:val="002D4B0D"/>
    <w:rsid w:val="002D4B2D"/>
    <w:rsid w:val="002D4CE0"/>
    <w:rsid w:val="002D5070"/>
    <w:rsid w:val="002D53F1"/>
    <w:rsid w:val="002D54A5"/>
    <w:rsid w:val="002D58E1"/>
    <w:rsid w:val="002D5A19"/>
    <w:rsid w:val="002D5D40"/>
    <w:rsid w:val="002D60F0"/>
    <w:rsid w:val="002D653F"/>
    <w:rsid w:val="002D67B2"/>
    <w:rsid w:val="002D6B31"/>
    <w:rsid w:val="002D7274"/>
    <w:rsid w:val="002D79F5"/>
    <w:rsid w:val="002D7ADC"/>
    <w:rsid w:val="002D7B8F"/>
    <w:rsid w:val="002D7FC2"/>
    <w:rsid w:val="002E0095"/>
    <w:rsid w:val="002E0405"/>
    <w:rsid w:val="002E052A"/>
    <w:rsid w:val="002E093B"/>
    <w:rsid w:val="002E14E0"/>
    <w:rsid w:val="002E170C"/>
    <w:rsid w:val="002E173C"/>
    <w:rsid w:val="002E1B42"/>
    <w:rsid w:val="002E1BDA"/>
    <w:rsid w:val="002E1F4F"/>
    <w:rsid w:val="002E1F5E"/>
    <w:rsid w:val="002E2197"/>
    <w:rsid w:val="002E220B"/>
    <w:rsid w:val="002E233F"/>
    <w:rsid w:val="002E2588"/>
    <w:rsid w:val="002E2FE2"/>
    <w:rsid w:val="002E301E"/>
    <w:rsid w:val="002E3345"/>
    <w:rsid w:val="002E3505"/>
    <w:rsid w:val="002E35E1"/>
    <w:rsid w:val="002E3623"/>
    <w:rsid w:val="002E367C"/>
    <w:rsid w:val="002E3D81"/>
    <w:rsid w:val="002E41B4"/>
    <w:rsid w:val="002E430A"/>
    <w:rsid w:val="002E4338"/>
    <w:rsid w:val="002E443A"/>
    <w:rsid w:val="002E47DC"/>
    <w:rsid w:val="002E489F"/>
    <w:rsid w:val="002E4A9E"/>
    <w:rsid w:val="002E4C91"/>
    <w:rsid w:val="002E4E4C"/>
    <w:rsid w:val="002E4E5A"/>
    <w:rsid w:val="002E5382"/>
    <w:rsid w:val="002E5A41"/>
    <w:rsid w:val="002E5CAB"/>
    <w:rsid w:val="002E5E35"/>
    <w:rsid w:val="002E645C"/>
    <w:rsid w:val="002E6970"/>
    <w:rsid w:val="002E6B16"/>
    <w:rsid w:val="002E6B9B"/>
    <w:rsid w:val="002E6E77"/>
    <w:rsid w:val="002E6FF5"/>
    <w:rsid w:val="002E7070"/>
    <w:rsid w:val="002E7106"/>
    <w:rsid w:val="002E715B"/>
    <w:rsid w:val="002E7507"/>
    <w:rsid w:val="002E76D4"/>
    <w:rsid w:val="002E76E8"/>
    <w:rsid w:val="002E7A07"/>
    <w:rsid w:val="002E7C61"/>
    <w:rsid w:val="002E7D83"/>
    <w:rsid w:val="002E7DC7"/>
    <w:rsid w:val="002E7DEF"/>
    <w:rsid w:val="002F02CE"/>
    <w:rsid w:val="002F0595"/>
    <w:rsid w:val="002F097F"/>
    <w:rsid w:val="002F0DB3"/>
    <w:rsid w:val="002F1199"/>
    <w:rsid w:val="002F158D"/>
    <w:rsid w:val="002F18EC"/>
    <w:rsid w:val="002F1ABA"/>
    <w:rsid w:val="002F1CEB"/>
    <w:rsid w:val="002F21B8"/>
    <w:rsid w:val="002F2334"/>
    <w:rsid w:val="002F23EA"/>
    <w:rsid w:val="002F241B"/>
    <w:rsid w:val="002F24AF"/>
    <w:rsid w:val="002F2791"/>
    <w:rsid w:val="002F2A31"/>
    <w:rsid w:val="002F2A62"/>
    <w:rsid w:val="002F2B17"/>
    <w:rsid w:val="002F2EAA"/>
    <w:rsid w:val="002F3031"/>
    <w:rsid w:val="002F31E0"/>
    <w:rsid w:val="002F3C22"/>
    <w:rsid w:val="002F3F66"/>
    <w:rsid w:val="002F3FED"/>
    <w:rsid w:val="002F4326"/>
    <w:rsid w:val="002F47C0"/>
    <w:rsid w:val="002F4949"/>
    <w:rsid w:val="002F4E39"/>
    <w:rsid w:val="002F56F9"/>
    <w:rsid w:val="002F5792"/>
    <w:rsid w:val="002F5BCB"/>
    <w:rsid w:val="002F5D79"/>
    <w:rsid w:val="002F61D9"/>
    <w:rsid w:val="002F6C9C"/>
    <w:rsid w:val="002F7348"/>
    <w:rsid w:val="002F7423"/>
    <w:rsid w:val="002F788E"/>
    <w:rsid w:val="002F7B9A"/>
    <w:rsid w:val="002F7D64"/>
    <w:rsid w:val="00300129"/>
    <w:rsid w:val="00300200"/>
    <w:rsid w:val="003003A1"/>
    <w:rsid w:val="00300563"/>
    <w:rsid w:val="0030063F"/>
    <w:rsid w:val="00300A8E"/>
    <w:rsid w:val="00300B9D"/>
    <w:rsid w:val="00300C9A"/>
    <w:rsid w:val="00300CF6"/>
    <w:rsid w:val="0030106A"/>
    <w:rsid w:val="003010B8"/>
    <w:rsid w:val="0030135F"/>
    <w:rsid w:val="00301924"/>
    <w:rsid w:val="0030219C"/>
    <w:rsid w:val="003029D1"/>
    <w:rsid w:val="00302CC6"/>
    <w:rsid w:val="003037BD"/>
    <w:rsid w:val="0030388E"/>
    <w:rsid w:val="00304022"/>
    <w:rsid w:val="003048F1"/>
    <w:rsid w:val="00304A58"/>
    <w:rsid w:val="00304B62"/>
    <w:rsid w:val="00304C2D"/>
    <w:rsid w:val="00304D37"/>
    <w:rsid w:val="0030521F"/>
    <w:rsid w:val="003052A3"/>
    <w:rsid w:val="00305422"/>
    <w:rsid w:val="0030567F"/>
    <w:rsid w:val="00305823"/>
    <w:rsid w:val="003065AF"/>
    <w:rsid w:val="003066D7"/>
    <w:rsid w:val="0030749C"/>
    <w:rsid w:val="0030762C"/>
    <w:rsid w:val="003078C4"/>
    <w:rsid w:val="003078FD"/>
    <w:rsid w:val="00307D7D"/>
    <w:rsid w:val="00307E3F"/>
    <w:rsid w:val="00310118"/>
    <w:rsid w:val="00310542"/>
    <w:rsid w:val="003106A6"/>
    <w:rsid w:val="00310CE4"/>
    <w:rsid w:val="00310E6B"/>
    <w:rsid w:val="00311048"/>
    <w:rsid w:val="0031107F"/>
    <w:rsid w:val="00311383"/>
    <w:rsid w:val="00311553"/>
    <w:rsid w:val="00311696"/>
    <w:rsid w:val="00311CF4"/>
    <w:rsid w:val="003123A5"/>
    <w:rsid w:val="00313237"/>
    <w:rsid w:val="0031325E"/>
    <w:rsid w:val="003132DE"/>
    <w:rsid w:val="003138E6"/>
    <w:rsid w:val="00313A0D"/>
    <w:rsid w:val="00313A7D"/>
    <w:rsid w:val="0031438F"/>
    <w:rsid w:val="003144F8"/>
    <w:rsid w:val="00314A7F"/>
    <w:rsid w:val="00314C82"/>
    <w:rsid w:val="00314FB5"/>
    <w:rsid w:val="00315481"/>
    <w:rsid w:val="00315531"/>
    <w:rsid w:val="0031559D"/>
    <w:rsid w:val="00315811"/>
    <w:rsid w:val="0031617C"/>
    <w:rsid w:val="0031658B"/>
    <w:rsid w:val="003166EF"/>
    <w:rsid w:val="00316A08"/>
    <w:rsid w:val="00316A10"/>
    <w:rsid w:val="00316B40"/>
    <w:rsid w:val="00316C18"/>
    <w:rsid w:val="00316F36"/>
    <w:rsid w:val="00316F9A"/>
    <w:rsid w:val="003170C3"/>
    <w:rsid w:val="00317614"/>
    <w:rsid w:val="0031761E"/>
    <w:rsid w:val="00317716"/>
    <w:rsid w:val="0032033A"/>
    <w:rsid w:val="003209A9"/>
    <w:rsid w:val="003209CD"/>
    <w:rsid w:val="00320A48"/>
    <w:rsid w:val="00320FB4"/>
    <w:rsid w:val="00321163"/>
    <w:rsid w:val="0032131B"/>
    <w:rsid w:val="003214E7"/>
    <w:rsid w:val="00321955"/>
    <w:rsid w:val="00321DA1"/>
    <w:rsid w:val="00321DCC"/>
    <w:rsid w:val="00322712"/>
    <w:rsid w:val="00322CFA"/>
    <w:rsid w:val="00323153"/>
    <w:rsid w:val="003235E9"/>
    <w:rsid w:val="0032376E"/>
    <w:rsid w:val="003239FC"/>
    <w:rsid w:val="00323ADA"/>
    <w:rsid w:val="00323BA8"/>
    <w:rsid w:val="00323BE8"/>
    <w:rsid w:val="00323C4B"/>
    <w:rsid w:val="00323CA1"/>
    <w:rsid w:val="00324290"/>
    <w:rsid w:val="00324ADA"/>
    <w:rsid w:val="00324B2C"/>
    <w:rsid w:val="00324CD7"/>
    <w:rsid w:val="00324E98"/>
    <w:rsid w:val="003253E7"/>
    <w:rsid w:val="003255E9"/>
    <w:rsid w:val="00325EC0"/>
    <w:rsid w:val="003265DE"/>
    <w:rsid w:val="0032669D"/>
    <w:rsid w:val="00327055"/>
    <w:rsid w:val="00327385"/>
    <w:rsid w:val="00327EBF"/>
    <w:rsid w:val="0033019E"/>
    <w:rsid w:val="00330410"/>
    <w:rsid w:val="00330837"/>
    <w:rsid w:val="00330D07"/>
    <w:rsid w:val="0033198D"/>
    <w:rsid w:val="00331A4E"/>
    <w:rsid w:val="00331BB9"/>
    <w:rsid w:val="00331DCC"/>
    <w:rsid w:val="003323CF"/>
    <w:rsid w:val="00332604"/>
    <w:rsid w:val="0033266D"/>
    <w:rsid w:val="00332972"/>
    <w:rsid w:val="003329FD"/>
    <w:rsid w:val="00332C31"/>
    <w:rsid w:val="00332D3B"/>
    <w:rsid w:val="00332E1C"/>
    <w:rsid w:val="00333543"/>
    <w:rsid w:val="00333584"/>
    <w:rsid w:val="00333ADB"/>
    <w:rsid w:val="00333E2F"/>
    <w:rsid w:val="00333EBB"/>
    <w:rsid w:val="003340C3"/>
    <w:rsid w:val="00334A63"/>
    <w:rsid w:val="00334E39"/>
    <w:rsid w:val="00334E40"/>
    <w:rsid w:val="00334EED"/>
    <w:rsid w:val="00334F90"/>
    <w:rsid w:val="00335149"/>
    <w:rsid w:val="00335319"/>
    <w:rsid w:val="00335C99"/>
    <w:rsid w:val="00335E64"/>
    <w:rsid w:val="0033641D"/>
    <w:rsid w:val="003369D2"/>
    <w:rsid w:val="00336BFC"/>
    <w:rsid w:val="00337252"/>
    <w:rsid w:val="00337780"/>
    <w:rsid w:val="00340146"/>
    <w:rsid w:val="00340958"/>
    <w:rsid w:val="00340A95"/>
    <w:rsid w:val="00341066"/>
    <w:rsid w:val="003411C4"/>
    <w:rsid w:val="00341251"/>
    <w:rsid w:val="0034170D"/>
    <w:rsid w:val="003417AB"/>
    <w:rsid w:val="003418FD"/>
    <w:rsid w:val="00341917"/>
    <w:rsid w:val="003420BD"/>
    <w:rsid w:val="00342322"/>
    <w:rsid w:val="00342436"/>
    <w:rsid w:val="00342B7F"/>
    <w:rsid w:val="00342C90"/>
    <w:rsid w:val="00342E92"/>
    <w:rsid w:val="003430B8"/>
    <w:rsid w:val="00343133"/>
    <w:rsid w:val="003432B8"/>
    <w:rsid w:val="003433DA"/>
    <w:rsid w:val="00343881"/>
    <w:rsid w:val="00343AC9"/>
    <w:rsid w:val="00343DF6"/>
    <w:rsid w:val="003441C3"/>
    <w:rsid w:val="00344279"/>
    <w:rsid w:val="003442A4"/>
    <w:rsid w:val="00344AD4"/>
    <w:rsid w:val="00344B40"/>
    <w:rsid w:val="00344F51"/>
    <w:rsid w:val="00344FA0"/>
    <w:rsid w:val="00345CB3"/>
    <w:rsid w:val="00345E77"/>
    <w:rsid w:val="00345EC9"/>
    <w:rsid w:val="00345F02"/>
    <w:rsid w:val="0034676C"/>
    <w:rsid w:val="00346BCD"/>
    <w:rsid w:val="00346EC8"/>
    <w:rsid w:val="00346EF3"/>
    <w:rsid w:val="00347079"/>
    <w:rsid w:val="003470B0"/>
    <w:rsid w:val="00347555"/>
    <w:rsid w:val="00347884"/>
    <w:rsid w:val="00347DF6"/>
    <w:rsid w:val="00350067"/>
    <w:rsid w:val="0035036A"/>
    <w:rsid w:val="0035046F"/>
    <w:rsid w:val="003505D7"/>
    <w:rsid w:val="00350851"/>
    <w:rsid w:val="00350A6F"/>
    <w:rsid w:val="00350AED"/>
    <w:rsid w:val="00350B9F"/>
    <w:rsid w:val="00350C85"/>
    <w:rsid w:val="00350E11"/>
    <w:rsid w:val="00350EBE"/>
    <w:rsid w:val="003511E3"/>
    <w:rsid w:val="0035128C"/>
    <w:rsid w:val="0035128F"/>
    <w:rsid w:val="00351906"/>
    <w:rsid w:val="0035195C"/>
    <w:rsid w:val="00351A90"/>
    <w:rsid w:val="00351BE0"/>
    <w:rsid w:val="00352487"/>
    <w:rsid w:val="0035249F"/>
    <w:rsid w:val="003524A3"/>
    <w:rsid w:val="00352848"/>
    <w:rsid w:val="0035290A"/>
    <w:rsid w:val="003530B3"/>
    <w:rsid w:val="00353959"/>
    <w:rsid w:val="00353A67"/>
    <w:rsid w:val="00353B6B"/>
    <w:rsid w:val="00353B9D"/>
    <w:rsid w:val="00353D22"/>
    <w:rsid w:val="00353DEE"/>
    <w:rsid w:val="0035440F"/>
    <w:rsid w:val="0035457D"/>
    <w:rsid w:val="00354664"/>
    <w:rsid w:val="003547C4"/>
    <w:rsid w:val="00354805"/>
    <w:rsid w:val="00355066"/>
    <w:rsid w:val="003553A1"/>
    <w:rsid w:val="00355494"/>
    <w:rsid w:val="0035568E"/>
    <w:rsid w:val="003556B9"/>
    <w:rsid w:val="00355D74"/>
    <w:rsid w:val="00355E0E"/>
    <w:rsid w:val="0035611D"/>
    <w:rsid w:val="003569BE"/>
    <w:rsid w:val="00356A77"/>
    <w:rsid w:val="00357093"/>
    <w:rsid w:val="00357CFB"/>
    <w:rsid w:val="00360064"/>
    <w:rsid w:val="00360094"/>
    <w:rsid w:val="003602EB"/>
    <w:rsid w:val="00360348"/>
    <w:rsid w:val="0036065F"/>
    <w:rsid w:val="003607B9"/>
    <w:rsid w:val="00360989"/>
    <w:rsid w:val="00360C1A"/>
    <w:rsid w:val="00361239"/>
    <w:rsid w:val="00361294"/>
    <w:rsid w:val="003619B7"/>
    <w:rsid w:val="00361E50"/>
    <w:rsid w:val="003620B1"/>
    <w:rsid w:val="00362327"/>
    <w:rsid w:val="0036232C"/>
    <w:rsid w:val="00362498"/>
    <w:rsid w:val="00362690"/>
    <w:rsid w:val="003626DC"/>
    <w:rsid w:val="0036270C"/>
    <w:rsid w:val="00362E66"/>
    <w:rsid w:val="0036371C"/>
    <w:rsid w:val="00364029"/>
    <w:rsid w:val="00364B4F"/>
    <w:rsid w:val="00365288"/>
    <w:rsid w:val="00365360"/>
    <w:rsid w:val="00365505"/>
    <w:rsid w:val="00365538"/>
    <w:rsid w:val="00365643"/>
    <w:rsid w:val="00365833"/>
    <w:rsid w:val="00365A7E"/>
    <w:rsid w:val="00366857"/>
    <w:rsid w:val="00366911"/>
    <w:rsid w:val="00366B5D"/>
    <w:rsid w:val="00366BC7"/>
    <w:rsid w:val="00366D24"/>
    <w:rsid w:val="00366E1A"/>
    <w:rsid w:val="00366EB1"/>
    <w:rsid w:val="00367284"/>
    <w:rsid w:val="00367950"/>
    <w:rsid w:val="00367A29"/>
    <w:rsid w:val="00370481"/>
    <w:rsid w:val="0037058B"/>
    <w:rsid w:val="003705E1"/>
    <w:rsid w:val="00370882"/>
    <w:rsid w:val="00370D5B"/>
    <w:rsid w:val="00370F11"/>
    <w:rsid w:val="00370F5D"/>
    <w:rsid w:val="00371088"/>
    <w:rsid w:val="00371144"/>
    <w:rsid w:val="0037151A"/>
    <w:rsid w:val="0037154D"/>
    <w:rsid w:val="003716C8"/>
    <w:rsid w:val="003720A3"/>
    <w:rsid w:val="00372211"/>
    <w:rsid w:val="003725F4"/>
    <w:rsid w:val="00372953"/>
    <w:rsid w:val="003729F9"/>
    <w:rsid w:val="00372BE2"/>
    <w:rsid w:val="00372CC7"/>
    <w:rsid w:val="00373ACF"/>
    <w:rsid w:val="00373E1E"/>
    <w:rsid w:val="00374097"/>
    <w:rsid w:val="003745E5"/>
    <w:rsid w:val="00374ADC"/>
    <w:rsid w:val="003751BC"/>
    <w:rsid w:val="00375263"/>
    <w:rsid w:val="003753CF"/>
    <w:rsid w:val="00375451"/>
    <w:rsid w:val="00375BF5"/>
    <w:rsid w:val="00375F87"/>
    <w:rsid w:val="00376582"/>
    <w:rsid w:val="003768EF"/>
    <w:rsid w:val="00376B1C"/>
    <w:rsid w:val="00376F62"/>
    <w:rsid w:val="003773DC"/>
    <w:rsid w:val="003776D0"/>
    <w:rsid w:val="003777CF"/>
    <w:rsid w:val="00377C4A"/>
    <w:rsid w:val="00377CBE"/>
    <w:rsid w:val="00377CF0"/>
    <w:rsid w:val="00377F33"/>
    <w:rsid w:val="0038018D"/>
    <w:rsid w:val="00380756"/>
    <w:rsid w:val="00380F4E"/>
    <w:rsid w:val="00381548"/>
    <w:rsid w:val="0038186C"/>
    <w:rsid w:val="00381CB1"/>
    <w:rsid w:val="00382086"/>
    <w:rsid w:val="00382181"/>
    <w:rsid w:val="003825C1"/>
    <w:rsid w:val="0038267E"/>
    <w:rsid w:val="003829B3"/>
    <w:rsid w:val="003829E9"/>
    <w:rsid w:val="00382B6F"/>
    <w:rsid w:val="00382E95"/>
    <w:rsid w:val="00382EDD"/>
    <w:rsid w:val="003832B8"/>
    <w:rsid w:val="00383695"/>
    <w:rsid w:val="0038370C"/>
    <w:rsid w:val="00383798"/>
    <w:rsid w:val="00383B2C"/>
    <w:rsid w:val="0038461D"/>
    <w:rsid w:val="00384CD9"/>
    <w:rsid w:val="0038528D"/>
    <w:rsid w:val="0038557D"/>
    <w:rsid w:val="003859EA"/>
    <w:rsid w:val="00385CEA"/>
    <w:rsid w:val="00385DE3"/>
    <w:rsid w:val="00385F39"/>
    <w:rsid w:val="003860E8"/>
    <w:rsid w:val="00386579"/>
    <w:rsid w:val="00386633"/>
    <w:rsid w:val="0038663A"/>
    <w:rsid w:val="00386815"/>
    <w:rsid w:val="0038697D"/>
    <w:rsid w:val="00387167"/>
    <w:rsid w:val="0038722E"/>
    <w:rsid w:val="003872C2"/>
    <w:rsid w:val="003875B0"/>
    <w:rsid w:val="00387729"/>
    <w:rsid w:val="00387B5F"/>
    <w:rsid w:val="00387C80"/>
    <w:rsid w:val="00387C93"/>
    <w:rsid w:val="00387D0F"/>
    <w:rsid w:val="00387D64"/>
    <w:rsid w:val="00387DED"/>
    <w:rsid w:val="00387EEB"/>
    <w:rsid w:val="0039022F"/>
    <w:rsid w:val="003903E3"/>
    <w:rsid w:val="00390513"/>
    <w:rsid w:val="003906FE"/>
    <w:rsid w:val="00390820"/>
    <w:rsid w:val="00390925"/>
    <w:rsid w:val="003909F5"/>
    <w:rsid w:val="00390FE0"/>
    <w:rsid w:val="003913D8"/>
    <w:rsid w:val="00391529"/>
    <w:rsid w:val="0039161E"/>
    <w:rsid w:val="00391832"/>
    <w:rsid w:val="00391DE9"/>
    <w:rsid w:val="00391E2F"/>
    <w:rsid w:val="003927E3"/>
    <w:rsid w:val="00392E86"/>
    <w:rsid w:val="003930B4"/>
    <w:rsid w:val="003932BD"/>
    <w:rsid w:val="0039382D"/>
    <w:rsid w:val="00393E3C"/>
    <w:rsid w:val="00394034"/>
    <w:rsid w:val="003941AF"/>
    <w:rsid w:val="003942BF"/>
    <w:rsid w:val="00394CB2"/>
    <w:rsid w:val="00395151"/>
    <w:rsid w:val="00395188"/>
    <w:rsid w:val="003951DD"/>
    <w:rsid w:val="0039532E"/>
    <w:rsid w:val="003955BA"/>
    <w:rsid w:val="00395A3A"/>
    <w:rsid w:val="00395BAF"/>
    <w:rsid w:val="00395F18"/>
    <w:rsid w:val="003960FC"/>
    <w:rsid w:val="0039624B"/>
    <w:rsid w:val="00396450"/>
    <w:rsid w:val="00396A45"/>
    <w:rsid w:val="00396C93"/>
    <w:rsid w:val="00396CC8"/>
    <w:rsid w:val="00396E16"/>
    <w:rsid w:val="00396F20"/>
    <w:rsid w:val="00397474"/>
    <w:rsid w:val="00397627"/>
    <w:rsid w:val="0039764F"/>
    <w:rsid w:val="00397716"/>
    <w:rsid w:val="003978CA"/>
    <w:rsid w:val="00397B16"/>
    <w:rsid w:val="00397C0D"/>
    <w:rsid w:val="00397D80"/>
    <w:rsid w:val="003A00C4"/>
    <w:rsid w:val="003A061E"/>
    <w:rsid w:val="003A090D"/>
    <w:rsid w:val="003A0AB1"/>
    <w:rsid w:val="003A0D0D"/>
    <w:rsid w:val="003A1353"/>
    <w:rsid w:val="003A13A5"/>
    <w:rsid w:val="003A1441"/>
    <w:rsid w:val="003A1591"/>
    <w:rsid w:val="003A17F7"/>
    <w:rsid w:val="003A19FD"/>
    <w:rsid w:val="003A1FB5"/>
    <w:rsid w:val="003A2035"/>
    <w:rsid w:val="003A2D2C"/>
    <w:rsid w:val="003A34CC"/>
    <w:rsid w:val="003A35C6"/>
    <w:rsid w:val="003A3642"/>
    <w:rsid w:val="003A3DDA"/>
    <w:rsid w:val="003A406C"/>
    <w:rsid w:val="003A42F6"/>
    <w:rsid w:val="003A45D6"/>
    <w:rsid w:val="003A474D"/>
    <w:rsid w:val="003A49EE"/>
    <w:rsid w:val="003A4EE8"/>
    <w:rsid w:val="003A5081"/>
    <w:rsid w:val="003A52B9"/>
    <w:rsid w:val="003A55DF"/>
    <w:rsid w:val="003A57DF"/>
    <w:rsid w:val="003A5824"/>
    <w:rsid w:val="003A58D7"/>
    <w:rsid w:val="003A5B1F"/>
    <w:rsid w:val="003A5B21"/>
    <w:rsid w:val="003A5D33"/>
    <w:rsid w:val="003A5F70"/>
    <w:rsid w:val="003A6080"/>
    <w:rsid w:val="003A61F8"/>
    <w:rsid w:val="003A6549"/>
    <w:rsid w:val="003A6C5F"/>
    <w:rsid w:val="003A6C7D"/>
    <w:rsid w:val="003A7392"/>
    <w:rsid w:val="003A773A"/>
    <w:rsid w:val="003A7974"/>
    <w:rsid w:val="003A7DE4"/>
    <w:rsid w:val="003A7E8C"/>
    <w:rsid w:val="003A7F35"/>
    <w:rsid w:val="003A7FC4"/>
    <w:rsid w:val="003B01E9"/>
    <w:rsid w:val="003B026D"/>
    <w:rsid w:val="003B0335"/>
    <w:rsid w:val="003B0416"/>
    <w:rsid w:val="003B047E"/>
    <w:rsid w:val="003B06D8"/>
    <w:rsid w:val="003B0CE2"/>
    <w:rsid w:val="003B0E44"/>
    <w:rsid w:val="003B138B"/>
    <w:rsid w:val="003B1593"/>
    <w:rsid w:val="003B1A37"/>
    <w:rsid w:val="003B1C9C"/>
    <w:rsid w:val="003B2175"/>
    <w:rsid w:val="003B24BD"/>
    <w:rsid w:val="003B2CAF"/>
    <w:rsid w:val="003B303B"/>
    <w:rsid w:val="003B3170"/>
    <w:rsid w:val="003B31D7"/>
    <w:rsid w:val="003B324B"/>
    <w:rsid w:val="003B35B0"/>
    <w:rsid w:val="003B37DC"/>
    <w:rsid w:val="003B4010"/>
    <w:rsid w:val="003B4336"/>
    <w:rsid w:val="003B4434"/>
    <w:rsid w:val="003B473D"/>
    <w:rsid w:val="003B4A23"/>
    <w:rsid w:val="003B4B2D"/>
    <w:rsid w:val="003B4BB5"/>
    <w:rsid w:val="003B53B8"/>
    <w:rsid w:val="003B58B4"/>
    <w:rsid w:val="003B5ADD"/>
    <w:rsid w:val="003B5B0C"/>
    <w:rsid w:val="003B5FC8"/>
    <w:rsid w:val="003B6348"/>
    <w:rsid w:val="003B640E"/>
    <w:rsid w:val="003B64F2"/>
    <w:rsid w:val="003B6903"/>
    <w:rsid w:val="003B6BF7"/>
    <w:rsid w:val="003B6E06"/>
    <w:rsid w:val="003B6FA7"/>
    <w:rsid w:val="003B7471"/>
    <w:rsid w:val="003B7B87"/>
    <w:rsid w:val="003B7CC2"/>
    <w:rsid w:val="003C0054"/>
    <w:rsid w:val="003C0178"/>
    <w:rsid w:val="003C02E9"/>
    <w:rsid w:val="003C0684"/>
    <w:rsid w:val="003C09B7"/>
    <w:rsid w:val="003C0A09"/>
    <w:rsid w:val="003C0D5C"/>
    <w:rsid w:val="003C0E4E"/>
    <w:rsid w:val="003C1092"/>
    <w:rsid w:val="003C13DC"/>
    <w:rsid w:val="003C16A5"/>
    <w:rsid w:val="003C1914"/>
    <w:rsid w:val="003C1A47"/>
    <w:rsid w:val="003C1E04"/>
    <w:rsid w:val="003C2063"/>
    <w:rsid w:val="003C2C85"/>
    <w:rsid w:val="003C2EAA"/>
    <w:rsid w:val="003C2F71"/>
    <w:rsid w:val="003C3074"/>
    <w:rsid w:val="003C3095"/>
    <w:rsid w:val="003C30A9"/>
    <w:rsid w:val="003C3111"/>
    <w:rsid w:val="003C36E5"/>
    <w:rsid w:val="003C3742"/>
    <w:rsid w:val="003C3832"/>
    <w:rsid w:val="003C40A0"/>
    <w:rsid w:val="003C4136"/>
    <w:rsid w:val="003C420A"/>
    <w:rsid w:val="003C4309"/>
    <w:rsid w:val="003C43E6"/>
    <w:rsid w:val="003C461B"/>
    <w:rsid w:val="003C469B"/>
    <w:rsid w:val="003C4811"/>
    <w:rsid w:val="003C49F3"/>
    <w:rsid w:val="003C4B71"/>
    <w:rsid w:val="003C4FD7"/>
    <w:rsid w:val="003C52C7"/>
    <w:rsid w:val="003C5469"/>
    <w:rsid w:val="003C577A"/>
    <w:rsid w:val="003C58E8"/>
    <w:rsid w:val="003C5ACA"/>
    <w:rsid w:val="003C5E80"/>
    <w:rsid w:val="003C6399"/>
    <w:rsid w:val="003C6497"/>
    <w:rsid w:val="003C6A56"/>
    <w:rsid w:val="003C6B67"/>
    <w:rsid w:val="003C73C7"/>
    <w:rsid w:val="003C7887"/>
    <w:rsid w:val="003C794F"/>
    <w:rsid w:val="003C7987"/>
    <w:rsid w:val="003C7A63"/>
    <w:rsid w:val="003C7E95"/>
    <w:rsid w:val="003D03B7"/>
    <w:rsid w:val="003D04C3"/>
    <w:rsid w:val="003D0774"/>
    <w:rsid w:val="003D0AEE"/>
    <w:rsid w:val="003D0E86"/>
    <w:rsid w:val="003D102A"/>
    <w:rsid w:val="003D1175"/>
    <w:rsid w:val="003D133C"/>
    <w:rsid w:val="003D1408"/>
    <w:rsid w:val="003D16E3"/>
    <w:rsid w:val="003D19B2"/>
    <w:rsid w:val="003D1F54"/>
    <w:rsid w:val="003D1FA3"/>
    <w:rsid w:val="003D220D"/>
    <w:rsid w:val="003D233D"/>
    <w:rsid w:val="003D2604"/>
    <w:rsid w:val="003D2CE1"/>
    <w:rsid w:val="003D2D15"/>
    <w:rsid w:val="003D3202"/>
    <w:rsid w:val="003D326B"/>
    <w:rsid w:val="003D36F8"/>
    <w:rsid w:val="003D38AA"/>
    <w:rsid w:val="003D3A3B"/>
    <w:rsid w:val="003D3BFC"/>
    <w:rsid w:val="003D3D9F"/>
    <w:rsid w:val="003D40FA"/>
    <w:rsid w:val="003D41C2"/>
    <w:rsid w:val="003D43CB"/>
    <w:rsid w:val="003D4559"/>
    <w:rsid w:val="003D4B67"/>
    <w:rsid w:val="003D4E8E"/>
    <w:rsid w:val="003D5072"/>
    <w:rsid w:val="003D5138"/>
    <w:rsid w:val="003D540D"/>
    <w:rsid w:val="003D54DE"/>
    <w:rsid w:val="003D550E"/>
    <w:rsid w:val="003D55CE"/>
    <w:rsid w:val="003D57CC"/>
    <w:rsid w:val="003D5837"/>
    <w:rsid w:val="003D5948"/>
    <w:rsid w:val="003D5B3D"/>
    <w:rsid w:val="003D5C56"/>
    <w:rsid w:val="003D5F73"/>
    <w:rsid w:val="003D5FD5"/>
    <w:rsid w:val="003D60D1"/>
    <w:rsid w:val="003D6250"/>
    <w:rsid w:val="003D6321"/>
    <w:rsid w:val="003D6505"/>
    <w:rsid w:val="003D6B50"/>
    <w:rsid w:val="003D6BC5"/>
    <w:rsid w:val="003D6F3B"/>
    <w:rsid w:val="003D77D7"/>
    <w:rsid w:val="003D7B86"/>
    <w:rsid w:val="003E00D2"/>
    <w:rsid w:val="003E0572"/>
    <w:rsid w:val="003E05FA"/>
    <w:rsid w:val="003E062D"/>
    <w:rsid w:val="003E0713"/>
    <w:rsid w:val="003E0E66"/>
    <w:rsid w:val="003E1365"/>
    <w:rsid w:val="003E1460"/>
    <w:rsid w:val="003E1498"/>
    <w:rsid w:val="003E14C2"/>
    <w:rsid w:val="003E15A6"/>
    <w:rsid w:val="003E15E6"/>
    <w:rsid w:val="003E1674"/>
    <w:rsid w:val="003E197C"/>
    <w:rsid w:val="003E1F84"/>
    <w:rsid w:val="003E211D"/>
    <w:rsid w:val="003E22C1"/>
    <w:rsid w:val="003E2436"/>
    <w:rsid w:val="003E28A0"/>
    <w:rsid w:val="003E2A3A"/>
    <w:rsid w:val="003E2C69"/>
    <w:rsid w:val="003E2FAD"/>
    <w:rsid w:val="003E305E"/>
    <w:rsid w:val="003E30AA"/>
    <w:rsid w:val="003E36EB"/>
    <w:rsid w:val="003E38DD"/>
    <w:rsid w:val="003E3B40"/>
    <w:rsid w:val="003E3DAB"/>
    <w:rsid w:val="003E4295"/>
    <w:rsid w:val="003E4918"/>
    <w:rsid w:val="003E4C04"/>
    <w:rsid w:val="003E5400"/>
    <w:rsid w:val="003E5669"/>
    <w:rsid w:val="003E5785"/>
    <w:rsid w:val="003E5CC6"/>
    <w:rsid w:val="003E5F46"/>
    <w:rsid w:val="003E652F"/>
    <w:rsid w:val="003E65E6"/>
    <w:rsid w:val="003E6725"/>
    <w:rsid w:val="003E687C"/>
    <w:rsid w:val="003E6F51"/>
    <w:rsid w:val="003E7434"/>
    <w:rsid w:val="003E7736"/>
    <w:rsid w:val="003E7E2C"/>
    <w:rsid w:val="003F0290"/>
    <w:rsid w:val="003F057E"/>
    <w:rsid w:val="003F11AB"/>
    <w:rsid w:val="003F16D0"/>
    <w:rsid w:val="003F1E46"/>
    <w:rsid w:val="003F1F80"/>
    <w:rsid w:val="003F208D"/>
    <w:rsid w:val="003F26B7"/>
    <w:rsid w:val="003F27F5"/>
    <w:rsid w:val="003F280F"/>
    <w:rsid w:val="003F2F18"/>
    <w:rsid w:val="003F3274"/>
    <w:rsid w:val="003F3433"/>
    <w:rsid w:val="003F352A"/>
    <w:rsid w:val="003F3888"/>
    <w:rsid w:val="003F39C5"/>
    <w:rsid w:val="003F3C45"/>
    <w:rsid w:val="003F3D1E"/>
    <w:rsid w:val="003F4199"/>
    <w:rsid w:val="003F444C"/>
    <w:rsid w:val="003F4777"/>
    <w:rsid w:val="003F47D9"/>
    <w:rsid w:val="003F496E"/>
    <w:rsid w:val="003F4B67"/>
    <w:rsid w:val="003F4CE2"/>
    <w:rsid w:val="003F520E"/>
    <w:rsid w:val="003F529A"/>
    <w:rsid w:val="003F5674"/>
    <w:rsid w:val="003F5757"/>
    <w:rsid w:val="003F5E51"/>
    <w:rsid w:val="003F6173"/>
    <w:rsid w:val="003F6194"/>
    <w:rsid w:val="003F63D9"/>
    <w:rsid w:val="003F661F"/>
    <w:rsid w:val="003F6D38"/>
    <w:rsid w:val="003F6DFC"/>
    <w:rsid w:val="003F6F1C"/>
    <w:rsid w:val="003F7304"/>
    <w:rsid w:val="003F73D8"/>
    <w:rsid w:val="003F78B9"/>
    <w:rsid w:val="003F7E36"/>
    <w:rsid w:val="00400122"/>
    <w:rsid w:val="0040012D"/>
    <w:rsid w:val="00400138"/>
    <w:rsid w:val="004003B1"/>
    <w:rsid w:val="0040064B"/>
    <w:rsid w:val="00400AE3"/>
    <w:rsid w:val="00400B15"/>
    <w:rsid w:val="00400E38"/>
    <w:rsid w:val="0040118C"/>
    <w:rsid w:val="00401503"/>
    <w:rsid w:val="00401584"/>
    <w:rsid w:val="00401621"/>
    <w:rsid w:val="004019B4"/>
    <w:rsid w:val="00401B10"/>
    <w:rsid w:val="00401EA9"/>
    <w:rsid w:val="004020A0"/>
    <w:rsid w:val="00402724"/>
    <w:rsid w:val="004033D2"/>
    <w:rsid w:val="004034AB"/>
    <w:rsid w:val="004035DA"/>
    <w:rsid w:val="00403D7C"/>
    <w:rsid w:val="00403F60"/>
    <w:rsid w:val="00404026"/>
    <w:rsid w:val="00404C01"/>
    <w:rsid w:val="00404CF0"/>
    <w:rsid w:val="00404D26"/>
    <w:rsid w:val="00404D87"/>
    <w:rsid w:val="00404E7A"/>
    <w:rsid w:val="00405040"/>
    <w:rsid w:val="0040550C"/>
    <w:rsid w:val="004056A7"/>
    <w:rsid w:val="004058E2"/>
    <w:rsid w:val="004059B1"/>
    <w:rsid w:val="00405B4B"/>
    <w:rsid w:val="00405B85"/>
    <w:rsid w:val="00405D7C"/>
    <w:rsid w:val="004063D6"/>
    <w:rsid w:val="00406804"/>
    <w:rsid w:val="00406910"/>
    <w:rsid w:val="00406954"/>
    <w:rsid w:val="00406978"/>
    <w:rsid w:val="0040699B"/>
    <w:rsid w:val="00406B5C"/>
    <w:rsid w:val="00406DA6"/>
    <w:rsid w:val="00406FAF"/>
    <w:rsid w:val="00407475"/>
    <w:rsid w:val="004075FA"/>
    <w:rsid w:val="004078AB"/>
    <w:rsid w:val="00407A84"/>
    <w:rsid w:val="00407AFB"/>
    <w:rsid w:val="00407DB8"/>
    <w:rsid w:val="004100F1"/>
    <w:rsid w:val="00410109"/>
    <w:rsid w:val="0041026C"/>
    <w:rsid w:val="00410393"/>
    <w:rsid w:val="0041069A"/>
    <w:rsid w:val="00410BE8"/>
    <w:rsid w:val="00410D96"/>
    <w:rsid w:val="00410DF2"/>
    <w:rsid w:val="00410EA3"/>
    <w:rsid w:val="00410EF5"/>
    <w:rsid w:val="00410F21"/>
    <w:rsid w:val="00411111"/>
    <w:rsid w:val="0041151C"/>
    <w:rsid w:val="0041177B"/>
    <w:rsid w:val="00411911"/>
    <w:rsid w:val="00411C27"/>
    <w:rsid w:val="00411FA2"/>
    <w:rsid w:val="004125BD"/>
    <w:rsid w:val="00413119"/>
    <w:rsid w:val="00413345"/>
    <w:rsid w:val="00413485"/>
    <w:rsid w:val="0041382F"/>
    <w:rsid w:val="00413970"/>
    <w:rsid w:val="00413AFB"/>
    <w:rsid w:val="00413C18"/>
    <w:rsid w:val="00413D44"/>
    <w:rsid w:val="00413F88"/>
    <w:rsid w:val="00413FCE"/>
    <w:rsid w:val="004141C3"/>
    <w:rsid w:val="00414232"/>
    <w:rsid w:val="00414376"/>
    <w:rsid w:val="00414472"/>
    <w:rsid w:val="0041469B"/>
    <w:rsid w:val="004149B8"/>
    <w:rsid w:val="00414B4F"/>
    <w:rsid w:val="00414F4C"/>
    <w:rsid w:val="00415625"/>
    <w:rsid w:val="004159E1"/>
    <w:rsid w:val="00415A1B"/>
    <w:rsid w:val="00415D16"/>
    <w:rsid w:val="004160AF"/>
    <w:rsid w:val="004164E5"/>
    <w:rsid w:val="004167A1"/>
    <w:rsid w:val="004168E1"/>
    <w:rsid w:val="00416EAE"/>
    <w:rsid w:val="00417024"/>
    <w:rsid w:val="00417438"/>
    <w:rsid w:val="0041764F"/>
    <w:rsid w:val="0041772D"/>
    <w:rsid w:val="0041776F"/>
    <w:rsid w:val="004178F0"/>
    <w:rsid w:val="00420130"/>
    <w:rsid w:val="00420150"/>
    <w:rsid w:val="004201FB"/>
    <w:rsid w:val="004204CA"/>
    <w:rsid w:val="00420975"/>
    <w:rsid w:val="00420DE8"/>
    <w:rsid w:val="00421B9B"/>
    <w:rsid w:val="00421D54"/>
    <w:rsid w:val="004221AD"/>
    <w:rsid w:val="0042259E"/>
    <w:rsid w:val="004226B5"/>
    <w:rsid w:val="004227B3"/>
    <w:rsid w:val="00422B1A"/>
    <w:rsid w:val="00422B38"/>
    <w:rsid w:val="00422B87"/>
    <w:rsid w:val="0042329C"/>
    <w:rsid w:val="004234C7"/>
    <w:rsid w:val="004239DF"/>
    <w:rsid w:val="00423A99"/>
    <w:rsid w:val="00423B5F"/>
    <w:rsid w:val="00423C1A"/>
    <w:rsid w:val="00423E3E"/>
    <w:rsid w:val="00424BDF"/>
    <w:rsid w:val="00424FD8"/>
    <w:rsid w:val="0042512F"/>
    <w:rsid w:val="0042531C"/>
    <w:rsid w:val="00425610"/>
    <w:rsid w:val="0042562D"/>
    <w:rsid w:val="00425769"/>
    <w:rsid w:val="00425ACB"/>
    <w:rsid w:val="00425C68"/>
    <w:rsid w:val="00425E2F"/>
    <w:rsid w:val="00426083"/>
    <w:rsid w:val="0042719D"/>
    <w:rsid w:val="004271E5"/>
    <w:rsid w:val="004274F3"/>
    <w:rsid w:val="0042759F"/>
    <w:rsid w:val="0042771F"/>
    <w:rsid w:val="0042792B"/>
    <w:rsid w:val="0042798B"/>
    <w:rsid w:val="00427B21"/>
    <w:rsid w:val="00427B3A"/>
    <w:rsid w:val="00427D00"/>
    <w:rsid w:val="00427D66"/>
    <w:rsid w:val="0043006A"/>
    <w:rsid w:val="00430165"/>
    <w:rsid w:val="00430174"/>
    <w:rsid w:val="004306C3"/>
    <w:rsid w:val="00430BF8"/>
    <w:rsid w:val="00430E24"/>
    <w:rsid w:val="00430FBD"/>
    <w:rsid w:val="00431232"/>
    <w:rsid w:val="00431428"/>
    <w:rsid w:val="00431821"/>
    <w:rsid w:val="00432B77"/>
    <w:rsid w:val="00433685"/>
    <w:rsid w:val="00433A8B"/>
    <w:rsid w:val="0043407A"/>
    <w:rsid w:val="004343FB"/>
    <w:rsid w:val="0043448C"/>
    <w:rsid w:val="004347A2"/>
    <w:rsid w:val="004347E2"/>
    <w:rsid w:val="0043483F"/>
    <w:rsid w:val="004349FB"/>
    <w:rsid w:val="00434F11"/>
    <w:rsid w:val="00435BBE"/>
    <w:rsid w:val="00436373"/>
    <w:rsid w:val="00436BEC"/>
    <w:rsid w:val="00436D37"/>
    <w:rsid w:val="00437545"/>
    <w:rsid w:val="00437ADF"/>
    <w:rsid w:val="00437B96"/>
    <w:rsid w:val="00437FD0"/>
    <w:rsid w:val="0044006E"/>
    <w:rsid w:val="004403B3"/>
    <w:rsid w:val="004403DB"/>
    <w:rsid w:val="004405C0"/>
    <w:rsid w:val="0044068E"/>
    <w:rsid w:val="004407FB"/>
    <w:rsid w:val="00440880"/>
    <w:rsid w:val="004408BA"/>
    <w:rsid w:val="00441388"/>
    <w:rsid w:val="004413AB"/>
    <w:rsid w:val="0044151C"/>
    <w:rsid w:val="00441828"/>
    <w:rsid w:val="004418FF"/>
    <w:rsid w:val="00442031"/>
    <w:rsid w:val="0044219F"/>
    <w:rsid w:val="00442C08"/>
    <w:rsid w:val="00442D74"/>
    <w:rsid w:val="00442E5B"/>
    <w:rsid w:val="00443536"/>
    <w:rsid w:val="00443928"/>
    <w:rsid w:val="00443BA9"/>
    <w:rsid w:val="00443BF6"/>
    <w:rsid w:val="00443C31"/>
    <w:rsid w:val="00443E69"/>
    <w:rsid w:val="00443F36"/>
    <w:rsid w:val="004446C9"/>
    <w:rsid w:val="004447C3"/>
    <w:rsid w:val="00444858"/>
    <w:rsid w:val="004449EF"/>
    <w:rsid w:val="00444C63"/>
    <w:rsid w:val="00444FB7"/>
    <w:rsid w:val="00444FF3"/>
    <w:rsid w:val="004453E1"/>
    <w:rsid w:val="00445B85"/>
    <w:rsid w:val="00445CD8"/>
    <w:rsid w:val="00445FE5"/>
    <w:rsid w:val="004461BF"/>
    <w:rsid w:val="004461F6"/>
    <w:rsid w:val="00446451"/>
    <w:rsid w:val="004464FC"/>
    <w:rsid w:val="004467B1"/>
    <w:rsid w:val="00447324"/>
    <w:rsid w:val="0044762B"/>
    <w:rsid w:val="00447672"/>
    <w:rsid w:val="00447DD9"/>
    <w:rsid w:val="00447E7E"/>
    <w:rsid w:val="00450227"/>
    <w:rsid w:val="004504D5"/>
    <w:rsid w:val="00450B45"/>
    <w:rsid w:val="00450BFC"/>
    <w:rsid w:val="00450E97"/>
    <w:rsid w:val="00450F67"/>
    <w:rsid w:val="00451588"/>
    <w:rsid w:val="0045161E"/>
    <w:rsid w:val="004519E9"/>
    <w:rsid w:val="00451E64"/>
    <w:rsid w:val="0045200A"/>
    <w:rsid w:val="004524DE"/>
    <w:rsid w:val="00452705"/>
    <w:rsid w:val="00452B20"/>
    <w:rsid w:val="00452BE0"/>
    <w:rsid w:val="00452F30"/>
    <w:rsid w:val="00452F4F"/>
    <w:rsid w:val="0045389A"/>
    <w:rsid w:val="00453AE8"/>
    <w:rsid w:val="0045416C"/>
    <w:rsid w:val="0045467A"/>
    <w:rsid w:val="00454795"/>
    <w:rsid w:val="00454E85"/>
    <w:rsid w:val="00454ECB"/>
    <w:rsid w:val="00455285"/>
    <w:rsid w:val="004553EB"/>
    <w:rsid w:val="00455504"/>
    <w:rsid w:val="00455509"/>
    <w:rsid w:val="00455A23"/>
    <w:rsid w:val="00455A53"/>
    <w:rsid w:val="0045615B"/>
    <w:rsid w:val="00456335"/>
    <w:rsid w:val="004567B5"/>
    <w:rsid w:val="004567D3"/>
    <w:rsid w:val="004568F1"/>
    <w:rsid w:val="00456900"/>
    <w:rsid w:val="00456908"/>
    <w:rsid w:val="00456C49"/>
    <w:rsid w:val="00456CD9"/>
    <w:rsid w:val="00456DA5"/>
    <w:rsid w:val="00457311"/>
    <w:rsid w:val="004574D1"/>
    <w:rsid w:val="00457849"/>
    <w:rsid w:val="0045786C"/>
    <w:rsid w:val="0045790B"/>
    <w:rsid w:val="00457A62"/>
    <w:rsid w:val="00457AFE"/>
    <w:rsid w:val="00457B83"/>
    <w:rsid w:val="00457EB1"/>
    <w:rsid w:val="004604E7"/>
    <w:rsid w:val="0046051B"/>
    <w:rsid w:val="00460610"/>
    <w:rsid w:val="00460CF0"/>
    <w:rsid w:val="004612DE"/>
    <w:rsid w:val="0046146F"/>
    <w:rsid w:val="0046167B"/>
    <w:rsid w:val="004618E5"/>
    <w:rsid w:val="00461B15"/>
    <w:rsid w:val="00461BFF"/>
    <w:rsid w:val="00461C55"/>
    <w:rsid w:val="00461D43"/>
    <w:rsid w:val="00462420"/>
    <w:rsid w:val="00462583"/>
    <w:rsid w:val="004629B7"/>
    <w:rsid w:val="00462AFB"/>
    <w:rsid w:val="00462EEE"/>
    <w:rsid w:val="004632D0"/>
    <w:rsid w:val="0046336A"/>
    <w:rsid w:val="004635A9"/>
    <w:rsid w:val="00463721"/>
    <w:rsid w:val="0046384F"/>
    <w:rsid w:val="00463D8A"/>
    <w:rsid w:val="00463EA7"/>
    <w:rsid w:val="00463EE0"/>
    <w:rsid w:val="0046416A"/>
    <w:rsid w:val="00464238"/>
    <w:rsid w:val="0046435B"/>
    <w:rsid w:val="0046477F"/>
    <w:rsid w:val="0046482B"/>
    <w:rsid w:val="00465242"/>
    <w:rsid w:val="0046570B"/>
    <w:rsid w:val="0046585A"/>
    <w:rsid w:val="00465C47"/>
    <w:rsid w:val="00466099"/>
    <w:rsid w:val="0046619E"/>
    <w:rsid w:val="004661A4"/>
    <w:rsid w:val="0046645A"/>
    <w:rsid w:val="004664FB"/>
    <w:rsid w:val="00466668"/>
    <w:rsid w:val="004673E9"/>
    <w:rsid w:val="0046753D"/>
    <w:rsid w:val="004675D3"/>
    <w:rsid w:val="004676B4"/>
    <w:rsid w:val="00467A09"/>
    <w:rsid w:val="0047014F"/>
    <w:rsid w:val="004701D8"/>
    <w:rsid w:val="004703CF"/>
    <w:rsid w:val="004704F5"/>
    <w:rsid w:val="00470659"/>
    <w:rsid w:val="00470976"/>
    <w:rsid w:val="00470A09"/>
    <w:rsid w:val="00470F62"/>
    <w:rsid w:val="0047165E"/>
    <w:rsid w:val="004716E0"/>
    <w:rsid w:val="00471DBA"/>
    <w:rsid w:val="00471FB7"/>
    <w:rsid w:val="00472293"/>
    <w:rsid w:val="00472AB4"/>
    <w:rsid w:val="00472B95"/>
    <w:rsid w:val="00472C7D"/>
    <w:rsid w:val="00472DFF"/>
    <w:rsid w:val="00472E2F"/>
    <w:rsid w:val="00472EB8"/>
    <w:rsid w:val="00472F37"/>
    <w:rsid w:val="00472F50"/>
    <w:rsid w:val="00473387"/>
    <w:rsid w:val="004735A8"/>
    <w:rsid w:val="00473608"/>
    <w:rsid w:val="00473871"/>
    <w:rsid w:val="00473933"/>
    <w:rsid w:val="00473A3F"/>
    <w:rsid w:val="00473BD9"/>
    <w:rsid w:val="00473E88"/>
    <w:rsid w:val="004745A9"/>
    <w:rsid w:val="00474645"/>
    <w:rsid w:val="004748B8"/>
    <w:rsid w:val="00474A35"/>
    <w:rsid w:val="00475034"/>
    <w:rsid w:val="0047535F"/>
    <w:rsid w:val="00475A1D"/>
    <w:rsid w:val="00475C4F"/>
    <w:rsid w:val="00475F63"/>
    <w:rsid w:val="00476323"/>
    <w:rsid w:val="00476406"/>
    <w:rsid w:val="004765C9"/>
    <w:rsid w:val="00476A91"/>
    <w:rsid w:val="00476C01"/>
    <w:rsid w:val="00476C14"/>
    <w:rsid w:val="00477060"/>
    <w:rsid w:val="00477A38"/>
    <w:rsid w:val="00477D50"/>
    <w:rsid w:val="00477DB4"/>
    <w:rsid w:val="004802AC"/>
    <w:rsid w:val="00480704"/>
    <w:rsid w:val="00480830"/>
    <w:rsid w:val="004808EA"/>
    <w:rsid w:val="00480B36"/>
    <w:rsid w:val="00480E4D"/>
    <w:rsid w:val="00480F53"/>
    <w:rsid w:val="004810B0"/>
    <w:rsid w:val="00481323"/>
    <w:rsid w:val="00481556"/>
    <w:rsid w:val="0048164F"/>
    <w:rsid w:val="00481976"/>
    <w:rsid w:val="00481D14"/>
    <w:rsid w:val="00481FB1"/>
    <w:rsid w:val="00482471"/>
    <w:rsid w:val="004824A5"/>
    <w:rsid w:val="004824C8"/>
    <w:rsid w:val="0048251F"/>
    <w:rsid w:val="0048259D"/>
    <w:rsid w:val="004826A3"/>
    <w:rsid w:val="0048283A"/>
    <w:rsid w:val="00482947"/>
    <w:rsid w:val="0048296A"/>
    <w:rsid w:val="004829C8"/>
    <w:rsid w:val="00482C64"/>
    <w:rsid w:val="00482E8F"/>
    <w:rsid w:val="00482F25"/>
    <w:rsid w:val="004832A8"/>
    <w:rsid w:val="0048330C"/>
    <w:rsid w:val="0048343E"/>
    <w:rsid w:val="0048347C"/>
    <w:rsid w:val="0048356F"/>
    <w:rsid w:val="0048362A"/>
    <w:rsid w:val="0048383E"/>
    <w:rsid w:val="0048398A"/>
    <w:rsid w:val="00483B36"/>
    <w:rsid w:val="00483C83"/>
    <w:rsid w:val="00483C9C"/>
    <w:rsid w:val="0048417A"/>
    <w:rsid w:val="004848F7"/>
    <w:rsid w:val="004849E5"/>
    <w:rsid w:val="00484B5F"/>
    <w:rsid w:val="00484EFB"/>
    <w:rsid w:val="0048528A"/>
    <w:rsid w:val="00485413"/>
    <w:rsid w:val="00485974"/>
    <w:rsid w:val="00485AB5"/>
    <w:rsid w:val="00485B1C"/>
    <w:rsid w:val="00485CCF"/>
    <w:rsid w:val="00486094"/>
    <w:rsid w:val="004861D6"/>
    <w:rsid w:val="0048641C"/>
    <w:rsid w:val="0048698F"/>
    <w:rsid w:val="00486CDC"/>
    <w:rsid w:val="00486E11"/>
    <w:rsid w:val="00486EE6"/>
    <w:rsid w:val="00486EF9"/>
    <w:rsid w:val="0048700C"/>
    <w:rsid w:val="00487129"/>
    <w:rsid w:val="00487949"/>
    <w:rsid w:val="00487A0B"/>
    <w:rsid w:val="00487AAD"/>
    <w:rsid w:val="00487B1B"/>
    <w:rsid w:val="0049034C"/>
    <w:rsid w:val="0049070A"/>
    <w:rsid w:val="004908BD"/>
    <w:rsid w:val="004909E7"/>
    <w:rsid w:val="00490A2F"/>
    <w:rsid w:val="00490A7A"/>
    <w:rsid w:val="00490DF5"/>
    <w:rsid w:val="00491098"/>
    <w:rsid w:val="0049129D"/>
    <w:rsid w:val="004912E3"/>
    <w:rsid w:val="004914FD"/>
    <w:rsid w:val="00491503"/>
    <w:rsid w:val="00491841"/>
    <w:rsid w:val="00491C9E"/>
    <w:rsid w:val="00491D6A"/>
    <w:rsid w:val="00491F02"/>
    <w:rsid w:val="0049204A"/>
    <w:rsid w:val="00492338"/>
    <w:rsid w:val="004928C5"/>
    <w:rsid w:val="004928FA"/>
    <w:rsid w:val="00492EB3"/>
    <w:rsid w:val="004933CD"/>
    <w:rsid w:val="00493506"/>
    <w:rsid w:val="00493C45"/>
    <w:rsid w:val="00493CA6"/>
    <w:rsid w:val="00493F0F"/>
    <w:rsid w:val="00493F1B"/>
    <w:rsid w:val="0049456D"/>
    <w:rsid w:val="00494812"/>
    <w:rsid w:val="00494A53"/>
    <w:rsid w:val="00494AC9"/>
    <w:rsid w:val="00494E3E"/>
    <w:rsid w:val="004951FF"/>
    <w:rsid w:val="0049581C"/>
    <w:rsid w:val="00495825"/>
    <w:rsid w:val="00495B69"/>
    <w:rsid w:val="0049682C"/>
    <w:rsid w:val="00496960"/>
    <w:rsid w:val="00496C3A"/>
    <w:rsid w:val="00496C79"/>
    <w:rsid w:val="00496CA0"/>
    <w:rsid w:val="00496F15"/>
    <w:rsid w:val="00496FBA"/>
    <w:rsid w:val="004972F6"/>
    <w:rsid w:val="00497BA8"/>
    <w:rsid w:val="00497BC1"/>
    <w:rsid w:val="00497E52"/>
    <w:rsid w:val="004A0156"/>
    <w:rsid w:val="004A01B8"/>
    <w:rsid w:val="004A0534"/>
    <w:rsid w:val="004A0DAD"/>
    <w:rsid w:val="004A0E2F"/>
    <w:rsid w:val="004A126B"/>
    <w:rsid w:val="004A1722"/>
    <w:rsid w:val="004A1732"/>
    <w:rsid w:val="004A179E"/>
    <w:rsid w:val="004A1B12"/>
    <w:rsid w:val="004A1BDC"/>
    <w:rsid w:val="004A1C93"/>
    <w:rsid w:val="004A1CF8"/>
    <w:rsid w:val="004A1D1C"/>
    <w:rsid w:val="004A1DEB"/>
    <w:rsid w:val="004A2500"/>
    <w:rsid w:val="004A2501"/>
    <w:rsid w:val="004A2790"/>
    <w:rsid w:val="004A2B64"/>
    <w:rsid w:val="004A2BE6"/>
    <w:rsid w:val="004A2C1F"/>
    <w:rsid w:val="004A2F74"/>
    <w:rsid w:val="004A3255"/>
    <w:rsid w:val="004A34B3"/>
    <w:rsid w:val="004A36EE"/>
    <w:rsid w:val="004A3749"/>
    <w:rsid w:val="004A3A53"/>
    <w:rsid w:val="004A3A75"/>
    <w:rsid w:val="004A3B9A"/>
    <w:rsid w:val="004A4660"/>
    <w:rsid w:val="004A4793"/>
    <w:rsid w:val="004A498E"/>
    <w:rsid w:val="004A4EA8"/>
    <w:rsid w:val="004A56F2"/>
    <w:rsid w:val="004A5A92"/>
    <w:rsid w:val="004A5D2F"/>
    <w:rsid w:val="004A671D"/>
    <w:rsid w:val="004A67D8"/>
    <w:rsid w:val="004A6AC5"/>
    <w:rsid w:val="004A7237"/>
    <w:rsid w:val="004A77D2"/>
    <w:rsid w:val="004A7845"/>
    <w:rsid w:val="004A79D8"/>
    <w:rsid w:val="004A7A86"/>
    <w:rsid w:val="004B0023"/>
    <w:rsid w:val="004B00A3"/>
    <w:rsid w:val="004B0AD4"/>
    <w:rsid w:val="004B0DCF"/>
    <w:rsid w:val="004B1342"/>
    <w:rsid w:val="004B13D4"/>
    <w:rsid w:val="004B15ED"/>
    <w:rsid w:val="004B18D4"/>
    <w:rsid w:val="004B19A7"/>
    <w:rsid w:val="004B1C45"/>
    <w:rsid w:val="004B1CDA"/>
    <w:rsid w:val="004B1E74"/>
    <w:rsid w:val="004B1F70"/>
    <w:rsid w:val="004B1F81"/>
    <w:rsid w:val="004B2603"/>
    <w:rsid w:val="004B2788"/>
    <w:rsid w:val="004B298C"/>
    <w:rsid w:val="004B2993"/>
    <w:rsid w:val="004B2C0B"/>
    <w:rsid w:val="004B2C3A"/>
    <w:rsid w:val="004B342D"/>
    <w:rsid w:val="004B3B8D"/>
    <w:rsid w:val="004B3E37"/>
    <w:rsid w:val="004B44C7"/>
    <w:rsid w:val="004B4636"/>
    <w:rsid w:val="004B47B0"/>
    <w:rsid w:val="004B4A4B"/>
    <w:rsid w:val="004B50A0"/>
    <w:rsid w:val="004B5335"/>
    <w:rsid w:val="004B547A"/>
    <w:rsid w:val="004B54E8"/>
    <w:rsid w:val="004B574A"/>
    <w:rsid w:val="004B5759"/>
    <w:rsid w:val="004B57F9"/>
    <w:rsid w:val="004B5AFC"/>
    <w:rsid w:val="004B5B0C"/>
    <w:rsid w:val="004B5BE4"/>
    <w:rsid w:val="004B5FA8"/>
    <w:rsid w:val="004B5FCD"/>
    <w:rsid w:val="004B66E6"/>
    <w:rsid w:val="004B7703"/>
    <w:rsid w:val="004B7733"/>
    <w:rsid w:val="004B777B"/>
    <w:rsid w:val="004B7ADD"/>
    <w:rsid w:val="004B7E3C"/>
    <w:rsid w:val="004B7EB5"/>
    <w:rsid w:val="004B7FFA"/>
    <w:rsid w:val="004C000A"/>
    <w:rsid w:val="004C0954"/>
    <w:rsid w:val="004C1835"/>
    <w:rsid w:val="004C1939"/>
    <w:rsid w:val="004C1FC2"/>
    <w:rsid w:val="004C218B"/>
    <w:rsid w:val="004C275B"/>
    <w:rsid w:val="004C2801"/>
    <w:rsid w:val="004C3096"/>
    <w:rsid w:val="004C3E30"/>
    <w:rsid w:val="004C413D"/>
    <w:rsid w:val="004C43A1"/>
    <w:rsid w:val="004C4427"/>
    <w:rsid w:val="004C4818"/>
    <w:rsid w:val="004C4E6D"/>
    <w:rsid w:val="004C50A6"/>
    <w:rsid w:val="004C510B"/>
    <w:rsid w:val="004C5649"/>
    <w:rsid w:val="004C5A44"/>
    <w:rsid w:val="004C5CFF"/>
    <w:rsid w:val="004C6128"/>
    <w:rsid w:val="004C618E"/>
    <w:rsid w:val="004C64E9"/>
    <w:rsid w:val="004C6542"/>
    <w:rsid w:val="004C6659"/>
    <w:rsid w:val="004C69BF"/>
    <w:rsid w:val="004C6AFD"/>
    <w:rsid w:val="004C6B1A"/>
    <w:rsid w:val="004C7081"/>
    <w:rsid w:val="004C7A5C"/>
    <w:rsid w:val="004C7BB0"/>
    <w:rsid w:val="004D000A"/>
    <w:rsid w:val="004D03C0"/>
    <w:rsid w:val="004D0794"/>
    <w:rsid w:val="004D0DB3"/>
    <w:rsid w:val="004D0DE8"/>
    <w:rsid w:val="004D0DFA"/>
    <w:rsid w:val="004D0EF2"/>
    <w:rsid w:val="004D128D"/>
    <w:rsid w:val="004D1431"/>
    <w:rsid w:val="004D187F"/>
    <w:rsid w:val="004D18A8"/>
    <w:rsid w:val="004D21D2"/>
    <w:rsid w:val="004D24BD"/>
    <w:rsid w:val="004D2A3D"/>
    <w:rsid w:val="004D2B7F"/>
    <w:rsid w:val="004D2C38"/>
    <w:rsid w:val="004D2F7F"/>
    <w:rsid w:val="004D316D"/>
    <w:rsid w:val="004D32AD"/>
    <w:rsid w:val="004D3440"/>
    <w:rsid w:val="004D34E4"/>
    <w:rsid w:val="004D3668"/>
    <w:rsid w:val="004D3A29"/>
    <w:rsid w:val="004D3ECA"/>
    <w:rsid w:val="004D447C"/>
    <w:rsid w:val="004D44EA"/>
    <w:rsid w:val="004D464C"/>
    <w:rsid w:val="004D4841"/>
    <w:rsid w:val="004D4CDB"/>
    <w:rsid w:val="004D4EEE"/>
    <w:rsid w:val="004D536D"/>
    <w:rsid w:val="004D54CA"/>
    <w:rsid w:val="004D5B03"/>
    <w:rsid w:val="004D5D06"/>
    <w:rsid w:val="004D5EB0"/>
    <w:rsid w:val="004D615C"/>
    <w:rsid w:val="004D6222"/>
    <w:rsid w:val="004D6875"/>
    <w:rsid w:val="004D6EE9"/>
    <w:rsid w:val="004D729E"/>
    <w:rsid w:val="004D72F7"/>
    <w:rsid w:val="004D7330"/>
    <w:rsid w:val="004D750E"/>
    <w:rsid w:val="004D7621"/>
    <w:rsid w:val="004D794B"/>
    <w:rsid w:val="004D7991"/>
    <w:rsid w:val="004D7B6E"/>
    <w:rsid w:val="004D7CFB"/>
    <w:rsid w:val="004E0615"/>
    <w:rsid w:val="004E0B1B"/>
    <w:rsid w:val="004E115B"/>
    <w:rsid w:val="004E1325"/>
    <w:rsid w:val="004E13AC"/>
    <w:rsid w:val="004E167F"/>
    <w:rsid w:val="004E1F55"/>
    <w:rsid w:val="004E2173"/>
    <w:rsid w:val="004E2449"/>
    <w:rsid w:val="004E2533"/>
    <w:rsid w:val="004E2783"/>
    <w:rsid w:val="004E2AC2"/>
    <w:rsid w:val="004E3168"/>
    <w:rsid w:val="004E3188"/>
    <w:rsid w:val="004E3710"/>
    <w:rsid w:val="004E3CDC"/>
    <w:rsid w:val="004E3DD4"/>
    <w:rsid w:val="004E3F4F"/>
    <w:rsid w:val="004E4228"/>
    <w:rsid w:val="004E4569"/>
    <w:rsid w:val="004E4E9A"/>
    <w:rsid w:val="004E511C"/>
    <w:rsid w:val="004E5160"/>
    <w:rsid w:val="004E545A"/>
    <w:rsid w:val="004E59F2"/>
    <w:rsid w:val="004E5F61"/>
    <w:rsid w:val="004E60E8"/>
    <w:rsid w:val="004E6E46"/>
    <w:rsid w:val="004E70D2"/>
    <w:rsid w:val="004E729D"/>
    <w:rsid w:val="004E752C"/>
    <w:rsid w:val="004E7751"/>
    <w:rsid w:val="004E792D"/>
    <w:rsid w:val="004E7F01"/>
    <w:rsid w:val="004F00F4"/>
    <w:rsid w:val="004F0A87"/>
    <w:rsid w:val="004F0C1E"/>
    <w:rsid w:val="004F0D5C"/>
    <w:rsid w:val="004F0DC1"/>
    <w:rsid w:val="004F16E8"/>
    <w:rsid w:val="004F1C9A"/>
    <w:rsid w:val="004F2070"/>
    <w:rsid w:val="004F273D"/>
    <w:rsid w:val="004F280D"/>
    <w:rsid w:val="004F2BE4"/>
    <w:rsid w:val="004F2C83"/>
    <w:rsid w:val="004F2DFC"/>
    <w:rsid w:val="004F33B6"/>
    <w:rsid w:val="004F372D"/>
    <w:rsid w:val="004F37D5"/>
    <w:rsid w:val="004F39B2"/>
    <w:rsid w:val="004F41DB"/>
    <w:rsid w:val="004F4322"/>
    <w:rsid w:val="004F4977"/>
    <w:rsid w:val="004F5249"/>
    <w:rsid w:val="004F5386"/>
    <w:rsid w:val="004F53B1"/>
    <w:rsid w:val="004F5A53"/>
    <w:rsid w:val="004F5F0B"/>
    <w:rsid w:val="004F60E5"/>
    <w:rsid w:val="004F6117"/>
    <w:rsid w:val="004F636F"/>
    <w:rsid w:val="004F63E3"/>
    <w:rsid w:val="004F64B2"/>
    <w:rsid w:val="004F65A0"/>
    <w:rsid w:val="004F67DA"/>
    <w:rsid w:val="004F696F"/>
    <w:rsid w:val="004F6B6C"/>
    <w:rsid w:val="004F6DD1"/>
    <w:rsid w:val="004F6F40"/>
    <w:rsid w:val="004F6F61"/>
    <w:rsid w:val="004F7265"/>
    <w:rsid w:val="004F7613"/>
    <w:rsid w:val="005000BC"/>
    <w:rsid w:val="00500369"/>
    <w:rsid w:val="005006D3"/>
    <w:rsid w:val="0050085D"/>
    <w:rsid w:val="005008A4"/>
    <w:rsid w:val="00500A24"/>
    <w:rsid w:val="00500AE6"/>
    <w:rsid w:val="00500AF4"/>
    <w:rsid w:val="00500C95"/>
    <w:rsid w:val="00500F75"/>
    <w:rsid w:val="00501272"/>
    <w:rsid w:val="00501341"/>
    <w:rsid w:val="0050139B"/>
    <w:rsid w:val="00501418"/>
    <w:rsid w:val="0050213B"/>
    <w:rsid w:val="005021F3"/>
    <w:rsid w:val="0050243F"/>
    <w:rsid w:val="00502534"/>
    <w:rsid w:val="0050281D"/>
    <w:rsid w:val="00502B42"/>
    <w:rsid w:val="00503059"/>
    <w:rsid w:val="005031B7"/>
    <w:rsid w:val="00503822"/>
    <w:rsid w:val="005038DD"/>
    <w:rsid w:val="00503A35"/>
    <w:rsid w:val="00504145"/>
    <w:rsid w:val="0050416D"/>
    <w:rsid w:val="005048FA"/>
    <w:rsid w:val="0050496D"/>
    <w:rsid w:val="00504A4E"/>
    <w:rsid w:val="00504CDA"/>
    <w:rsid w:val="00504D82"/>
    <w:rsid w:val="00504FD2"/>
    <w:rsid w:val="00505136"/>
    <w:rsid w:val="0050594C"/>
    <w:rsid w:val="005059D6"/>
    <w:rsid w:val="0050614F"/>
    <w:rsid w:val="005061B6"/>
    <w:rsid w:val="0050628B"/>
    <w:rsid w:val="00506426"/>
    <w:rsid w:val="005065A8"/>
    <w:rsid w:val="0050670C"/>
    <w:rsid w:val="005067F9"/>
    <w:rsid w:val="005067FD"/>
    <w:rsid w:val="00506A4B"/>
    <w:rsid w:val="00506AE2"/>
    <w:rsid w:val="00506C13"/>
    <w:rsid w:val="00506C4F"/>
    <w:rsid w:val="00506F2E"/>
    <w:rsid w:val="0050722D"/>
    <w:rsid w:val="0050771A"/>
    <w:rsid w:val="005077E3"/>
    <w:rsid w:val="00507E2F"/>
    <w:rsid w:val="0051020A"/>
    <w:rsid w:val="0051023A"/>
    <w:rsid w:val="00510349"/>
    <w:rsid w:val="005104C8"/>
    <w:rsid w:val="005105AD"/>
    <w:rsid w:val="00510A2F"/>
    <w:rsid w:val="005111CA"/>
    <w:rsid w:val="005118CB"/>
    <w:rsid w:val="00511C74"/>
    <w:rsid w:val="005120E4"/>
    <w:rsid w:val="005125BC"/>
    <w:rsid w:val="0051290F"/>
    <w:rsid w:val="00513291"/>
    <w:rsid w:val="00513AD4"/>
    <w:rsid w:val="00513AEB"/>
    <w:rsid w:val="00513C3F"/>
    <w:rsid w:val="00513C77"/>
    <w:rsid w:val="00513EDC"/>
    <w:rsid w:val="00514738"/>
    <w:rsid w:val="005149EB"/>
    <w:rsid w:val="00515029"/>
    <w:rsid w:val="00515814"/>
    <w:rsid w:val="00515DAE"/>
    <w:rsid w:val="00516565"/>
    <w:rsid w:val="00517487"/>
    <w:rsid w:val="0051789A"/>
    <w:rsid w:val="005179B7"/>
    <w:rsid w:val="00517A19"/>
    <w:rsid w:val="00517EA1"/>
    <w:rsid w:val="00520ACE"/>
    <w:rsid w:val="00520B72"/>
    <w:rsid w:val="00521147"/>
    <w:rsid w:val="00521166"/>
    <w:rsid w:val="0052128B"/>
    <w:rsid w:val="005214E6"/>
    <w:rsid w:val="0052191D"/>
    <w:rsid w:val="00521CCB"/>
    <w:rsid w:val="0052249C"/>
    <w:rsid w:val="0052257A"/>
    <w:rsid w:val="0052258F"/>
    <w:rsid w:val="00522AC7"/>
    <w:rsid w:val="00522C0F"/>
    <w:rsid w:val="005232BE"/>
    <w:rsid w:val="0052333A"/>
    <w:rsid w:val="0052390C"/>
    <w:rsid w:val="00523CCF"/>
    <w:rsid w:val="00523DCB"/>
    <w:rsid w:val="005244B3"/>
    <w:rsid w:val="005244E0"/>
    <w:rsid w:val="00524540"/>
    <w:rsid w:val="00524716"/>
    <w:rsid w:val="0052496C"/>
    <w:rsid w:val="00524AE6"/>
    <w:rsid w:val="00524CA7"/>
    <w:rsid w:val="00524D6B"/>
    <w:rsid w:val="00524F67"/>
    <w:rsid w:val="005251DF"/>
    <w:rsid w:val="005252DB"/>
    <w:rsid w:val="005258EA"/>
    <w:rsid w:val="005259CE"/>
    <w:rsid w:val="00525BF7"/>
    <w:rsid w:val="005260D8"/>
    <w:rsid w:val="00526435"/>
    <w:rsid w:val="005265F3"/>
    <w:rsid w:val="005266DB"/>
    <w:rsid w:val="005267B6"/>
    <w:rsid w:val="005268C9"/>
    <w:rsid w:val="00526B95"/>
    <w:rsid w:val="00526BFA"/>
    <w:rsid w:val="00526E88"/>
    <w:rsid w:val="005272B1"/>
    <w:rsid w:val="00527667"/>
    <w:rsid w:val="00530167"/>
    <w:rsid w:val="00530C41"/>
    <w:rsid w:val="00530E04"/>
    <w:rsid w:val="00530F25"/>
    <w:rsid w:val="0053110D"/>
    <w:rsid w:val="00531E44"/>
    <w:rsid w:val="00532104"/>
    <w:rsid w:val="00532328"/>
    <w:rsid w:val="0053256A"/>
    <w:rsid w:val="005328F5"/>
    <w:rsid w:val="00532C25"/>
    <w:rsid w:val="0053316A"/>
    <w:rsid w:val="005333F9"/>
    <w:rsid w:val="0053367C"/>
    <w:rsid w:val="00533ABF"/>
    <w:rsid w:val="00533DDD"/>
    <w:rsid w:val="00534168"/>
    <w:rsid w:val="00534719"/>
    <w:rsid w:val="00534ACD"/>
    <w:rsid w:val="00534B62"/>
    <w:rsid w:val="00534BEA"/>
    <w:rsid w:val="00534DB0"/>
    <w:rsid w:val="00535140"/>
    <w:rsid w:val="005353B5"/>
    <w:rsid w:val="0053580E"/>
    <w:rsid w:val="0053589E"/>
    <w:rsid w:val="005358C7"/>
    <w:rsid w:val="00535CF6"/>
    <w:rsid w:val="00535D26"/>
    <w:rsid w:val="00535DDA"/>
    <w:rsid w:val="00535E85"/>
    <w:rsid w:val="005360BD"/>
    <w:rsid w:val="00536672"/>
    <w:rsid w:val="00536AB8"/>
    <w:rsid w:val="00536B59"/>
    <w:rsid w:val="00536DF0"/>
    <w:rsid w:val="00536E8B"/>
    <w:rsid w:val="00537561"/>
    <w:rsid w:val="005377BC"/>
    <w:rsid w:val="00537845"/>
    <w:rsid w:val="00537963"/>
    <w:rsid w:val="00537B70"/>
    <w:rsid w:val="00537F43"/>
    <w:rsid w:val="0054012A"/>
    <w:rsid w:val="00540471"/>
    <w:rsid w:val="00540847"/>
    <w:rsid w:val="005408B6"/>
    <w:rsid w:val="005409C9"/>
    <w:rsid w:val="00540E6C"/>
    <w:rsid w:val="00540F4C"/>
    <w:rsid w:val="00541BDC"/>
    <w:rsid w:val="00541C9A"/>
    <w:rsid w:val="005420C7"/>
    <w:rsid w:val="0054245A"/>
    <w:rsid w:val="005426AF"/>
    <w:rsid w:val="005426EC"/>
    <w:rsid w:val="0054285E"/>
    <w:rsid w:val="00542A11"/>
    <w:rsid w:val="0054303B"/>
    <w:rsid w:val="0054328F"/>
    <w:rsid w:val="00543479"/>
    <w:rsid w:val="0054366C"/>
    <w:rsid w:val="00543B58"/>
    <w:rsid w:val="00543E54"/>
    <w:rsid w:val="00543F02"/>
    <w:rsid w:val="00543F75"/>
    <w:rsid w:val="0054453F"/>
    <w:rsid w:val="0054460D"/>
    <w:rsid w:val="00544974"/>
    <w:rsid w:val="00544A13"/>
    <w:rsid w:val="0054514D"/>
    <w:rsid w:val="005452FE"/>
    <w:rsid w:val="005453D4"/>
    <w:rsid w:val="00545CF0"/>
    <w:rsid w:val="00545E6A"/>
    <w:rsid w:val="00546090"/>
    <w:rsid w:val="0054647B"/>
    <w:rsid w:val="005465DF"/>
    <w:rsid w:val="005465EB"/>
    <w:rsid w:val="0054663D"/>
    <w:rsid w:val="005466B8"/>
    <w:rsid w:val="005467C3"/>
    <w:rsid w:val="00546E2C"/>
    <w:rsid w:val="005477B8"/>
    <w:rsid w:val="00547943"/>
    <w:rsid w:val="00547A34"/>
    <w:rsid w:val="00547C9B"/>
    <w:rsid w:val="00547E45"/>
    <w:rsid w:val="00547E91"/>
    <w:rsid w:val="00547F4F"/>
    <w:rsid w:val="00550396"/>
    <w:rsid w:val="00550487"/>
    <w:rsid w:val="0055095B"/>
    <w:rsid w:val="005509EC"/>
    <w:rsid w:val="00550AAA"/>
    <w:rsid w:val="00550EA5"/>
    <w:rsid w:val="005513D8"/>
    <w:rsid w:val="005517AE"/>
    <w:rsid w:val="00551BF1"/>
    <w:rsid w:val="00551D95"/>
    <w:rsid w:val="00551FE4"/>
    <w:rsid w:val="0055267D"/>
    <w:rsid w:val="00552E9C"/>
    <w:rsid w:val="00553126"/>
    <w:rsid w:val="005537F0"/>
    <w:rsid w:val="00553A99"/>
    <w:rsid w:val="00553EFA"/>
    <w:rsid w:val="00553F54"/>
    <w:rsid w:val="0055449A"/>
    <w:rsid w:val="00554628"/>
    <w:rsid w:val="00554BEF"/>
    <w:rsid w:val="00554FAB"/>
    <w:rsid w:val="005551DD"/>
    <w:rsid w:val="00555678"/>
    <w:rsid w:val="00555885"/>
    <w:rsid w:val="00555BDB"/>
    <w:rsid w:val="00555BFF"/>
    <w:rsid w:val="00555CA8"/>
    <w:rsid w:val="00555F09"/>
    <w:rsid w:val="0055613A"/>
    <w:rsid w:val="00556599"/>
    <w:rsid w:val="005566B1"/>
    <w:rsid w:val="00556BCB"/>
    <w:rsid w:val="00556CFD"/>
    <w:rsid w:val="00556EC2"/>
    <w:rsid w:val="00556FCD"/>
    <w:rsid w:val="0055701B"/>
    <w:rsid w:val="0055774F"/>
    <w:rsid w:val="00557902"/>
    <w:rsid w:val="00557D9C"/>
    <w:rsid w:val="0056013F"/>
    <w:rsid w:val="0056034A"/>
    <w:rsid w:val="00560399"/>
    <w:rsid w:val="005603DB"/>
    <w:rsid w:val="005604D9"/>
    <w:rsid w:val="00560577"/>
    <w:rsid w:val="00560662"/>
    <w:rsid w:val="00560BA8"/>
    <w:rsid w:val="00560BC1"/>
    <w:rsid w:val="00560C04"/>
    <w:rsid w:val="00560C8A"/>
    <w:rsid w:val="0056123C"/>
    <w:rsid w:val="00561570"/>
    <w:rsid w:val="00562349"/>
    <w:rsid w:val="00562A23"/>
    <w:rsid w:val="00562CCE"/>
    <w:rsid w:val="00563154"/>
    <w:rsid w:val="00563311"/>
    <w:rsid w:val="00563640"/>
    <w:rsid w:val="00563787"/>
    <w:rsid w:val="00563BE7"/>
    <w:rsid w:val="00563CA3"/>
    <w:rsid w:val="00563E37"/>
    <w:rsid w:val="00564412"/>
    <w:rsid w:val="005647DB"/>
    <w:rsid w:val="00564BB1"/>
    <w:rsid w:val="00564CF9"/>
    <w:rsid w:val="00564FF8"/>
    <w:rsid w:val="00565D21"/>
    <w:rsid w:val="00565F8A"/>
    <w:rsid w:val="00565FF7"/>
    <w:rsid w:val="00566058"/>
    <w:rsid w:val="00566385"/>
    <w:rsid w:val="00566706"/>
    <w:rsid w:val="005667BC"/>
    <w:rsid w:val="005668F3"/>
    <w:rsid w:val="00566BE4"/>
    <w:rsid w:val="00566D98"/>
    <w:rsid w:val="00567032"/>
    <w:rsid w:val="0056742A"/>
    <w:rsid w:val="0056747C"/>
    <w:rsid w:val="00567734"/>
    <w:rsid w:val="00567CD7"/>
    <w:rsid w:val="00567EFB"/>
    <w:rsid w:val="005701DA"/>
    <w:rsid w:val="005702AC"/>
    <w:rsid w:val="00570500"/>
    <w:rsid w:val="005706AD"/>
    <w:rsid w:val="005706F4"/>
    <w:rsid w:val="00570970"/>
    <w:rsid w:val="00570AA0"/>
    <w:rsid w:val="00570D4D"/>
    <w:rsid w:val="00571478"/>
    <w:rsid w:val="005720CD"/>
    <w:rsid w:val="00572240"/>
    <w:rsid w:val="005723B0"/>
    <w:rsid w:val="005724E3"/>
    <w:rsid w:val="0057258A"/>
    <w:rsid w:val="0057282B"/>
    <w:rsid w:val="00572F36"/>
    <w:rsid w:val="00573397"/>
    <w:rsid w:val="005738D3"/>
    <w:rsid w:val="00573D90"/>
    <w:rsid w:val="0057405C"/>
    <w:rsid w:val="005741ED"/>
    <w:rsid w:val="0057448A"/>
    <w:rsid w:val="0057474E"/>
    <w:rsid w:val="00574786"/>
    <w:rsid w:val="00574A3C"/>
    <w:rsid w:val="00574C2F"/>
    <w:rsid w:val="0057540A"/>
    <w:rsid w:val="0057560E"/>
    <w:rsid w:val="00575652"/>
    <w:rsid w:val="00575677"/>
    <w:rsid w:val="00576341"/>
    <w:rsid w:val="005764EA"/>
    <w:rsid w:val="00576BA7"/>
    <w:rsid w:val="005770B6"/>
    <w:rsid w:val="00577328"/>
    <w:rsid w:val="0057739F"/>
    <w:rsid w:val="005778D8"/>
    <w:rsid w:val="00577E03"/>
    <w:rsid w:val="00577E54"/>
    <w:rsid w:val="00577F27"/>
    <w:rsid w:val="005801F4"/>
    <w:rsid w:val="005802CC"/>
    <w:rsid w:val="00580565"/>
    <w:rsid w:val="00580679"/>
    <w:rsid w:val="00580769"/>
    <w:rsid w:val="005808B8"/>
    <w:rsid w:val="00580CA2"/>
    <w:rsid w:val="00580F29"/>
    <w:rsid w:val="00581826"/>
    <w:rsid w:val="00581A6D"/>
    <w:rsid w:val="00581C5E"/>
    <w:rsid w:val="005826ED"/>
    <w:rsid w:val="0058279F"/>
    <w:rsid w:val="00582BE0"/>
    <w:rsid w:val="00582D00"/>
    <w:rsid w:val="00582D54"/>
    <w:rsid w:val="005832B5"/>
    <w:rsid w:val="0058333D"/>
    <w:rsid w:val="005834E4"/>
    <w:rsid w:val="00583601"/>
    <w:rsid w:val="00583AFB"/>
    <w:rsid w:val="00583B61"/>
    <w:rsid w:val="00583D67"/>
    <w:rsid w:val="00584119"/>
    <w:rsid w:val="005842BE"/>
    <w:rsid w:val="00584349"/>
    <w:rsid w:val="00584438"/>
    <w:rsid w:val="005848CA"/>
    <w:rsid w:val="00584A9B"/>
    <w:rsid w:val="00584AB9"/>
    <w:rsid w:val="00584C65"/>
    <w:rsid w:val="0058510C"/>
    <w:rsid w:val="00585168"/>
    <w:rsid w:val="005851F9"/>
    <w:rsid w:val="00585247"/>
    <w:rsid w:val="00585409"/>
    <w:rsid w:val="00585979"/>
    <w:rsid w:val="00585AC4"/>
    <w:rsid w:val="00585B13"/>
    <w:rsid w:val="00585C19"/>
    <w:rsid w:val="005860C8"/>
    <w:rsid w:val="0058612F"/>
    <w:rsid w:val="005861E6"/>
    <w:rsid w:val="005865A6"/>
    <w:rsid w:val="005865CA"/>
    <w:rsid w:val="00586AB7"/>
    <w:rsid w:val="00586BF4"/>
    <w:rsid w:val="00586E0D"/>
    <w:rsid w:val="00586EBA"/>
    <w:rsid w:val="00587048"/>
    <w:rsid w:val="005873E0"/>
    <w:rsid w:val="005875F1"/>
    <w:rsid w:val="005878D6"/>
    <w:rsid w:val="00587970"/>
    <w:rsid w:val="00587997"/>
    <w:rsid w:val="00587F46"/>
    <w:rsid w:val="005904F0"/>
    <w:rsid w:val="0059111F"/>
    <w:rsid w:val="0059150D"/>
    <w:rsid w:val="00591550"/>
    <w:rsid w:val="00591755"/>
    <w:rsid w:val="00591848"/>
    <w:rsid w:val="0059184A"/>
    <w:rsid w:val="00591893"/>
    <w:rsid w:val="00591A6A"/>
    <w:rsid w:val="00591D38"/>
    <w:rsid w:val="00591E49"/>
    <w:rsid w:val="005922A2"/>
    <w:rsid w:val="005922A9"/>
    <w:rsid w:val="005922C5"/>
    <w:rsid w:val="005924E9"/>
    <w:rsid w:val="005924F5"/>
    <w:rsid w:val="00592632"/>
    <w:rsid w:val="0059276C"/>
    <w:rsid w:val="00592AF2"/>
    <w:rsid w:val="00593C43"/>
    <w:rsid w:val="00594124"/>
    <w:rsid w:val="005941D2"/>
    <w:rsid w:val="005941F3"/>
    <w:rsid w:val="005941F6"/>
    <w:rsid w:val="0059441D"/>
    <w:rsid w:val="00594D01"/>
    <w:rsid w:val="00594DF7"/>
    <w:rsid w:val="00594EA6"/>
    <w:rsid w:val="005958BE"/>
    <w:rsid w:val="00595A88"/>
    <w:rsid w:val="00595E68"/>
    <w:rsid w:val="00596701"/>
    <w:rsid w:val="00596A46"/>
    <w:rsid w:val="00596ACA"/>
    <w:rsid w:val="00596DDF"/>
    <w:rsid w:val="00596EB9"/>
    <w:rsid w:val="005970C9"/>
    <w:rsid w:val="00597159"/>
    <w:rsid w:val="005973C9"/>
    <w:rsid w:val="00597423"/>
    <w:rsid w:val="00597434"/>
    <w:rsid w:val="005979C2"/>
    <w:rsid w:val="005979EF"/>
    <w:rsid w:val="00597CA9"/>
    <w:rsid w:val="00597F29"/>
    <w:rsid w:val="005A01A9"/>
    <w:rsid w:val="005A04B3"/>
    <w:rsid w:val="005A05E6"/>
    <w:rsid w:val="005A0732"/>
    <w:rsid w:val="005A0DB3"/>
    <w:rsid w:val="005A0F64"/>
    <w:rsid w:val="005A0FAD"/>
    <w:rsid w:val="005A1321"/>
    <w:rsid w:val="005A1375"/>
    <w:rsid w:val="005A1448"/>
    <w:rsid w:val="005A1476"/>
    <w:rsid w:val="005A1531"/>
    <w:rsid w:val="005A195A"/>
    <w:rsid w:val="005A19C0"/>
    <w:rsid w:val="005A1B26"/>
    <w:rsid w:val="005A1C27"/>
    <w:rsid w:val="005A1CCB"/>
    <w:rsid w:val="005A23E4"/>
    <w:rsid w:val="005A2870"/>
    <w:rsid w:val="005A2E0F"/>
    <w:rsid w:val="005A3022"/>
    <w:rsid w:val="005A3266"/>
    <w:rsid w:val="005A32E7"/>
    <w:rsid w:val="005A35BE"/>
    <w:rsid w:val="005A39A1"/>
    <w:rsid w:val="005A3DDA"/>
    <w:rsid w:val="005A3E46"/>
    <w:rsid w:val="005A40A4"/>
    <w:rsid w:val="005A44D0"/>
    <w:rsid w:val="005A45A9"/>
    <w:rsid w:val="005A482D"/>
    <w:rsid w:val="005A489D"/>
    <w:rsid w:val="005A4A8C"/>
    <w:rsid w:val="005A4E75"/>
    <w:rsid w:val="005A51AD"/>
    <w:rsid w:val="005A539F"/>
    <w:rsid w:val="005A5D79"/>
    <w:rsid w:val="005A5E43"/>
    <w:rsid w:val="005A5ED1"/>
    <w:rsid w:val="005A6252"/>
    <w:rsid w:val="005A66C8"/>
    <w:rsid w:val="005A68F6"/>
    <w:rsid w:val="005A72D6"/>
    <w:rsid w:val="005A755E"/>
    <w:rsid w:val="005A7635"/>
    <w:rsid w:val="005A78ED"/>
    <w:rsid w:val="005A7CB5"/>
    <w:rsid w:val="005B00E5"/>
    <w:rsid w:val="005B044B"/>
    <w:rsid w:val="005B0554"/>
    <w:rsid w:val="005B0919"/>
    <w:rsid w:val="005B0B03"/>
    <w:rsid w:val="005B1343"/>
    <w:rsid w:val="005B16C8"/>
    <w:rsid w:val="005B1787"/>
    <w:rsid w:val="005B1E88"/>
    <w:rsid w:val="005B1FF2"/>
    <w:rsid w:val="005B20E1"/>
    <w:rsid w:val="005B21FF"/>
    <w:rsid w:val="005B22FD"/>
    <w:rsid w:val="005B2355"/>
    <w:rsid w:val="005B2446"/>
    <w:rsid w:val="005B251C"/>
    <w:rsid w:val="005B289B"/>
    <w:rsid w:val="005B3027"/>
    <w:rsid w:val="005B3051"/>
    <w:rsid w:val="005B3115"/>
    <w:rsid w:val="005B3252"/>
    <w:rsid w:val="005B361C"/>
    <w:rsid w:val="005B40D6"/>
    <w:rsid w:val="005B41BA"/>
    <w:rsid w:val="005B4D49"/>
    <w:rsid w:val="005B4D9B"/>
    <w:rsid w:val="005B4E6E"/>
    <w:rsid w:val="005B4ECC"/>
    <w:rsid w:val="005B5406"/>
    <w:rsid w:val="005B55A0"/>
    <w:rsid w:val="005B565F"/>
    <w:rsid w:val="005B594D"/>
    <w:rsid w:val="005B5D9E"/>
    <w:rsid w:val="005B603B"/>
    <w:rsid w:val="005B69D7"/>
    <w:rsid w:val="005B6B0E"/>
    <w:rsid w:val="005B6B1A"/>
    <w:rsid w:val="005B70EB"/>
    <w:rsid w:val="005B711A"/>
    <w:rsid w:val="005B75DD"/>
    <w:rsid w:val="005B79D2"/>
    <w:rsid w:val="005B7CB3"/>
    <w:rsid w:val="005B7DB1"/>
    <w:rsid w:val="005B7F28"/>
    <w:rsid w:val="005B7F53"/>
    <w:rsid w:val="005C0002"/>
    <w:rsid w:val="005C00ED"/>
    <w:rsid w:val="005C0104"/>
    <w:rsid w:val="005C021F"/>
    <w:rsid w:val="005C0296"/>
    <w:rsid w:val="005C046B"/>
    <w:rsid w:val="005C0A4D"/>
    <w:rsid w:val="005C0E0D"/>
    <w:rsid w:val="005C1066"/>
    <w:rsid w:val="005C1643"/>
    <w:rsid w:val="005C1C22"/>
    <w:rsid w:val="005C1EE5"/>
    <w:rsid w:val="005C2028"/>
    <w:rsid w:val="005C2695"/>
    <w:rsid w:val="005C26B0"/>
    <w:rsid w:val="005C28BB"/>
    <w:rsid w:val="005C31B5"/>
    <w:rsid w:val="005C3210"/>
    <w:rsid w:val="005C355E"/>
    <w:rsid w:val="005C360D"/>
    <w:rsid w:val="005C3B5F"/>
    <w:rsid w:val="005C3C57"/>
    <w:rsid w:val="005C3E36"/>
    <w:rsid w:val="005C3F77"/>
    <w:rsid w:val="005C41BD"/>
    <w:rsid w:val="005C4B27"/>
    <w:rsid w:val="005C4F55"/>
    <w:rsid w:val="005C5435"/>
    <w:rsid w:val="005C5477"/>
    <w:rsid w:val="005C55E4"/>
    <w:rsid w:val="005C60E1"/>
    <w:rsid w:val="005C6170"/>
    <w:rsid w:val="005C62DD"/>
    <w:rsid w:val="005C6312"/>
    <w:rsid w:val="005C64C8"/>
    <w:rsid w:val="005C664E"/>
    <w:rsid w:val="005C66BE"/>
    <w:rsid w:val="005C6B70"/>
    <w:rsid w:val="005C6D6F"/>
    <w:rsid w:val="005C6F81"/>
    <w:rsid w:val="005C7537"/>
    <w:rsid w:val="005C7795"/>
    <w:rsid w:val="005C78D7"/>
    <w:rsid w:val="005C7AC8"/>
    <w:rsid w:val="005C7E09"/>
    <w:rsid w:val="005C7F12"/>
    <w:rsid w:val="005D03FD"/>
    <w:rsid w:val="005D06CB"/>
    <w:rsid w:val="005D075E"/>
    <w:rsid w:val="005D0925"/>
    <w:rsid w:val="005D09B8"/>
    <w:rsid w:val="005D1410"/>
    <w:rsid w:val="005D1543"/>
    <w:rsid w:val="005D169D"/>
    <w:rsid w:val="005D187A"/>
    <w:rsid w:val="005D23A3"/>
    <w:rsid w:val="005D2508"/>
    <w:rsid w:val="005D2737"/>
    <w:rsid w:val="005D2782"/>
    <w:rsid w:val="005D27C3"/>
    <w:rsid w:val="005D27D4"/>
    <w:rsid w:val="005D2830"/>
    <w:rsid w:val="005D286B"/>
    <w:rsid w:val="005D2969"/>
    <w:rsid w:val="005D33DE"/>
    <w:rsid w:val="005D3596"/>
    <w:rsid w:val="005D377D"/>
    <w:rsid w:val="005D3817"/>
    <w:rsid w:val="005D3AEA"/>
    <w:rsid w:val="005D3C5B"/>
    <w:rsid w:val="005D3E4A"/>
    <w:rsid w:val="005D3F51"/>
    <w:rsid w:val="005D4500"/>
    <w:rsid w:val="005D46ED"/>
    <w:rsid w:val="005D4831"/>
    <w:rsid w:val="005D48B3"/>
    <w:rsid w:val="005D4AB6"/>
    <w:rsid w:val="005D4BF5"/>
    <w:rsid w:val="005D4D23"/>
    <w:rsid w:val="005D4FFA"/>
    <w:rsid w:val="005D5517"/>
    <w:rsid w:val="005D557C"/>
    <w:rsid w:val="005D58FF"/>
    <w:rsid w:val="005D5930"/>
    <w:rsid w:val="005D5E8C"/>
    <w:rsid w:val="005D608A"/>
    <w:rsid w:val="005D60C1"/>
    <w:rsid w:val="005D648F"/>
    <w:rsid w:val="005D6AEB"/>
    <w:rsid w:val="005D6DA3"/>
    <w:rsid w:val="005D6E40"/>
    <w:rsid w:val="005D6E5B"/>
    <w:rsid w:val="005D7444"/>
    <w:rsid w:val="005D75BA"/>
    <w:rsid w:val="005D790E"/>
    <w:rsid w:val="005D7E8E"/>
    <w:rsid w:val="005D7F47"/>
    <w:rsid w:val="005E00B1"/>
    <w:rsid w:val="005E00E7"/>
    <w:rsid w:val="005E0736"/>
    <w:rsid w:val="005E0B66"/>
    <w:rsid w:val="005E0BF1"/>
    <w:rsid w:val="005E0CEF"/>
    <w:rsid w:val="005E0E81"/>
    <w:rsid w:val="005E0EC6"/>
    <w:rsid w:val="005E0EEB"/>
    <w:rsid w:val="005E109D"/>
    <w:rsid w:val="005E1123"/>
    <w:rsid w:val="005E12A8"/>
    <w:rsid w:val="005E12C6"/>
    <w:rsid w:val="005E1698"/>
    <w:rsid w:val="005E1AD9"/>
    <w:rsid w:val="005E1D20"/>
    <w:rsid w:val="005E20D3"/>
    <w:rsid w:val="005E2177"/>
    <w:rsid w:val="005E24F8"/>
    <w:rsid w:val="005E267E"/>
    <w:rsid w:val="005E325C"/>
    <w:rsid w:val="005E330B"/>
    <w:rsid w:val="005E3376"/>
    <w:rsid w:val="005E3535"/>
    <w:rsid w:val="005E38AE"/>
    <w:rsid w:val="005E3CAB"/>
    <w:rsid w:val="005E3D0D"/>
    <w:rsid w:val="005E3F49"/>
    <w:rsid w:val="005E421D"/>
    <w:rsid w:val="005E42EF"/>
    <w:rsid w:val="005E49E1"/>
    <w:rsid w:val="005E4A14"/>
    <w:rsid w:val="005E4A9A"/>
    <w:rsid w:val="005E4C26"/>
    <w:rsid w:val="005E5306"/>
    <w:rsid w:val="005E556D"/>
    <w:rsid w:val="005E56F6"/>
    <w:rsid w:val="005E59EB"/>
    <w:rsid w:val="005E5B1E"/>
    <w:rsid w:val="005E5B9B"/>
    <w:rsid w:val="005E5DCD"/>
    <w:rsid w:val="005E5E2E"/>
    <w:rsid w:val="005E5EDB"/>
    <w:rsid w:val="005E612C"/>
    <w:rsid w:val="005E64D2"/>
    <w:rsid w:val="005E674E"/>
    <w:rsid w:val="005E6757"/>
    <w:rsid w:val="005E677D"/>
    <w:rsid w:val="005E6876"/>
    <w:rsid w:val="005E6A69"/>
    <w:rsid w:val="005E6A80"/>
    <w:rsid w:val="005E6CFC"/>
    <w:rsid w:val="005E6D15"/>
    <w:rsid w:val="005E7040"/>
    <w:rsid w:val="005E71AC"/>
    <w:rsid w:val="005E71AE"/>
    <w:rsid w:val="005E77C7"/>
    <w:rsid w:val="005E7D2C"/>
    <w:rsid w:val="005E7EEF"/>
    <w:rsid w:val="005F0975"/>
    <w:rsid w:val="005F12A3"/>
    <w:rsid w:val="005F1642"/>
    <w:rsid w:val="005F1894"/>
    <w:rsid w:val="005F1959"/>
    <w:rsid w:val="005F1B66"/>
    <w:rsid w:val="005F1BC7"/>
    <w:rsid w:val="005F1CC8"/>
    <w:rsid w:val="005F1E01"/>
    <w:rsid w:val="005F1EF3"/>
    <w:rsid w:val="005F1FE8"/>
    <w:rsid w:val="005F228C"/>
    <w:rsid w:val="005F23E4"/>
    <w:rsid w:val="005F249D"/>
    <w:rsid w:val="005F2665"/>
    <w:rsid w:val="005F2687"/>
    <w:rsid w:val="005F268D"/>
    <w:rsid w:val="005F2805"/>
    <w:rsid w:val="005F291C"/>
    <w:rsid w:val="005F2A70"/>
    <w:rsid w:val="005F3371"/>
    <w:rsid w:val="005F3432"/>
    <w:rsid w:val="005F34E8"/>
    <w:rsid w:val="005F361D"/>
    <w:rsid w:val="005F371D"/>
    <w:rsid w:val="005F38B1"/>
    <w:rsid w:val="005F3B7D"/>
    <w:rsid w:val="005F3C91"/>
    <w:rsid w:val="005F3F08"/>
    <w:rsid w:val="005F4225"/>
    <w:rsid w:val="005F445F"/>
    <w:rsid w:val="005F4D31"/>
    <w:rsid w:val="005F4F2E"/>
    <w:rsid w:val="005F5740"/>
    <w:rsid w:val="005F57CE"/>
    <w:rsid w:val="005F6B49"/>
    <w:rsid w:val="005F6DA5"/>
    <w:rsid w:val="005F71FC"/>
    <w:rsid w:val="005F739D"/>
    <w:rsid w:val="005F73FA"/>
    <w:rsid w:val="005F75DF"/>
    <w:rsid w:val="005F7ADE"/>
    <w:rsid w:val="005F7B36"/>
    <w:rsid w:val="005F7F37"/>
    <w:rsid w:val="005F7F47"/>
    <w:rsid w:val="00600237"/>
    <w:rsid w:val="0060023A"/>
    <w:rsid w:val="006002C5"/>
    <w:rsid w:val="006005CC"/>
    <w:rsid w:val="00600AC3"/>
    <w:rsid w:val="00600CE3"/>
    <w:rsid w:val="00600D59"/>
    <w:rsid w:val="006010A9"/>
    <w:rsid w:val="006011F0"/>
    <w:rsid w:val="006014C3"/>
    <w:rsid w:val="00601552"/>
    <w:rsid w:val="00601704"/>
    <w:rsid w:val="006018A2"/>
    <w:rsid w:val="00601EE5"/>
    <w:rsid w:val="006024C6"/>
    <w:rsid w:val="00602B27"/>
    <w:rsid w:val="00602C81"/>
    <w:rsid w:val="006030C6"/>
    <w:rsid w:val="0060358D"/>
    <w:rsid w:val="00603614"/>
    <w:rsid w:val="00603997"/>
    <w:rsid w:val="00603BE0"/>
    <w:rsid w:val="00603CE3"/>
    <w:rsid w:val="00603DA7"/>
    <w:rsid w:val="00603DE1"/>
    <w:rsid w:val="00603E80"/>
    <w:rsid w:val="00604545"/>
    <w:rsid w:val="00604758"/>
    <w:rsid w:val="00604906"/>
    <w:rsid w:val="00604DF6"/>
    <w:rsid w:val="00604E91"/>
    <w:rsid w:val="006055C7"/>
    <w:rsid w:val="00605B31"/>
    <w:rsid w:val="00605B7B"/>
    <w:rsid w:val="006062E8"/>
    <w:rsid w:val="00606B30"/>
    <w:rsid w:val="00606D5E"/>
    <w:rsid w:val="0060716E"/>
    <w:rsid w:val="006071D0"/>
    <w:rsid w:val="00607488"/>
    <w:rsid w:val="006076AB"/>
    <w:rsid w:val="00607911"/>
    <w:rsid w:val="00607F95"/>
    <w:rsid w:val="00610101"/>
    <w:rsid w:val="0061014D"/>
    <w:rsid w:val="00610A87"/>
    <w:rsid w:val="00610C8F"/>
    <w:rsid w:val="00610CC8"/>
    <w:rsid w:val="00610D59"/>
    <w:rsid w:val="006111EF"/>
    <w:rsid w:val="006115BD"/>
    <w:rsid w:val="006116BA"/>
    <w:rsid w:val="00611762"/>
    <w:rsid w:val="00611822"/>
    <w:rsid w:val="00611D46"/>
    <w:rsid w:val="00611E27"/>
    <w:rsid w:val="0061216F"/>
    <w:rsid w:val="00612217"/>
    <w:rsid w:val="006122FA"/>
    <w:rsid w:val="00612DF3"/>
    <w:rsid w:val="00612ED9"/>
    <w:rsid w:val="00614A5E"/>
    <w:rsid w:val="00614CE2"/>
    <w:rsid w:val="00614FA1"/>
    <w:rsid w:val="0061503F"/>
    <w:rsid w:val="0061506D"/>
    <w:rsid w:val="006150F2"/>
    <w:rsid w:val="00615504"/>
    <w:rsid w:val="006157E1"/>
    <w:rsid w:val="00615BC6"/>
    <w:rsid w:val="00615D6D"/>
    <w:rsid w:val="00615ECB"/>
    <w:rsid w:val="0061610D"/>
    <w:rsid w:val="00616ECD"/>
    <w:rsid w:val="00616EF9"/>
    <w:rsid w:val="00617247"/>
    <w:rsid w:val="006174C2"/>
    <w:rsid w:val="00617616"/>
    <w:rsid w:val="00620599"/>
    <w:rsid w:val="006205B7"/>
    <w:rsid w:val="006207BC"/>
    <w:rsid w:val="00620898"/>
    <w:rsid w:val="00620949"/>
    <w:rsid w:val="00620B6B"/>
    <w:rsid w:val="00620B92"/>
    <w:rsid w:val="00620E42"/>
    <w:rsid w:val="00621295"/>
    <w:rsid w:val="0062181F"/>
    <w:rsid w:val="00621852"/>
    <w:rsid w:val="0062268A"/>
    <w:rsid w:val="00622C33"/>
    <w:rsid w:val="006233AC"/>
    <w:rsid w:val="006238E7"/>
    <w:rsid w:val="00623AA9"/>
    <w:rsid w:val="00623CDA"/>
    <w:rsid w:val="00623CDC"/>
    <w:rsid w:val="00624024"/>
    <w:rsid w:val="00624620"/>
    <w:rsid w:val="00625512"/>
    <w:rsid w:val="00625873"/>
    <w:rsid w:val="006259AA"/>
    <w:rsid w:val="00625D20"/>
    <w:rsid w:val="00625F01"/>
    <w:rsid w:val="00626646"/>
    <w:rsid w:val="006267A0"/>
    <w:rsid w:val="006268EC"/>
    <w:rsid w:val="00626A5C"/>
    <w:rsid w:val="00627449"/>
    <w:rsid w:val="006275E7"/>
    <w:rsid w:val="00627B9A"/>
    <w:rsid w:val="00627BEE"/>
    <w:rsid w:val="00627BEF"/>
    <w:rsid w:val="00627CEE"/>
    <w:rsid w:val="00630C9F"/>
    <w:rsid w:val="00630FE7"/>
    <w:rsid w:val="00631133"/>
    <w:rsid w:val="00631566"/>
    <w:rsid w:val="0063171A"/>
    <w:rsid w:val="00631C4D"/>
    <w:rsid w:val="00631D70"/>
    <w:rsid w:val="00631F39"/>
    <w:rsid w:val="00631FA4"/>
    <w:rsid w:val="006320BA"/>
    <w:rsid w:val="0063223D"/>
    <w:rsid w:val="0063266F"/>
    <w:rsid w:val="006327FB"/>
    <w:rsid w:val="00632876"/>
    <w:rsid w:val="00632AC6"/>
    <w:rsid w:val="006330A4"/>
    <w:rsid w:val="006333D6"/>
    <w:rsid w:val="00633BB9"/>
    <w:rsid w:val="006340EF"/>
    <w:rsid w:val="0063426D"/>
    <w:rsid w:val="00634DE1"/>
    <w:rsid w:val="006352B2"/>
    <w:rsid w:val="00635304"/>
    <w:rsid w:val="006364BA"/>
    <w:rsid w:val="00636598"/>
    <w:rsid w:val="00636C90"/>
    <w:rsid w:val="006371E4"/>
    <w:rsid w:val="006376D5"/>
    <w:rsid w:val="006377F7"/>
    <w:rsid w:val="00637BA9"/>
    <w:rsid w:val="00637D87"/>
    <w:rsid w:val="0064002C"/>
    <w:rsid w:val="006400E0"/>
    <w:rsid w:val="006401F4"/>
    <w:rsid w:val="00640CB7"/>
    <w:rsid w:val="00640D3B"/>
    <w:rsid w:val="00640EF9"/>
    <w:rsid w:val="006410EE"/>
    <w:rsid w:val="006410F1"/>
    <w:rsid w:val="0064145B"/>
    <w:rsid w:val="006414EF"/>
    <w:rsid w:val="00641600"/>
    <w:rsid w:val="006417C9"/>
    <w:rsid w:val="00641A44"/>
    <w:rsid w:val="00641B6E"/>
    <w:rsid w:val="00641BAE"/>
    <w:rsid w:val="00641EB3"/>
    <w:rsid w:val="00641FEC"/>
    <w:rsid w:val="006425DF"/>
    <w:rsid w:val="0064264B"/>
    <w:rsid w:val="006428C8"/>
    <w:rsid w:val="00642A22"/>
    <w:rsid w:val="00642C61"/>
    <w:rsid w:val="00642C85"/>
    <w:rsid w:val="00642C8B"/>
    <w:rsid w:val="00642CC7"/>
    <w:rsid w:val="00642F18"/>
    <w:rsid w:val="006431F0"/>
    <w:rsid w:val="0064324B"/>
    <w:rsid w:val="00643302"/>
    <w:rsid w:val="0064348C"/>
    <w:rsid w:val="006434A6"/>
    <w:rsid w:val="00643C0C"/>
    <w:rsid w:val="00643E2B"/>
    <w:rsid w:val="00643FD0"/>
    <w:rsid w:val="0064435D"/>
    <w:rsid w:val="006443C0"/>
    <w:rsid w:val="00644457"/>
    <w:rsid w:val="00644972"/>
    <w:rsid w:val="00644A0F"/>
    <w:rsid w:val="006452A0"/>
    <w:rsid w:val="0064585D"/>
    <w:rsid w:val="00645AF1"/>
    <w:rsid w:val="0064604B"/>
    <w:rsid w:val="00646130"/>
    <w:rsid w:val="006461E6"/>
    <w:rsid w:val="0064621F"/>
    <w:rsid w:val="00646922"/>
    <w:rsid w:val="00646A2E"/>
    <w:rsid w:val="00646DC6"/>
    <w:rsid w:val="00647249"/>
    <w:rsid w:val="006473BE"/>
    <w:rsid w:val="006474FB"/>
    <w:rsid w:val="00647590"/>
    <w:rsid w:val="00647819"/>
    <w:rsid w:val="00647A1B"/>
    <w:rsid w:val="00647E1B"/>
    <w:rsid w:val="00647EF8"/>
    <w:rsid w:val="00647FF0"/>
    <w:rsid w:val="0065043E"/>
    <w:rsid w:val="00650613"/>
    <w:rsid w:val="006507F5"/>
    <w:rsid w:val="006508C2"/>
    <w:rsid w:val="00650C06"/>
    <w:rsid w:val="00650FA0"/>
    <w:rsid w:val="0065117A"/>
    <w:rsid w:val="00651450"/>
    <w:rsid w:val="00651C98"/>
    <w:rsid w:val="00651EBE"/>
    <w:rsid w:val="006532E8"/>
    <w:rsid w:val="006535DD"/>
    <w:rsid w:val="0065364F"/>
    <w:rsid w:val="006536A5"/>
    <w:rsid w:val="00653761"/>
    <w:rsid w:val="00653808"/>
    <w:rsid w:val="00653ADD"/>
    <w:rsid w:val="00653C0C"/>
    <w:rsid w:val="00653C80"/>
    <w:rsid w:val="00654058"/>
    <w:rsid w:val="006541C9"/>
    <w:rsid w:val="00654694"/>
    <w:rsid w:val="006549A5"/>
    <w:rsid w:val="00654ABE"/>
    <w:rsid w:val="00655123"/>
    <w:rsid w:val="006552CD"/>
    <w:rsid w:val="00655690"/>
    <w:rsid w:val="00655FBA"/>
    <w:rsid w:val="0065609B"/>
    <w:rsid w:val="0065612B"/>
    <w:rsid w:val="0065638B"/>
    <w:rsid w:val="00656741"/>
    <w:rsid w:val="00656AD7"/>
    <w:rsid w:val="00656C5E"/>
    <w:rsid w:val="00656D71"/>
    <w:rsid w:val="00657086"/>
    <w:rsid w:val="006570E4"/>
    <w:rsid w:val="00657202"/>
    <w:rsid w:val="00657B66"/>
    <w:rsid w:val="00657C06"/>
    <w:rsid w:val="00657F2B"/>
    <w:rsid w:val="00657F68"/>
    <w:rsid w:val="006600B3"/>
    <w:rsid w:val="00660206"/>
    <w:rsid w:val="00660367"/>
    <w:rsid w:val="006608ED"/>
    <w:rsid w:val="00660AAC"/>
    <w:rsid w:val="0066115D"/>
    <w:rsid w:val="00661299"/>
    <w:rsid w:val="006612B5"/>
    <w:rsid w:val="0066143B"/>
    <w:rsid w:val="006614A3"/>
    <w:rsid w:val="00661519"/>
    <w:rsid w:val="0066159D"/>
    <w:rsid w:val="00661791"/>
    <w:rsid w:val="006619C5"/>
    <w:rsid w:val="00662407"/>
    <w:rsid w:val="00662DD3"/>
    <w:rsid w:val="00662FE2"/>
    <w:rsid w:val="0066317C"/>
    <w:rsid w:val="006632B5"/>
    <w:rsid w:val="00663380"/>
    <w:rsid w:val="00663386"/>
    <w:rsid w:val="006633B5"/>
    <w:rsid w:val="00663535"/>
    <w:rsid w:val="006635A4"/>
    <w:rsid w:val="00663D00"/>
    <w:rsid w:val="00664083"/>
    <w:rsid w:val="006646A4"/>
    <w:rsid w:val="00664A4C"/>
    <w:rsid w:val="00664CDA"/>
    <w:rsid w:val="00664F41"/>
    <w:rsid w:val="006654D0"/>
    <w:rsid w:val="00665592"/>
    <w:rsid w:val="00665DA0"/>
    <w:rsid w:val="00666F8D"/>
    <w:rsid w:val="006670BE"/>
    <w:rsid w:val="00667231"/>
    <w:rsid w:val="006673F1"/>
    <w:rsid w:val="0066782F"/>
    <w:rsid w:val="006700C6"/>
    <w:rsid w:val="006701CD"/>
    <w:rsid w:val="00670270"/>
    <w:rsid w:val="00670A53"/>
    <w:rsid w:val="00670B94"/>
    <w:rsid w:val="00670F19"/>
    <w:rsid w:val="00671067"/>
    <w:rsid w:val="0067139D"/>
    <w:rsid w:val="0067150F"/>
    <w:rsid w:val="006715E7"/>
    <w:rsid w:val="006719A7"/>
    <w:rsid w:val="00672F2D"/>
    <w:rsid w:val="00672F64"/>
    <w:rsid w:val="00673442"/>
    <w:rsid w:val="00673919"/>
    <w:rsid w:val="00673BFA"/>
    <w:rsid w:val="00673DB3"/>
    <w:rsid w:val="00673EAF"/>
    <w:rsid w:val="0067402D"/>
    <w:rsid w:val="006747F9"/>
    <w:rsid w:val="00674C34"/>
    <w:rsid w:val="00674DE6"/>
    <w:rsid w:val="00674E36"/>
    <w:rsid w:val="00674FC9"/>
    <w:rsid w:val="00675294"/>
    <w:rsid w:val="0067539F"/>
    <w:rsid w:val="0067540A"/>
    <w:rsid w:val="00675D0F"/>
    <w:rsid w:val="00675EF9"/>
    <w:rsid w:val="0067606C"/>
    <w:rsid w:val="006765A5"/>
    <w:rsid w:val="0067686D"/>
    <w:rsid w:val="0067692C"/>
    <w:rsid w:val="0067698F"/>
    <w:rsid w:val="00676D42"/>
    <w:rsid w:val="0067718A"/>
    <w:rsid w:val="00677573"/>
    <w:rsid w:val="00677851"/>
    <w:rsid w:val="00677C3A"/>
    <w:rsid w:val="006807C2"/>
    <w:rsid w:val="00680902"/>
    <w:rsid w:val="00680BCE"/>
    <w:rsid w:val="00681162"/>
    <w:rsid w:val="00681612"/>
    <w:rsid w:val="00681827"/>
    <w:rsid w:val="0068185C"/>
    <w:rsid w:val="00681896"/>
    <w:rsid w:val="00681976"/>
    <w:rsid w:val="00681AAD"/>
    <w:rsid w:val="00681BFE"/>
    <w:rsid w:val="00681E56"/>
    <w:rsid w:val="00682536"/>
    <w:rsid w:val="0068294E"/>
    <w:rsid w:val="00682C30"/>
    <w:rsid w:val="00682DB6"/>
    <w:rsid w:val="0068302F"/>
    <w:rsid w:val="00683215"/>
    <w:rsid w:val="00683344"/>
    <w:rsid w:val="0068383C"/>
    <w:rsid w:val="006838F9"/>
    <w:rsid w:val="00683C12"/>
    <w:rsid w:val="00684308"/>
    <w:rsid w:val="00684457"/>
    <w:rsid w:val="006845BC"/>
    <w:rsid w:val="00684C45"/>
    <w:rsid w:val="00684C4E"/>
    <w:rsid w:val="00685D13"/>
    <w:rsid w:val="00685FEA"/>
    <w:rsid w:val="006860C6"/>
    <w:rsid w:val="00686113"/>
    <w:rsid w:val="00686C33"/>
    <w:rsid w:val="00686E06"/>
    <w:rsid w:val="00686F7A"/>
    <w:rsid w:val="0068708A"/>
    <w:rsid w:val="006875E5"/>
    <w:rsid w:val="00687802"/>
    <w:rsid w:val="006879CE"/>
    <w:rsid w:val="00687DE7"/>
    <w:rsid w:val="00687EAA"/>
    <w:rsid w:val="006907B9"/>
    <w:rsid w:val="006908E0"/>
    <w:rsid w:val="00690BEE"/>
    <w:rsid w:val="00691138"/>
    <w:rsid w:val="00691376"/>
    <w:rsid w:val="00691B77"/>
    <w:rsid w:val="00691C98"/>
    <w:rsid w:val="00691D2E"/>
    <w:rsid w:val="00691E81"/>
    <w:rsid w:val="00691F6D"/>
    <w:rsid w:val="00692011"/>
    <w:rsid w:val="0069262F"/>
    <w:rsid w:val="00692882"/>
    <w:rsid w:val="00692B81"/>
    <w:rsid w:val="00692BB4"/>
    <w:rsid w:val="00692DE6"/>
    <w:rsid w:val="00692F2E"/>
    <w:rsid w:val="00693259"/>
    <w:rsid w:val="00693344"/>
    <w:rsid w:val="00693439"/>
    <w:rsid w:val="00693A3D"/>
    <w:rsid w:val="00693E73"/>
    <w:rsid w:val="00694033"/>
    <w:rsid w:val="0069416F"/>
    <w:rsid w:val="00694B8C"/>
    <w:rsid w:val="00694C40"/>
    <w:rsid w:val="00694EAB"/>
    <w:rsid w:val="0069552C"/>
    <w:rsid w:val="00695C68"/>
    <w:rsid w:val="00696475"/>
    <w:rsid w:val="0069680D"/>
    <w:rsid w:val="00696BC4"/>
    <w:rsid w:val="00696F51"/>
    <w:rsid w:val="006972BE"/>
    <w:rsid w:val="006978D0"/>
    <w:rsid w:val="006979E6"/>
    <w:rsid w:val="006A0086"/>
    <w:rsid w:val="006A0318"/>
    <w:rsid w:val="006A05E4"/>
    <w:rsid w:val="006A09F3"/>
    <w:rsid w:val="006A0B4B"/>
    <w:rsid w:val="006A0C0E"/>
    <w:rsid w:val="006A0DED"/>
    <w:rsid w:val="006A0E66"/>
    <w:rsid w:val="006A12F3"/>
    <w:rsid w:val="006A1577"/>
    <w:rsid w:val="006A1993"/>
    <w:rsid w:val="006A1B7A"/>
    <w:rsid w:val="006A1D9E"/>
    <w:rsid w:val="006A1EC3"/>
    <w:rsid w:val="006A211C"/>
    <w:rsid w:val="006A21E8"/>
    <w:rsid w:val="006A245D"/>
    <w:rsid w:val="006A24E4"/>
    <w:rsid w:val="006A2508"/>
    <w:rsid w:val="006A281E"/>
    <w:rsid w:val="006A28D3"/>
    <w:rsid w:val="006A29E3"/>
    <w:rsid w:val="006A2B2A"/>
    <w:rsid w:val="006A2CF1"/>
    <w:rsid w:val="006A2E2F"/>
    <w:rsid w:val="006A2F54"/>
    <w:rsid w:val="006A30FB"/>
    <w:rsid w:val="006A3114"/>
    <w:rsid w:val="006A31D7"/>
    <w:rsid w:val="006A3411"/>
    <w:rsid w:val="006A3DB2"/>
    <w:rsid w:val="006A3F5A"/>
    <w:rsid w:val="006A42E9"/>
    <w:rsid w:val="006A4556"/>
    <w:rsid w:val="006A46B2"/>
    <w:rsid w:val="006A4897"/>
    <w:rsid w:val="006A4BC2"/>
    <w:rsid w:val="006A4C17"/>
    <w:rsid w:val="006A4C6A"/>
    <w:rsid w:val="006A51B7"/>
    <w:rsid w:val="006A525D"/>
    <w:rsid w:val="006A58BB"/>
    <w:rsid w:val="006A5ED0"/>
    <w:rsid w:val="006A6171"/>
    <w:rsid w:val="006A6940"/>
    <w:rsid w:val="006A74C8"/>
    <w:rsid w:val="006A74F5"/>
    <w:rsid w:val="006A7685"/>
    <w:rsid w:val="006A788B"/>
    <w:rsid w:val="006A7E2A"/>
    <w:rsid w:val="006B0034"/>
    <w:rsid w:val="006B0328"/>
    <w:rsid w:val="006B03C4"/>
    <w:rsid w:val="006B0636"/>
    <w:rsid w:val="006B0A25"/>
    <w:rsid w:val="006B0C91"/>
    <w:rsid w:val="006B0F06"/>
    <w:rsid w:val="006B115C"/>
    <w:rsid w:val="006B133F"/>
    <w:rsid w:val="006B15A7"/>
    <w:rsid w:val="006B1BD2"/>
    <w:rsid w:val="006B1E62"/>
    <w:rsid w:val="006B20DB"/>
    <w:rsid w:val="006B222A"/>
    <w:rsid w:val="006B2342"/>
    <w:rsid w:val="006B2CF3"/>
    <w:rsid w:val="006B3832"/>
    <w:rsid w:val="006B3B79"/>
    <w:rsid w:val="006B3C42"/>
    <w:rsid w:val="006B3DFF"/>
    <w:rsid w:val="006B3E22"/>
    <w:rsid w:val="006B42FD"/>
    <w:rsid w:val="006B4343"/>
    <w:rsid w:val="006B47CC"/>
    <w:rsid w:val="006B49CC"/>
    <w:rsid w:val="006B4AFF"/>
    <w:rsid w:val="006B4B46"/>
    <w:rsid w:val="006B5862"/>
    <w:rsid w:val="006B5EB3"/>
    <w:rsid w:val="006B5F0E"/>
    <w:rsid w:val="006B659C"/>
    <w:rsid w:val="006B686D"/>
    <w:rsid w:val="006B79D3"/>
    <w:rsid w:val="006B7B7E"/>
    <w:rsid w:val="006B7D5A"/>
    <w:rsid w:val="006C042E"/>
    <w:rsid w:val="006C0D30"/>
    <w:rsid w:val="006C0D65"/>
    <w:rsid w:val="006C139E"/>
    <w:rsid w:val="006C1A05"/>
    <w:rsid w:val="006C1E25"/>
    <w:rsid w:val="006C1EE6"/>
    <w:rsid w:val="006C1FDC"/>
    <w:rsid w:val="006C2626"/>
    <w:rsid w:val="006C2C13"/>
    <w:rsid w:val="006C2CD9"/>
    <w:rsid w:val="006C2EB0"/>
    <w:rsid w:val="006C2F48"/>
    <w:rsid w:val="006C2F55"/>
    <w:rsid w:val="006C3327"/>
    <w:rsid w:val="006C35CF"/>
    <w:rsid w:val="006C388B"/>
    <w:rsid w:val="006C389D"/>
    <w:rsid w:val="006C38B9"/>
    <w:rsid w:val="006C3F2C"/>
    <w:rsid w:val="006C3F8F"/>
    <w:rsid w:val="006C4116"/>
    <w:rsid w:val="006C4754"/>
    <w:rsid w:val="006C4760"/>
    <w:rsid w:val="006C49CB"/>
    <w:rsid w:val="006C4BF1"/>
    <w:rsid w:val="006C5199"/>
    <w:rsid w:val="006C54B2"/>
    <w:rsid w:val="006C54CF"/>
    <w:rsid w:val="006C5A9F"/>
    <w:rsid w:val="006C5C45"/>
    <w:rsid w:val="006C5D6F"/>
    <w:rsid w:val="006C5FC7"/>
    <w:rsid w:val="006C67F0"/>
    <w:rsid w:val="006C6814"/>
    <w:rsid w:val="006C6BDD"/>
    <w:rsid w:val="006C6C2C"/>
    <w:rsid w:val="006C6EBA"/>
    <w:rsid w:val="006C701A"/>
    <w:rsid w:val="006C706A"/>
    <w:rsid w:val="006C7455"/>
    <w:rsid w:val="006C7604"/>
    <w:rsid w:val="006C7717"/>
    <w:rsid w:val="006C7E3E"/>
    <w:rsid w:val="006D003A"/>
    <w:rsid w:val="006D0249"/>
    <w:rsid w:val="006D03B4"/>
    <w:rsid w:val="006D0447"/>
    <w:rsid w:val="006D07AD"/>
    <w:rsid w:val="006D0B92"/>
    <w:rsid w:val="006D0BC0"/>
    <w:rsid w:val="006D0F97"/>
    <w:rsid w:val="006D1195"/>
    <w:rsid w:val="006D173C"/>
    <w:rsid w:val="006D1A76"/>
    <w:rsid w:val="006D1B00"/>
    <w:rsid w:val="006D20BD"/>
    <w:rsid w:val="006D20BE"/>
    <w:rsid w:val="006D22D4"/>
    <w:rsid w:val="006D22EB"/>
    <w:rsid w:val="006D24C4"/>
    <w:rsid w:val="006D27FF"/>
    <w:rsid w:val="006D29AA"/>
    <w:rsid w:val="006D2AB3"/>
    <w:rsid w:val="006D35C0"/>
    <w:rsid w:val="006D362A"/>
    <w:rsid w:val="006D38DE"/>
    <w:rsid w:val="006D3B79"/>
    <w:rsid w:val="006D3EEF"/>
    <w:rsid w:val="006D3EF4"/>
    <w:rsid w:val="006D42E8"/>
    <w:rsid w:val="006D4427"/>
    <w:rsid w:val="006D45B6"/>
    <w:rsid w:val="006D47AB"/>
    <w:rsid w:val="006D4BDB"/>
    <w:rsid w:val="006D5162"/>
    <w:rsid w:val="006D5343"/>
    <w:rsid w:val="006D5463"/>
    <w:rsid w:val="006D57A9"/>
    <w:rsid w:val="006D615C"/>
    <w:rsid w:val="006D684A"/>
    <w:rsid w:val="006D6AD8"/>
    <w:rsid w:val="006D6D1B"/>
    <w:rsid w:val="006D6DF6"/>
    <w:rsid w:val="006D6FD4"/>
    <w:rsid w:val="006D70C4"/>
    <w:rsid w:val="006D7189"/>
    <w:rsid w:val="006D72F3"/>
    <w:rsid w:val="006D7835"/>
    <w:rsid w:val="006D7C18"/>
    <w:rsid w:val="006E021E"/>
    <w:rsid w:val="006E0746"/>
    <w:rsid w:val="006E092B"/>
    <w:rsid w:val="006E0BDC"/>
    <w:rsid w:val="006E0BE8"/>
    <w:rsid w:val="006E11C8"/>
    <w:rsid w:val="006E18D5"/>
    <w:rsid w:val="006E1A6E"/>
    <w:rsid w:val="006E1AEC"/>
    <w:rsid w:val="006E1B4E"/>
    <w:rsid w:val="006E1CCF"/>
    <w:rsid w:val="006E2403"/>
    <w:rsid w:val="006E2609"/>
    <w:rsid w:val="006E2636"/>
    <w:rsid w:val="006E277C"/>
    <w:rsid w:val="006E2A72"/>
    <w:rsid w:val="006E2AE0"/>
    <w:rsid w:val="006E2B46"/>
    <w:rsid w:val="006E2C3F"/>
    <w:rsid w:val="006E31AA"/>
    <w:rsid w:val="006E31C0"/>
    <w:rsid w:val="006E32D0"/>
    <w:rsid w:val="006E332E"/>
    <w:rsid w:val="006E385C"/>
    <w:rsid w:val="006E3A66"/>
    <w:rsid w:val="006E3C40"/>
    <w:rsid w:val="006E3D59"/>
    <w:rsid w:val="006E42FB"/>
    <w:rsid w:val="006E46CA"/>
    <w:rsid w:val="006E4800"/>
    <w:rsid w:val="006E4969"/>
    <w:rsid w:val="006E4A7A"/>
    <w:rsid w:val="006E4B7C"/>
    <w:rsid w:val="006E54E2"/>
    <w:rsid w:val="006E595A"/>
    <w:rsid w:val="006E5AC1"/>
    <w:rsid w:val="006E5B20"/>
    <w:rsid w:val="006E637F"/>
    <w:rsid w:val="006E67E7"/>
    <w:rsid w:val="006E68A4"/>
    <w:rsid w:val="006E6B3B"/>
    <w:rsid w:val="006E7086"/>
    <w:rsid w:val="006E70CA"/>
    <w:rsid w:val="006E7279"/>
    <w:rsid w:val="006E7615"/>
    <w:rsid w:val="006E7C06"/>
    <w:rsid w:val="006E7EA2"/>
    <w:rsid w:val="006F050D"/>
    <w:rsid w:val="006F0951"/>
    <w:rsid w:val="006F0BAE"/>
    <w:rsid w:val="006F0C80"/>
    <w:rsid w:val="006F0E3A"/>
    <w:rsid w:val="006F0E9B"/>
    <w:rsid w:val="006F16A0"/>
    <w:rsid w:val="006F191B"/>
    <w:rsid w:val="006F1AB0"/>
    <w:rsid w:val="006F1B15"/>
    <w:rsid w:val="006F1CAD"/>
    <w:rsid w:val="006F205C"/>
    <w:rsid w:val="006F213B"/>
    <w:rsid w:val="006F2374"/>
    <w:rsid w:val="006F3007"/>
    <w:rsid w:val="006F302B"/>
    <w:rsid w:val="006F30B3"/>
    <w:rsid w:val="006F3564"/>
    <w:rsid w:val="006F3B44"/>
    <w:rsid w:val="006F3F92"/>
    <w:rsid w:val="006F4441"/>
    <w:rsid w:val="006F4AB3"/>
    <w:rsid w:val="006F4BEA"/>
    <w:rsid w:val="006F4CB2"/>
    <w:rsid w:val="006F4F1C"/>
    <w:rsid w:val="006F559E"/>
    <w:rsid w:val="006F5AD1"/>
    <w:rsid w:val="006F5C86"/>
    <w:rsid w:val="006F5ED9"/>
    <w:rsid w:val="006F6072"/>
    <w:rsid w:val="006F60A4"/>
    <w:rsid w:val="006F6393"/>
    <w:rsid w:val="006F64B5"/>
    <w:rsid w:val="006F66EF"/>
    <w:rsid w:val="006F6999"/>
    <w:rsid w:val="006F69CE"/>
    <w:rsid w:val="006F6B98"/>
    <w:rsid w:val="006F6C8D"/>
    <w:rsid w:val="006F6FA8"/>
    <w:rsid w:val="006F70B2"/>
    <w:rsid w:val="006F70D3"/>
    <w:rsid w:val="006F75B2"/>
    <w:rsid w:val="006F797A"/>
    <w:rsid w:val="006F7A12"/>
    <w:rsid w:val="006F7F43"/>
    <w:rsid w:val="007000BD"/>
    <w:rsid w:val="007003A5"/>
    <w:rsid w:val="007003C1"/>
    <w:rsid w:val="00700686"/>
    <w:rsid w:val="007007B8"/>
    <w:rsid w:val="00700833"/>
    <w:rsid w:val="0070146B"/>
    <w:rsid w:val="0070169E"/>
    <w:rsid w:val="0070177B"/>
    <w:rsid w:val="007017CF"/>
    <w:rsid w:val="0070189B"/>
    <w:rsid w:val="00701E2E"/>
    <w:rsid w:val="00701E6B"/>
    <w:rsid w:val="0070234B"/>
    <w:rsid w:val="00702BD3"/>
    <w:rsid w:val="007031FD"/>
    <w:rsid w:val="007032E2"/>
    <w:rsid w:val="00703405"/>
    <w:rsid w:val="007034E4"/>
    <w:rsid w:val="00703A5A"/>
    <w:rsid w:val="00703C6F"/>
    <w:rsid w:val="00703D30"/>
    <w:rsid w:val="007041B2"/>
    <w:rsid w:val="00704787"/>
    <w:rsid w:val="00704C60"/>
    <w:rsid w:val="00705167"/>
    <w:rsid w:val="0070562A"/>
    <w:rsid w:val="007059F0"/>
    <w:rsid w:val="00705A04"/>
    <w:rsid w:val="007062D9"/>
    <w:rsid w:val="00706377"/>
    <w:rsid w:val="0070668B"/>
    <w:rsid w:val="00706729"/>
    <w:rsid w:val="00706857"/>
    <w:rsid w:val="00706AD3"/>
    <w:rsid w:val="00706E21"/>
    <w:rsid w:val="00706EAC"/>
    <w:rsid w:val="00706FCA"/>
    <w:rsid w:val="00706FE1"/>
    <w:rsid w:val="0070767B"/>
    <w:rsid w:val="00707B20"/>
    <w:rsid w:val="00707B2D"/>
    <w:rsid w:val="00707C92"/>
    <w:rsid w:val="007104C0"/>
    <w:rsid w:val="00710DEA"/>
    <w:rsid w:val="00710F44"/>
    <w:rsid w:val="0071107E"/>
    <w:rsid w:val="007113F2"/>
    <w:rsid w:val="007119E1"/>
    <w:rsid w:val="00711AE7"/>
    <w:rsid w:val="00711F9D"/>
    <w:rsid w:val="00712329"/>
    <w:rsid w:val="00712413"/>
    <w:rsid w:val="007128D4"/>
    <w:rsid w:val="00712D54"/>
    <w:rsid w:val="00712F2C"/>
    <w:rsid w:val="00713066"/>
    <w:rsid w:val="00713160"/>
    <w:rsid w:val="00713404"/>
    <w:rsid w:val="00713408"/>
    <w:rsid w:val="00713B0C"/>
    <w:rsid w:val="00713E58"/>
    <w:rsid w:val="0071423B"/>
    <w:rsid w:val="007142E9"/>
    <w:rsid w:val="007147FB"/>
    <w:rsid w:val="0071482D"/>
    <w:rsid w:val="00714972"/>
    <w:rsid w:val="00714B8D"/>
    <w:rsid w:val="00714D82"/>
    <w:rsid w:val="00714F47"/>
    <w:rsid w:val="00714F68"/>
    <w:rsid w:val="00715696"/>
    <w:rsid w:val="00715E81"/>
    <w:rsid w:val="00715F93"/>
    <w:rsid w:val="0071610F"/>
    <w:rsid w:val="00716574"/>
    <w:rsid w:val="0071657B"/>
    <w:rsid w:val="007165A7"/>
    <w:rsid w:val="007165DF"/>
    <w:rsid w:val="00716CAF"/>
    <w:rsid w:val="00716D28"/>
    <w:rsid w:val="00717336"/>
    <w:rsid w:val="0071776A"/>
    <w:rsid w:val="007178D6"/>
    <w:rsid w:val="00717958"/>
    <w:rsid w:val="00717A21"/>
    <w:rsid w:val="00717EDB"/>
    <w:rsid w:val="00720031"/>
    <w:rsid w:val="007202C5"/>
    <w:rsid w:val="007202E4"/>
    <w:rsid w:val="0072036B"/>
    <w:rsid w:val="007204F8"/>
    <w:rsid w:val="00720534"/>
    <w:rsid w:val="00720548"/>
    <w:rsid w:val="007206C5"/>
    <w:rsid w:val="0072074C"/>
    <w:rsid w:val="0072090C"/>
    <w:rsid w:val="00720AAB"/>
    <w:rsid w:val="00720CB4"/>
    <w:rsid w:val="00720D20"/>
    <w:rsid w:val="00720D47"/>
    <w:rsid w:val="00720EDC"/>
    <w:rsid w:val="00721022"/>
    <w:rsid w:val="00721575"/>
    <w:rsid w:val="007216CA"/>
    <w:rsid w:val="00721716"/>
    <w:rsid w:val="00721E2C"/>
    <w:rsid w:val="0072235C"/>
    <w:rsid w:val="007228FA"/>
    <w:rsid w:val="007229A2"/>
    <w:rsid w:val="00722E6F"/>
    <w:rsid w:val="007236CA"/>
    <w:rsid w:val="00723918"/>
    <w:rsid w:val="00723B8F"/>
    <w:rsid w:val="00723C0F"/>
    <w:rsid w:val="00723C30"/>
    <w:rsid w:val="007242CF"/>
    <w:rsid w:val="007247B7"/>
    <w:rsid w:val="00724892"/>
    <w:rsid w:val="00724AC1"/>
    <w:rsid w:val="00724B45"/>
    <w:rsid w:val="00724D88"/>
    <w:rsid w:val="00724F0B"/>
    <w:rsid w:val="0072512D"/>
    <w:rsid w:val="00725356"/>
    <w:rsid w:val="00725538"/>
    <w:rsid w:val="00725D42"/>
    <w:rsid w:val="00725E69"/>
    <w:rsid w:val="0072604D"/>
    <w:rsid w:val="0072641B"/>
    <w:rsid w:val="00726604"/>
    <w:rsid w:val="00726981"/>
    <w:rsid w:val="007274D0"/>
    <w:rsid w:val="00727F0E"/>
    <w:rsid w:val="007300B1"/>
    <w:rsid w:val="0073031A"/>
    <w:rsid w:val="007306F5"/>
    <w:rsid w:val="007308DE"/>
    <w:rsid w:val="00730937"/>
    <w:rsid w:val="00730C6A"/>
    <w:rsid w:val="007314B7"/>
    <w:rsid w:val="00731DA0"/>
    <w:rsid w:val="00732316"/>
    <w:rsid w:val="0073235D"/>
    <w:rsid w:val="0073266B"/>
    <w:rsid w:val="00733367"/>
    <w:rsid w:val="007334BC"/>
    <w:rsid w:val="007335A5"/>
    <w:rsid w:val="007336D4"/>
    <w:rsid w:val="00733728"/>
    <w:rsid w:val="00733863"/>
    <w:rsid w:val="007338F9"/>
    <w:rsid w:val="00733FEE"/>
    <w:rsid w:val="007343DB"/>
    <w:rsid w:val="00734465"/>
    <w:rsid w:val="00734642"/>
    <w:rsid w:val="007346BB"/>
    <w:rsid w:val="00734AC0"/>
    <w:rsid w:val="00734B6A"/>
    <w:rsid w:val="00735333"/>
    <w:rsid w:val="007354D1"/>
    <w:rsid w:val="00735729"/>
    <w:rsid w:val="00735811"/>
    <w:rsid w:val="00735B60"/>
    <w:rsid w:val="00735B7C"/>
    <w:rsid w:val="00735C8F"/>
    <w:rsid w:val="00735D48"/>
    <w:rsid w:val="00735F24"/>
    <w:rsid w:val="00736F6D"/>
    <w:rsid w:val="00737057"/>
    <w:rsid w:val="007375AD"/>
    <w:rsid w:val="00737884"/>
    <w:rsid w:val="00737979"/>
    <w:rsid w:val="007379AF"/>
    <w:rsid w:val="007379EE"/>
    <w:rsid w:val="00737C09"/>
    <w:rsid w:val="00740127"/>
    <w:rsid w:val="007403BA"/>
    <w:rsid w:val="0074047E"/>
    <w:rsid w:val="007406EB"/>
    <w:rsid w:val="007409C7"/>
    <w:rsid w:val="00740A5E"/>
    <w:rsid w:val="00740C44"/>
    <w:rsid w:val="00740D24"/>
    <w:rsid w:val="00741137"/>
    <w:rsid w:val="0074149A"/>
    <w:rsid w:val="0074166E"/>
    <w:rsid w:val="00741BB2"/>
    <w:rsid w:val="00741E49"/>
    <w:rsid w:val="007421C7"/>
    <w:rsid w:val="007423A6"/>
    <w:rsid w:val="007425AF"/>
    <w:rsid w:val="007428A5"/>
    <w:rsid w:val="007429C0"/>
    <w:rsid w:val="00742A30"/>
    <w:rsid w:val="0074320B"/>
    <w:rsid w:val="00743287"/>
    <w:rsid w:val="00743579"/>
    <w:rsid w:val="007436AF"/>
    <w:rsid w:val="00743710"/>
    <w:rsid w:val="0074380B"/>
    <w:rsid w:val="007439A7"/>
    <w:rsid w:val="007439BF"/>
    <w:rsid w:val="00743E4A"/>
    <w:rsid w:val="00744276"/>
    <w:rsid w:val="007442A6"/>
    <w:rsid w:val="007445AB"/>
    <w:rsid w:val="00744BC0"/>
    <w:rsid w:val="00744DA2"/>
    <w:rsid w:val="00744E19"/>
    <w:rsid w:val="00744FA3"/>
    <w:rsid w:val="007450B4"/>
    <w:rsid w:val="007453F4"/>
    <w:rsid w:val="00745951"/>
    <w:rsid w:val="00745C17"/>
    <w:rsid w:val="00745EA5"/>
    <w:rsid w:val="007460FC"/>
    <w:rsid w:val="007461D4"/>
    <w:rsid w:val="0074654D"/>
    <w:rsid w:val="00746B61"/>
    <w:rsid w:val="00746E8B"/>
    <w:rsid w:val="0074744C"/>
    <w:rsid w:val="00747665"/>
    <w:rsid w:val="007476CF"/>
    <w:rsid w:val="00747C1B"/>
    <w:rsid w:val="00747C4D"/>
    <w:rsid w:val="00747D4D"/>
    <w:rsid w:val="0075014D"/>
    <w:rsid w:val="007501E7"/>
    <w:rsid w:val="007502C7"/>
    <w:rsid w:val="00750364"/>
    <w:rsid w:val="00750657"/>
    <w:rsid w:val="007508BF"/>
    <w:rsid w:val="00751457"/>
    <w:rsid w:val="00751619"/>
    <w:rsid w:val="0075180A"/>
    <w:rsid w:val="00751C2E"/>
    <w:rsid w:val="00751CFD"/>
    <w:rsid w:val="00751F5F"/>
    <w:rsid w:val="00752875"/>
    <w:rsid w:val="007528E1"/>
    <w:rsid w:val="007528EA"/>
    <w:rsid w:val="0075299B"/>
    <w:rsid w:val="00752DD2"/>
    <w:rsid w:val="00752E2C"/>
    <w:rsid w:val="00752EFA"/>
    <w:rsid w:val="00753222"/>
    <w:rsid w:val="007532EB"/>
    <w:rsid w:val="00753A0D"/>
    <w:rsid w:val="00753A36"/>
    <w:rsid w:val="00753BCC"/>
    <w:rsid w:val="00753E71"/>
    <w:rsid w:val="00754293"/>
    <w:rsid w:val="00754634"/>
    <w:rsid w:val="00754AE9"/>
    <w:rsid w:val="00754C2A"/>
    <w:rsid w:val="00754DED"/>
    <w:rsid w:val="00754E27"/>
    <w:rsid w:val="0075523B"/>
    <w:rsid w:val="007553DD"/>
    <w:rsid w:val="0075557D"/>
    <w:rsid w:val="00755760"/>
    <w:rsid w:val="00755780"/>
    <w:rsid w:val="00755B90"/>
    <w:rsid w:val="00755BA3"/>
    <w:rsid w:val="0075604B"/>
    <w:rsid w:val="007562C0"/>
    <w:rsid w:val="0075648F"/>
    <w:rsid w:val="00756542"/>
    <w:rsid w:val="007565E6"/>
    <w:rsid w:val="00756CE1"/>
    <w:rsid w:val="007574B8"/>
    <w:rsid w:val="00757B58"/>
    <w:rsid w:val="00757DDD"/>
    <w:rsid w:val="00757EB9"/>
    <w:rsid w:val="0076017C"/>
    <w:rsid w:val="00760A3F"/>
    <w:rsid w:val="00760AAA"/>
    <w:rsid w:val="00760BEA"/>
    <w:rsid w:val="00760D0F"/>
    <w:rsid w:val="00760F07"/>
    <w:rsid w:val="0076139E"/>
    <w:rsid w:val="00761465"/>
    <w:rsid w:val="00762090"/>
    <w:rsid w:val="0076218C"/>
    <w:rsid w:val="00762B07"/>
    <w:rsid w:val="00762C21"/>
    <w:rsid w:val="00762C81"/>
    <w:rsid w:val="00762D80"/>
    <w:rsid w:val="00762EB8"/>
    <w:rsid w:val="0076315D"/>
    <w:rsid w:val="00763636"/>
    <w:rsid w:val="00763908"/>
    <w:rsid w:val="00763957"/>
    <w:rsid w:val="00763A07"/>
    <w:rsid w:val="00763C28"/>
    <w:rsid w:val="0076481D"/>
    <w:rsid w:val="007648B5"/>
    <w:rsid w:val="007649D4"/>
    <w:rsid w:val="00764C81"/>
    <w:rsid w:val="00764D7F"/>
    <w:rsid w:val="00764E9F"/>
    <w:rsid w:val="00764F21"/>
    <w:rsid w:val="0076532B"/>
    <w:rsid w:val="00765378"/>
    <w:rsid w:val="00765648"/>
    <w:rsid w:val="007656C5"/>
    <w:rsid w:val="0076591B"/>
    <w:rsid w:val="00765F86"/>
    <w:rsid w:val="00767345"/>
    <w:rsid w:val="0076753A"/>
    <w:rsid w:val="0076776B"/>
    <w:rsid w:val="00767C3E"/>
    <w:rsid w:val="00767E16"/>
    <w:rsid w:val="00770123"/>
    <w:rsid w:val="00770358"/>
    <w:rsid w:val="00770809"/>
    <w:rsid w:val="0077091A"/>
    <w:rsid w:val="00770BF0"/>
    <w:rsid w:val="00770CC2"/>
    <w:rsid w:val="00770FFE"/>
    <w:rsid w:val="00771C6F"/>
    <w:rsid w:val="00771CF2"/>
    <w:rsid w:val="007726FC"/>
    <w:rsid w:val="00772E29"/>
    <w:rsid w:val="00773397"/>
    <w:rsid w:val="00773564"/>
    <w:rsid w:val="007739D0"/>
    <w:rsid w:val="00773B94"/>
    <w:rsid w:val="00773BB5"/>
    <w:rsid w:val="00773BF0"/>
    <w:rsid w:val="00773C05"/>
    <w:rsid w:val="00773C0A"/>
    <w:rsid w:val="00774067"/>
    <w:rsid w:val="00774339"/>
    <w:rsid w:val="007743A2"/>
    <w:rsid w:val="00774464"/>
    <w:rsid w:val="007744D7"/>
    <w:rsid w:val="00774C8F"/>
    <w:rsid w:val="00774E79"/>
    <w:rsid w:val="00774F24"/>
    <w:rsid w:val="00775000"/>
    <w:rsid w:val="00775F6F"/>
    <w:rsid w:val="0077643D"/>
    <w:rsid w:val="0077672C"/>
    <w:rsid w:val="007769A8"/>
    <w:rsid w:val="00777186"/>
    <w:rsid w:val="007772FF"/>
    <w:rsid w:val="0077774B"/>
    <w:rsid w:val="00777792"/>
    <w:rsid w:val="00777A28"/>
    <w:rsid w:val="00777EDF"/>
    <w:rsid w:val="00777FE6"/>
    <w:rsid w:val="00780033"/>
    <w:rsid w:val="007802D0"/>
    <w:rsid w:val="007803BA"/>
    <w:rsid w:val="007804ED"/>
    <w:rsid w:val="007806D1"/>
    <w:rsid w:val="0078074A"/>
    <w:rsid w:val="00780831"/>
    <w:rsid w:val="00780EC1"/>
    <w:rsid w:val="00781079"/>
    <w:rsid w:val="007811EE"/>
    <w:rsid w:val="0078147C"/>
    <w:rsid w:val="007815F1"/>
    <w:rsid w:val="007816FA"/>
    <w:rsid w:val="00781A0D"/>
    <w:rsid w:val="00781DE3"/>
    <w:rsid w:val="00782999"/>
    <w:rsid w:val="00782EAA"/>
    <w:rsid w:val="00782F62"/>
    <w:rsid w:val="00784087"/>
    <w:rsid w:val="0078456F"/>
    <w:rsid w:val="007849BC"/>
    <w:rsid w:val="00784BE6"/>
    <w:rsid w:val="00784F15"/>
    <w:rsid w:val="00784FE8"/>
    <w:rsid w:val="00785160"/>
    <w:rsid w:val="00785703"/>
    <w:rsid w:val="00785D04"/>
    <w:rsid w:val="00785D52"/>
    <w:rsid w:val="0078654B"/>
    <w:rsid w:val="00786629"/>
    <w:rsid w:val="007866F0"/>
    <w:rsid w:val="00786841"/>
    <w:rsid w:val="00786EBC"/>
    <w:rsid w:val="00786F27"/>
    <w:rsid w:val="00786F69"/>
    <w:rsid w:val="007874AE"/>
    <w:rsid w:val="0078772E"/>
    <w:rsid w:val="00787736"/>
    <w:rsid w:val="00787790"/>
    <w:rsid w:val="00787C28"/>
    <w:rsid w:val="007901E1"/>
    <w:rsid w:val="007902A3"/>
    <w:rsid w:val="007902AB"/>
    <w:rsid w:val="007902C0"/>
    <w:rsid w:val="00790ABF"/>
    <w:rsid w:val="00790B3E"/>
    <w:rsid w:val="0079130C"/>
    <w:rsid w:val="00791A99"/>
    <w:rsid w:val="00791C53"/>
    <w:rsid w:val="00791CD0"/>
    <w:rsid w:val="00791DA1"/>
    <w:rsid w:val="00792C01"/>
    <w:rsid w:val="00793792"/>
    <w:rsid w:val="00793904"/>
    <w:rsid w:val="00793E49"/>
    <w:rsid w:val="0079429B"/>
    <w:rsid w:val="00794368"/>
    <w:rsid w:val="00794379"/>
    <w:rsid w:val="00794591"/>
    <w:rsid w:val="007949E9"/>
    <w:rsid w:val="00794B55"/>
    <w:rsid w:val="00794C6A"/>
    <w:rsid w:val="00794CC5"/>
    <w:rsid w:val="00794EBC"/>
    <w:rsid w:val="00795CED"/>
    <w:rsid w:val="00796423"/>
    <w:rsid w:val="007964B0"/>
    <w:rsid w:val="00796680"/>
    <w:rsid w:val="00796A32"/>
    <w:rsid w:val="00796C92"/>
    <w:rsid w:val="007970AC"/>
    <w:rsid w:val="007971B4"/>
    <w:rsid w:val="007971C8"/>
    <w:rsid w:val="0079750E"/>
    <w:rsid w:val="00797F34"/>
    <w:rsid w:val="007A028C"/>
    <w:rsid w:val="007A0305"/>
    <w:rsid w:val="007A05CE"/>
    <w:rsid w:val="007A0859"/>
    <w:rsid w:val="007A1503"/>
    <w:rsid w:val="007A1813"/>
    <w:rsid w:val="007A1C8D"/>
    <w:rsid w:val="007A2383"/>
    <w:rsid w:val="007A2400"/>
    <w:rsid w:val="007A2598"/>
    <w:rsid w:val="007A25FC"/>
    <w:rsid w:val="007A27ED"/>
    <w:rsid w:val="007A2B94"/>
    <w:rsid w:val="007A2EC9"/>
    <w:rsid w:val="007A30AF"/>
    <w:rsid w:val="007A35C0"/>
    <w:rsid w:val="007A3652"/>
    <w:rsid w:val="007A3782"/>
    <w:rsid w:val="007A3841"/>
    <w:rsid w:val="007A396C"/>
    <w:rsid w:val="007A39D0"/>
    <w:rsid w:val="007A3FFB"/>
    <w:rsid w:val="007A427A"/>
    <w:rsid w:val="007A440B"/>
    <w:rsid w:val="007A46F0"/>
    <w:rsid w:val="007A477B"/>
    <w:rsid w:val="007A483D"/>
    <w:rsid w:val="007A49C7"/>
    <w:rsid w:val="007A4A94"/>
    <w:rsid w:val="007A4C67"/>
    <w:rsid w:val="007A4F00"/>
    <w:rsid w:val="007A50AC"/>
    <w:rsid w:val="007A5651"/>
    <w:rsid w:val="007A5784"/>
    <w:rsid w:val="007A590C"/>
    <w:rsid w:val="007A5D94"/>
    <w:rsid w:val="007A660A"/>
    <w:rsid w:val="007A6732"/>
    <w:rsid w:val="007A69F5"/>
    <w:rsid w:val="007A6CE4"/>
    <w:rsid w:val="007A6F6D"/>
    <w:rsid w:val="007A712C"/>
    <w:rsid w:val="007A7510"/>
    <w:rsid w:val="007A7526"/>
    <w:rsid w:val="007A756B"/>
    <w:rsid w:val="007A7678"/>
    <w:rsid w:val="007A7A97"/>
    <w:rsid w:val="007A7B14"/>
    <w:rsid w:val="007B0129"/>
    <w:rsid w:val="007B04D4"/>
    <w:rsid w:val="007B06C1"/>
    <w:rsid w:val="007B0DAE"/>
    <w:rsid w:val="007B0DC3"/>
    <w:rsid w:val="007B0E4A"/>
    <w:rsid w:val="007B1412"/>
    <w:rsid w:val="007B2135"/>
    <w:rsid w:val="007B2164"/>
    <w:rsid w:val="007B2251"/>
    <w:rsid w:val="007B2567"/>
    <w:rsid w:val="007B25D2"/>
    <w:rsid w:val="007B2926"/>
    <w:rsid w:val="007B2CD1"/>
    <w:rsid w:val="007B2F2C"/>
    <w:rsid w:val="007B2FB1"/>
    <w:rsid w:val="007B30C4"/>
    <w:rsid w:val="007B3207"/>
    <w:rsid w:val="007B3520"/>
    <w:rsid w:val="007B3543"/>
    <w:rsid w:val="007B39FB"/>
    <w:rsid w:val="007B3AE9"/>
    <w:rsid w:val="007B3DD1"/>
    <w:rsid w:val="007B3EE1"/>
    <w:rsid w:val="007B42EE"/>
    <w:rsid w:val="007B4443"/>
    <w:rsid w:val="007B479C"/>
    <w:rsid w:val="007B486C"/>
    <w:rsid w:val="007B4921"/>
    <w:rsid w:val="007B4FC2"/>
    <w:rsid w:val="007B4FCD"/>
    <w:rsid w:val="007B5088"/>
    <w:rsid w:val="007B5154"/>
    <w:rsid w:val="007B542C"/>
    <w:rsid w:val="007B563C"/>
    <w:rsid w:val="007B56DE"/>
    <w:rsid w:val="007B575C"/>
    <w:rsid w:val="007B5E0E"/>
    <w:rsid w:val="007B5E68"/>
    <w:rsid w:val="007B5E9C"/>
    <w:rsid w:val="007B608B"/>
    <w:rsid w:val="007B60F3"/>
    <w:rsid w:val="007B6283"/>
    <w:rsid w:val="007B6693"/>
    <w:rsid w:val="007B6CCA"/>
    <w:rsid w:val="007B6D01"/>
    <w:rsid w:val="007B6D07"/>
    <w:rsid w:val="007B7013"/>
    <w:rsid w:val="007B708F"/>
    <w:rsid w:val="007B777E"/>
    <w:rsid w:val="007B7A36"/>
    <w:rsid w:val="007B7B89"/>
    <w:rsid w:val="007B7BDC"/>
    <w:rsid w:val="007B7DCB"/>
    <w:rsid w:val="007B7E08"/>
    <w:rsid w:val="007B7FA5"/>
    <w:rsid w:val="007C0169"/>
    <w:rsid w:val="007C066F"/>
    <w:rsid w:val="007C100F"/>
    <w:rsid w:val="007C14CA"/>
    <w:rsid w:val="007C183E"/>
    <w:rsid w:val="007C1A78"/>
    <w:rsid w:val="007C1AB0"/>
    <w:rsid w:val="007C1BC7"/>
    <w:rsid w:val="007C1C5B"/>
    <w:rsid w:val="007C2897"/>
    <w:rsid w:val="007C28DE"/>
    <w:rsid w:val="007C29E3"/>
    <w:rsid w:val="007C3062"/>
    <w:rsid w:val="007C33D0"/>
    <w:rsid w:val="007C33E7"/>
    <w:rsid w:val="007C391A"/>
    <w:rsid w:val="007C3A8D"/>
    <w:rsid w:val="007C3DB2"/>
    <w:rsid w:val="007C4018"/>
    <w:rsid w:val="007C4120"/>
    <w:rsid w:val="007C45ED"/>
    <w:rsid w:val="007C488B"/>
    <w:rsid w:val="007C5288"/>
    <w:rsid w:val="007C52CA"/>
    <w:rsid w:val="007C54B4"/>
    <w:rsid w:val="007C560A"/>
    <w:rsid w:val="007C5861"/>
    <w:rsid w:val="007C59F4"/>
    <w:rsid w:val="007C59FF"/>
    <w:rsid w:val="007C5B2C"/>
    <w:rsid w:val="007C5F3E"/>
    <w:rsid w:val="007C6037"/>
    <w:rsid w:val="007C61E8"/>
    <w:rsid w:val="007C647C"/>
    <w:rsid w:val="007C65FA"/>
    <w:rsid w:val="007C6793"/>
    <w:rsid w:val="007C6929"/>
    <w:rsid w:val="007C6F16"/>
    <w:rsid w:val="007C72ED"/>
    <w:rsid w:val="007C73DA"/>
    <w:rsid w:val="007C780B"/>
    <w:rsid w:val="007C7847"/>
    <w:rsid w:val="007C785C"/>
    <w:rsid w:val="007C78E1"/>
    <w:rsid w:val="007C7EC6"/>
    <w:rsid w:val="007D009F"/>
    <w:rsid w:val="007D03A9"/>
    <w:rsid w:val="007D0693"/>
    <w:rsid w:val="007D06AA"/>
    <w:rsid w:val="007D06C1"/>
    <w:rsid w:val="007D07CF"/>
    <w:rsid w:val="007D0B4B"/>
    <w:rsid w:val="007D0E35"/>
    <w:rsid w:val="007D0E95"/>
    <w:rsid w:val="007D1366"/>
    <w:rsid w:val="007D1396"/>
    <w:rsid w:val="007D173E"/>
    <w:rsid w:val="007D1778"/>
    <w:rsid w:val="007D1DF2"/>
    <w:rsid w:val="007D2066"/>
    <w:rsid w:val="007D2339"/>
    <w:rsid w:val="007D2351"/>
    <w:rsid w:val="007D2528"/>
    <w:rsid w:val="007D25C2"/>
    <w:rsid w:val="007D2868"/>
    <w:rsid w:val="007D2B9B"/>
    <w:rsid w:val="007D2D95"/>
    <w:rsid w:val="007D329D"/>
    <w:rsid w:val="007D3338"/>
    <w:rsid w:val="007D3349"/>
    <w:rsid w:val="007D37BC"/>
    <w:rsid w:val="007D3D31"/>
    <w:rsid w:val="007D3F14"/>
    <w:rsid w:val="007D3F27"/>
    <w:rsid w:val="007D4424"/>
    <w:rsid w:val="007D4C17"/>
    <w:rsid w:val="007D4D19"/>
    <w:rsid w:val="007D4EFC"/>
    <w:rsid w:val="007D4FBA"/>
    <w:rsid w:val="007D5352"/>
    <w:rsid w:val="007D54E4"/>
    <w:rsid w:val="007D54EF"/>
    <w:rsid w:val="007D5AF1"/>
    <w:rsid w:val="007D5F8B"/>
    <w:rsid w:val="007D655C"/>
    <w:rsid w:val="007D6610"/>
    <w:rsid w:val="007D67A2"/>
    <w:rsid w:val="007D6E40"/>
    <w:rsid w:val="007D6F6C"/>
    <w:rsid w:val="007D73A7"/>
    <w:rsid w:val="007D77FE"/>
    <w:rsid w:val="007D7ECE"/>
    <w:rsid w:val="007E03F5"/>
    <w:rsid w:val="007E0748"/>
    <w:rsid w:val="007E088E"/>
    <w:rsid w:val="007E0B50"/>
    <w:rsid w:val="007E0E2F"/>
    <w:rsid w:val="007E115C"/>
    <w:rsid w:val="007E1388"/>
    <w:rsid w:val="007E1B9D"/>
    <w:rsid w:val="007E1C0C"/>
    <w:rsid w:val="007E1D8A"/>
    <w:rsid w:val="007E2001"/>
    <w:rsid w:val="007E22E6"/>
    <w:rsid w:val="007E233E"/>
    <w:rsid w:val="007E2563"/>
    <w:rsid w:val="007E2CCB"/>
    <w:rsid w:val="007E2D7F"/>
    <w:rsid w:val="007E3204"/>
    <w:rsid w:val="007E3221"/>
    <w:rsid w:val="007E37F7"/>
    <w:rsid w:val="007E3C80"/>
    <w:rsid w:val="007E3DC2"/>
    <w:rsid w:val="007E4021"/>
    <w:rsid w:val="007E4181"/>
    <w:rsid w:val="007E42B0"/>
    <w:rsid w:val="007E4318"/>
    <w:rsid w:val="007E4646"/>
    <w:rsid w:val="007E4660"/>
    <w:rsid w:val="007E474D"/>
    <w:rsid w:val="007E4AB4"/>
    <w:rsid w:val="007E4ACF"/>
    <w:rsid w:val="007E52EC"/>
    <w:rsid w:val="007E5899"/>
    <w:rsid w:val="007E5AA9"/>
    <w:rsid w:val="007E5D85"/>
    <w:rsid w:val="007E6079"/>
    <w:rsid w:val="007E607B"/>
    <w:rsid w:val="007E613E"/>
    <w:rsid w:val="007E67A7"/>
    <w:rsid w:val="007E7964"/>
    <w:rsid w:val="007E79F4"/>
    <w:rsid w:val="007E7B96"/>
    <w:rsid w:val="007E7F03"/>
    <w:rsid w:val="007E7FC3"/>
    <w:rsid w:val="007F04BB"/>
    <w:rsid w:val="007F08BE"/>
    <w:rsid w:val="007F09F0"/>
    <w:rsid w:val="007F0F9C"/>
    <w:rsid w:val="007F12CE"/>
    <w:rsid w:val="007F13A1"/>
    <w:rsid w:val="007F18C2"/>
    <w:rsid w:val="007F1A08"/>
    <w:rsid w:val="007F1BE2"/>
    <w:rsid w:val="007F1C45"/>
    <w:rsid w:val="007F1EBA"/>
    <w:rsid w:val="007F1F0A"/>
    <w:rsid w:val="007F1FAF"/>
    <w:rsid w:val="007F2095"/>
    <w:rsid w:val="007F2618"/>
    <w:rsid w:val="007F2B27"/>
    <w:rsid w:val="007F2E8C"/>
    <w:rsid w:val="007F318F"/>
    <w:rsid w:val="007F36DB"/>
    <w:rsid w:val="007F3F85"/>
    <w:rsid w:val="007F407A"/>
    <w:rsid w:val="007F41D9"/>
    <w:rsid w:val="007F4262"/>
    <w:rsid w:val="007F450E"/>
    <w:rsid w:val="007F464C"/>
    <w:rsid w:val="007F4D49"/>
    <w:rsid w:val="007F4F22"/>
    <w:rsid w:val="007F593C"/>
    <w:rsid w:val="007F5BF5"/>
    <w:rsid w:val="007F5D70"/>
    <w:rsid w:val="007F6226"/>
    <w:rsid w:val="007F6312"/>
    <w:rsid w:val="007F63D5"/>
    <w:rsid w:val="007F6DBB"/>
    <w:rsid w:val="007F75AA"/>
    <w:rsid w:val="007F7D2D"/>
    <w:rsid w:val="007F7DEE"/>
    <w:rsid w:val="00800140"/>
    <w:rsid w:val="00800746"/>
    <w:rsid w:val="0080096D"/>
    <w:rsid w:val="00800C1C"/>
    <w:rsid w:val="00800E8E"/>
    <w:rsid w:val="008011E2"/>
    <w:rsid w:val="0080155C"/>
    <w:rsid w:val="008019BE"/>
    <w:rsid w:val="00801A67"/>
    <w:rsid w:val="00801B19"/>
    <w:rsid w:val="00801DCE"/>
    <w:rsid w:val="008020B3"/>
    <w:rsid w:val="008023F7"/>
    <w:rsid w:val="00802406"/>
    <w:rsid w:val="00802430"/>
    <w:rsid w:val="00802747"/>
    <w:rsid w:val="00802B28"/>
    <w:rsid w:val="00803071"/>
    <w:rsid w:val="00803573"/>
    <w:rsid w:val="008035E7"/>
    <w:rsid w:val="008035F3"/>
    <w:rsid w:val="00803EF4"/>
    <w:rsid w:val="00804036"/>
    <w:rsid w:val="0080415B"/>
    <w:rsid w:val="0080425B"/>
    <w:rsid w:val="008046D5"/>
    <w:rsid w:val="0080480D"/>
    <w:rsid w:val="00804815"/>
    <w:rsid w:val="008048C9"/>
    <w:rsid w:val="00804B7D"/>
    <w:rsid w:val="00804E20"/>
    <w:rsid w:val="00804EE3"/>
    <w:rsid w:val="00804FE5"/>
    <w:rsid w:val="008052DA"/>
    <w:rsid w:val="0080575A"/>
    <w:rsid w:val="0080576B"/>
    <w:rsid w:val="008060B2"/>
    <w:rsid w:val="0080636D"/>
    <w:rsid w:val="008068CD"/>
    <w:rsid w:val="00806D18"/>
    <w:rsid w:val="00806D51"/>
    <w:rsid w:val="00807437"/>
    <w:rsid w:val="008075E5"/>
    <w:rsid w:val="0080788D"/>
    <w:rsid w:val="00807954"/>
    <w:rsid w:val="00807B88"/>
    <w:rsid w:val="00807C13"/>
    <w:rsid w:val="0081089D"/>
    <w:rsid w:val="0081102A"/>
    <w:rsid w:val="008110DE"/>
    <w:rsid w:val="00811507"/>
    <w:rsid w:val="00811903"/>
    <w:rsid w:val="008119F1"/>
    <w:rsid w:val="008120C7"/>
    <w:rsid w:val="008121FA"/>
    <w:rsid w:val="00812574"/>
    <w:rsid w:val="008125F3"/>
    <w:rsid w:val="00812848"/>
    <w:rsid w:val="008129D5"/>
    <w:rsid w:val="00812B68"/>
    <w:rsid w:val="00812F97"/>
    <w:rsid w:val="008136A0"/>
    <w:rsid w:val="00813BD7"/>
    <w:rsid w:val="00813DFC"/>
    <w:rsid w:val="0081491A"/>
    <w:rsid w:val="00814DAF"/>
    <w:rsid w:val="00814F6A"/>
    <w:rsid w:val="00814FF1"/>
    <w:rsid w:val="0081586F"/>
    <w:rsid w:val="00815B05"/>
    <w:rsid w:val="00815C56"/>
    <w:rsid w:val="00816027"/>
    <w:rsid w:val="00816090"/>
    <w:rsid w:val="008162D3"/>
    <w:rsid w:val="0081636A"/>
    <w:rsid w:val="0081636B"/>
    <w:rsid w:val="00816409"/>
    <w:rsid w:val="00816C4A"/>
    <w:rsid w:val="00816CFF"/>
    <w:rsid w:val="00816E1A"/>
    <w:rsid w:val="00816FE6"/>
    <w:rsid w:val="008171D7"/>
    <w:rsid w:val="00817233"/>
    <w:rsid w:val="0081744F"/>
    <w:rsid w:val="00817559"/>
    <w:rsid w:val="008177CE"/>
    <w:rsid w:val="00817A9A"/>
    <w:rsid w:val="00817BB1"/>
    <w:rsid w:val="008200AE"/>
    <w:rsid w:val="00820355"/>
    <w:rsid w:val="008203DD"/>
    <w:rsid w:val="00820557"/>
    <w:rsid w:val="00820735"/>
    <w:rsid w:val="00820898"/>
    <w:rsid w:val="0082092B"/>
    <w:rsid w:val="008209C4"/>
    <w:rsid w:val="00820C08"/>
    <w:rsid w:val="00820CC5"/>
    <w:rsid w:val="0082145E"/>
    <w:rsid w:val="008215C7"/>
    <w:rsid w:val="0082232D"/>
    <w:rsid w:val="00822633"/>
    <w:rsid w:val="0082296C"/>
    <w:rsid w:val="00822E3C"/>
    <w:rsid w:val="0082308B"/>
    <w:rsid w:val="008233F7"/>
    <w:rsid w:val="008234CC"/>
    <w:rsid w:val="00823A7C"/>
    <w:rsid w:val="00823C18"/>
    <w:rsid w:val="00823E7D"/>
    <w:rsid w:val="00824454"/>
    <w:rsid w:val="00824487"/>
    <w:rsid w:val="00824636"/>
    <w:rsid w:val="00824893"/>
    <w:rsid w:val="00824A64"/>
    <w:rsid w:val="00824BDF"/>
    <w:rsid w:val="00824C61"/>
    <w:rsid w:val="00825189"/>
    <w:rsid w:val="00825A9C"/>
    <w:rsid w:val="00825DB6"/>
    <w:rsid w:val="0082609F"/>
    <w:rsid w:val="008260A1"/>
    <w:rsid w:val="00826101"/>
    <w:rsid w:val="00826464"/>
    <w:rsid w:val="008268A3"/>
    <w:rsid w:val="00826BD0"/>
    <w:rsid w:val="00826D34"/>
    <w:rsid w:val="00826E46"/>
    <w:rsid w:val="00826F0E"/>
    <w:rsid w:val="00826F35"/>
    <w:rsid w:val="0082710B"/>
    <w:rsid w:val="0082720F"/>
    <w:rsid w:val="0082739C"/>
    <w:rsid w:val="00827467"/>
    <w:rsid w:val="00827B52"/>
    <w:rsid w:val="00827CA8"/>
    <w:rsid w:val="00827E98"/>
    <w:rsid w:val="00827F47"/>
    <w:rsid w:val="0083004C"/>
    <w:rsid w:val="00830301"/>
    <w:rsid w:val="00830B92"/>
    <w:rsid w:val="00830BB5"/>
    <w:rsid w:val="00831301"/>
    <w:rsid w:val="0083151F"/>
    <w:rsid w:val="0083157C"/>
    <w:rsid w:val="00831729"/>
    <w:rsid w:val="0083186B"/>
    <w:rsid w:val="00831A1F"/>
    <w:rsid w:val="00831F09"/>
    <w:rsid w:val="008320AE"/>
    <w:rsid w:val="00832748"/>
    <w:rsid w:val="008327C0"/>
    <w:rsid w:val="00832A3E"/>
    <w:rsid w:val="00832C48"/>
    <w:rsid w:val="00832C5D"/>
    <w:rsid w:val="00832D87"/>
    <w:rsid w:val="00832FA6"/>
    <w:rsid w:val="00833129"/>
    <w:rsid w:val="008335F2"/>
    <w:rsid w:val="00833815"/>
    <w:rsid w:val="00833A04"/>
    <w:rsid w:val="00833C1B"/>
    <w:rsid w:val="00833E34"/>
    <w:rsid w:val="00834FB6"/>
    <w:rsid w:val="0083510D"/>
    <w:rsid w:val="008351A0"/>
    <w:rsid w:val="008354E7"/>
    <w:rsid w:val="00835552"/>
    <w:rsid w:val="00835EF5"/>
    <w:rsid w:val="00835FF1"/>
    <w:rsid w:val="0083613E"/>
    <w:rsid w:val="008361F8"/>
    <w:rsid w:val="008366A4"/>
    <w:rsid w:val="0083686B"/>
    <w:rsid w:val="00836EA9"/>
    <w:rsid w:val="00837139"/>
    <w:rsid w:val="0083715F"/>
    <w:rsid w:val="00837502"/>
    <w:rsid w:val="00837693"/>
    <w:rsid w:val="00837A7A"/>
    <w:rsid w:val="00837C61"/>
    <w:rsid w:val="00837E93"/>
    <w:rsid w:val="00837F15"/>
    <w:rsid w:val="00837F8E"/>
    <w:rsid w:val="008401C0"/>
    <w:rsid w:val="008401C2"/>
    <w:rsid w:val="00840273"/>
    <w:rsid w:val="008402B7"/>
    <w:rsid w:val="0084099D"/>
    <w:rsid w:val="00840E36"/>
    <w:rsid w:val="0084172F"/>
    <w:rsid w:val="00841864"/>
    <w:rsid w:val="00841C18"/>
    <w:rsid w:val="00841D69"/>
    <w:rsid w:val="00841ECA"/>
    <w:rsid w:val="00841F40"/>
    <w:rsid w:val="0084212C"/>
    <w:rsid w:val="00842289"/>
    <w:rsid w:val="00842318"/>
    <w:rsid w:val="008423EF"/>
    <w:rsid w:val="00842651"/>
    <w:rsid w:val="008429E1"/>
    <w:rsid w:val="00842AE4"/>
    <w:rsid w:val="00842BFC"/>
    <w:rsid w:val="00842D09"/>
    <w:rsid w:val="00843173"/>
    <w:rsid w:val="0084348E"/>
    <w:rsid w:val="008434F5"/>
    <w:rsid w:val="00843522"/>
    <w:rsid w:val="00843819"/>
    <w:rsid w:val="00843B5F"/>
    <w:rsid w:val="00843EE8"/>
    <w:rsid w:val="0084401B"/>
    <w:rsid w:val="00844047"/>
    <w:rsid w:val="0084429D"/>
    <w:rsid w:val="008444B3"/>
    <w:rsid w:val="00844761"/>
    <w:rsid w:val="00844800"/>
    <w:rsid w:val="00844DB9"/>
    <w:rsid w:val="00845090"/>
    <w:rsid w:val="00845265"/>
    <w:rsid w:val="008457B2"/>
    <w:rsid w:val="00845A4D"/>
    <w:rsid w:val="00845ABE"/>
    <w:rsid w:val="00845CBC"/>
    <w:rsid w:val="00845F1B"/>
    <w:rsid w:val="00846194"/>
    <w:rsid w:val="008462C3"/>
    <w:rsid w:val="00846540"/>
    <w:rsid w:val="00846AEE"/>
    <w:rsid w:val="00846C85"/>
    <w:rsid w:val="008472E4"/>
    <w:rsid w:val="0084768A"/>
    <w:rsid w:val="0084793D"/>
    <w:rsid w:val="0084799A"/>
    <w:rsid w:val="0085025A"/>
    <w:rsid w:val="00850B3D"/>
    <w:rsid w:val="00850B4D"/>
    <w:rsid w:val="00850E39"/>
    <w:rsid w:val="00850F89"/>
    <w:rsid w:val="008510CF"/>
    <w:rsid w:val="00851182"/>
    <w:rsid w:val="008514D6"/>
    <w:rsid w:val="008514F9"/>
    <w:rsid w:val="00851C38"/>
    <w:rsid w:val="00851CB4"/>
    <w:rsid w:val="00851CB5"/>
    <w:rsid w:val="00852121"/>
    <w:rsid w:val="00852136"/>
    <w:rsid w:val="008523EA"/>
    <w:rsid w:val="0085243A"/>
    <w:rsid w:val="0085356D"/>
    <w:rsid w:val="0085362E"/>
    <w:rsid w:val="0085376F"/>
    <w:rsid w:val="00854017"/>
    <w:rsid w:val="008540DF"/>
    <w:rsid w:val="008546D7"/>
    <w:rsid w:val="0085483E"/>
    <w:rsid w:val="008548BD"/>
    <w:rsid w:val="00854EB3"/>
    <w:rsid w:val="00855050"/>
    <w:rsid w:val="008557DE"/>
    <w:rsid w:val="0085591D"/>
    <w:rsid w:val="00855C39"/>
    <w:rsid w:val="0085705C"/>
    <w:rsid w:val="008570BD"/>
    <w:rsid w:val="008570E5"/>
    <w:rsid w:val="008574C6"/>
    <w:rsid w:val="0085768B"/>
    <w:rsid w:val="008576D9"/>
    <w:rsid w:val="0086058E"/>
    <w:rsid w:val="00860AF7"/>
    <w:rsid w:val="00860DCE"/>
    <w:rsid w:val="0086110C"/>
    <w:rsid w:val="0086149E"/>
    <w:rsid w:val="008614B7"/>
    <w:rsid w:val="0086153A"/>
    <w:rsid w:val="00861AED"/>
    <w:rsid w:val="00861B72"/>
    <w:rsid w:val="00861B7D"/>
    <w:rsid w:val="00861D4E"/>
    <w:rsid w:val="00861E0E"/>
    <w:rsid w:val="0086221F"/>
    <w:rsid w:val="008622B0"/>
    <w:rsid w:val="00862BEA"/>
    <w:rsid w:val="00862E9E"/>
    <w:rsid w:val="00863173"/>
    <w:rsid w:val="008634CD"/>
    <w:rsid w:val="008635EB"/>
    <w:rsid w:val="00863FED"/>
    <w:rsid w:val="00864080"/>
    <w:rsid w:val="008640EE"/>
    <w:rsid w:val="00864D4C"/>
    <w:rsid w:val="00865237"/>
    <w:rsid w:val="0086558A"/>
    <w:rsid w:val="0086568F"/>
    <w:rsid w:val="00865865"/>
    <w:rsid w:val="00865CD1"/>
    <w:rsid w:val="00865E49"/>
    <w:rsid w:val="00865F0E"/>
    <w:rsid w:val="00866488"/>
    <w:rsid w:val="008665FC"/>
    <w:rsid w:val="0086689D"/>
    <w:rsid w:val="008669D8"/>
    <w:rsid w:val="00866E90"/>
    <w:rsid w:val="00866E93"/>
    <w:rsid w:val="00867313"/>
    <w:rsid w:val="00867680"/>
    <w:rsid w:val="0086797D"/>
    <w:rsid w:val="00867CDD"/>
    <w:rsid w:val="00870100"/>
    <w:rsid w:val="0087013F"/>
    <w:rsid w:val="00870590"/>
    <w:rsid w:val="00870A0E"/>
    <w:rsid w:val="00870CBA"/>
    <w:rsid w:val="00871030"/>
    <w:rsid w:val="0087132C"/>
    <w:rsid w:val="00871603"/>
    <w:rsid w:val="0087175D"/>
    <w:rsid w:val="008718CE"/>
    <w:rsid w:val="00871C7F"/>
    <w:rsid w:val="00872258"/>
    <w:rsid w:val="00872742"/>
    <w:rsid w:val="008727BC"/>
    <w:rsid w:val="00872C30"/>
    <w:rsid w:val="00872D7E"/>
    <w:rsid w:val="0087335D"/>
    <w:rsid w:val="00873485"/>
    <w:rsid w:val="008739B7"/>
    <w:rsid w:val="00873A70"/>
    <w:rsid w:val="00873AD1"/>
    <w:rsid w:val="00873DDA"/>
    <w:rsid w:val="00873FA0"/>
    <w:rsid w:val="0087401D"/>
    <w:rsid w:val="00874493"/>
    <w:rsid w:val="008749EE"/>
    <w:rsid w:val="00874FAC"/>
    <w:rsid w:val="0087551A"/>
    <w:rsid w:val="0087595C"/>
    <w:rsid w:val="00875C95"/>
    <w:rsid w:val="00875DEE"/>
    <w:rsid w:val="0087611C"/>
    <w:rsid w:val="00876395"/>
    <w:rsid w:val="00876749"/>
    <w:rsid w:val="00876817"/>
    <w:rsid w:val="00876A65"/>
    <w:rsid w:val="00877219"/>
    <w:rsid w:val="008775D4"/>
    <w:rsid w:val="00877AAA"/>
    <w:rsid w:val="00877B4E"/>
    <w:rsid w:val="00877F41"/>
    <w:rsid w:val="0088050F"/>
    <w:rsid w:val="008807BC"/>
    <w:rsid w:val="00880866"/>
    <w:rsid w:val="0088090E"/>
    <w:rsid w:val="00880998"/>
    <w:rsid w:val="008809A9"/>
    <w:rsid w:val="00880BF1"/>
    <w:rsid w:val="00880D77"/>
    <w:rsid w:val="00880F4E"/>
    <w:rsid w:val="00880F8D"/>
    <w:rsid w:val="00880FEA"/>
    <w:rsid w:val="00881472"/>
    <w:rsid w:val="008814FB"/>
    <w:rsid w:val="00881D36"/>
    <w:rsid w:val="008824D1"/>
    <w:rsid w:val="00882C30"/>
    <w:rsid w:val="00882DAB"/>
    <w:rsid w:val="00882E9C"/>
    <w:rsid w:val="0088301B"/>
    <w:rsid w:val="008835FF"/>
    <w:rsid w:val="0088391B"/>
    <w:rsid w:val="00883DB8"/>
    <w:rsid w:val="0088408C"/>
    <w:rsid w:val="00884675"/>
    <w:rsid w:val="00884905"/>
    <w:rsid w:val="0088500A"/>
    <w:rsid w:val="008857D8"/>
    <w:rsid w:val="00885AD0"/>
    <w:rsid w:val="00885B54"/>
    <w:rsid w:val="00885CB1"/>
    <w:rsid w:val="00885E1E"/>
    <w:rsid w:val="008863BA"/>
    <w:rsid w:val="008863C4"/>
    <w:rsid w:val="008864F8"/>
    <w:rsid w:val="00886507"/>
    <w:rsid w:val="008865B9"/>
    <w:rsid w:val="008869AF"/>
    <w:rsid w:val="00886B10"/>
    <w:rsid w:val="00886F56"/>
    <w:rsid w:val="00886F5B"/>
    <w:rsid w:val="0088704B"/>
    <w:rsid w:val="00887190"/>
    <w:rsid w:val="008871B4"/>
    <w:rsid w:val="00887D15"/>
    <w:rsid w:val="00887D43"/>
    <w:rsid w:val="0089016D"/>
    <w:rsid w:val="00890427"/>
    <w:rsid w:val="008905CE"/>
    <w:rsid w:val="00890848"/>
    <w:rsid w:val="00890B3D"/>
    <w:rsid w:val="00891136"/>
    <w:rsid w:val="0089133E"/>
    <w:rsid w:val="008915B7"/>
    <w:rsid w:val="0089167F"/>
    <w:rsid w:val="00891C3D"/>
    <w:rsid w:val="00891C6B"/>
    <w:rsid w:val="00892481"/>
    <w:rsid w:val="0089284C"/>
    <w:rsid w:val="00892B0D"/>
    <w:rsid w:val="00892CCA"/>
    <w:rsid w:val="00892D79"/>
    <w:rsid w:val="00892F19"/>
    <w:rsid w:val="0089316A"/>
    <w:rsid w:val="00893220"/>
    <w:rsid w:val="008932AA"/>
    <w:rsid w:val="0089334E"/>
    <w:rsid w:val="0089399D"/>
    <w:rsid w:val="008944B3"/>
    <w:rsid w:val="00894872"/>
    <w:rsid w:val="00894936"/>
    <w:rsid w:val="00894BB6"/>
    <w:rsid w:val="00894C7D"/>
    <w:rsid w:val="00894F05"/>
    <w:rsid w:val="00894F9A"/>
    <w:rsid w:val="0089581B"/>
    <w:rsid w:val="00895904"/>
    <w:rsid w:val="008959D8"/>
    <w:rsid w:val="008966D9"/>
    <w:rsid w:val="00896864"/>
    <w:rsid w:val="0089692F"/>
    <w:rsid w:val="00896D4C"/>
    <w:rsid w:val="00896EF6"/>
    <w:rsid w:val="0089705B"/>
    <w:rsid w:val="00897140"/>
    <w:rsid w:val="0089777E"/>
    <w:rsid w:val="008977AF"/>
    <w:rsid w:val="00897847"/>
    <w:rsid w:val="008979B1"/>
    <w:rsid w:val="00897A81"/>
    <w:rsid w:val="00897B8A"/>
    <w:rsid w:val="008A000F"/>
    <w:rsid w:val="008A0128"/>
    <w:rsid w:val="008A167B"/>
    <w:rsid w:val="008A20BF"/>
    <w:rsid w:val="008A2113"/>
    <w:rsid w:val="008A22E3"/>
    <w:rsid w:val="008A23E2"/>
    <w:rsid w:val="008A2444"/>
    <w:rsid w:val="008A27F5"/>
    <w:rsid w:val="008A2A6A"/>
    <w:rsid w:val="008A3446"/>
    <w:rsid w:val="008A360C"/>
    <w:rsid w:val="008A38D2"/>
    <w:rsid w:val="008A3C4D"/>
    <w:rsid w:val="008A3CF3"/>
    <w:rsid w:val="008A4667"/>
    <w:rsid w:val="008A4E55"/>
    <w:rsid w:val="008A4ED9"/>
    <w:rsid w:val="008A53BC"/>
    <w:rsid w:val="008A5C39"/>
    <w:rsid w:val="008A60D9"/>
    <w:rsid w:val="008A646F"/>
    <w:rsid w:val="008A6575"/>
    <w:rsid w:val="008A6A9D"/>
    <w:rsid w:val="008A6C7D"/>
    <w:rsid w:val="008A72A4"/>
    <w:rsid w:val="008A7327"/>
    <w:rsid w:val="008A7A74"/>
    <w:rsid w:val="008A7E73"/>
    <w:rsid w:val="008A7EF3"/>
    <w:rsid w:val="008B0BB4"/>
    <w:rsid w:val="008B0D90"/>
    <w:rsid w:val="008B133E"/>
    <w:rsid w:val="008B1419"/>
    <w:rsid w:val="008B1486"/>
    <w:rsid w:val="008B178D"/>
    <w:rsid w:val="008B1E05"/>
    <w:rsid w:val="008B1E8C"/>
    <w:rsid w:val="008B2123"/>
    <w:rsid w:val="008B252E"/>
    <w:rsid w:val="008B2608"/>
    <w:rsid w:val="008B260E"/>
    <w:rsid w:val="008B2850"/>
    <w:rsid w:val="008B2D0C"/>
    <w:rsid w:val="008B2E77"/>
    <w:rsid w:val="008B3128"/>
    <w:rsid w:val="008B385D"/>
    <w:rsid w:val="008B3A00"/>
    <w:rsid w:val="008B3A58"/>
    <w:rsid w:val="008B3C62"/>
    <w:rsid w:val="008B3E31"/>
    <w:rsid w:val="008B3E6F"/>
    <w:rsid w:val="008B44FD"/>
    <w:rsid w:val="008B4648"/>
    <w:rsid w:val="008B4986"/>
    <w:rsid w:val="008B4A34"/>
    <w:rsid w:val="008B4B60"/>
    <w:rsid w:val="008B4E2F"/>
    <w:rsid w:val="008B51C4"/>
    <w:rsid w:val="008B5410"/>
    <w:rsid w:val="008B5501"/>
    <w:rsid w:val="008B5825"/>
    <w:rsid w:val="008B5A21"/>
    <w:rsid w:val="008B606A"/>
    <w:rsid w:val="008B61E2"/>
    <w:rsid w:val="008B6324"/>
    <w:rsid w:val="008B634E"/>
    <w:rsid w:val="008B653C"/>
    <w:rsid w:val="008B6713"/>
    <w:rsid w:val="008B6986"/>
    <w:rsid w:val="008B6E33"/>
    <w:rsid w:val="008B6E4E"/>
    <w:rsid w:val="008B6FA0"/>
    <w:rsid w:val="008B7D1A"/>
    <w:rsid w:val="008C04FB"/>
    <w:rsid w:val="008C0D1F"/>
    <w:rsid w:val="008C1031"/>
    <w:rsid w:val="008C114B"/>
    <w:rsid w:val="008C11B2"/>
    <w:rsid w:val="008C1709"/>
    <w:rsid w:val="008C1D28"/>
    <w:rsid w:val="008C1ED6"/>
    <w:rsid w:val="008C20A5"/>
    <w:rsid w:val="008C2253"/>
    <w:rsid w:val="008C227A"/>
    <w:rsid w:val="008C2CDB"/>
    <w:rsid w:val="008C2D98"/>
    <w:rsid w:val="008C3699"/>
    <w:rsid w:val="008C3A1E"/>
    <w:rsid w:val="008C3B8F"/>
    <w:rsid w:val="008C3BDB"/>
    <w:rsid w:val="008C3FE7"/>
    <w:rsid w:val="008C410F"/>
    <w:rsid w:val="008C493D"/>
    <w:rsid w:val="008C4BB3"/>
    <w:rsid w:val="008C4C51"/>
    <w:rsid w:val="008C5006"/>
    <w:rsid w:val="008C50A3"/>
    <w:rsid w:val="008C5138"/>
    <w:rsid w:val="008C535C"/>
    <w:rsid w:val="008C54C7"/>
    <w:rsid w:val="008C5586"/>
    <w:rsid w:val="008C5CA3"/>
    <w:rsid w:val="008C5DC8"/>
    <w:rsid w:val="008C6276"/>
    <w:rsid w:val="008C6437"/>
    <w:rsid w:val="008C66B1"/>
    <w:rsid w:val="008C66CA"/>
    <w:rsid w:val="008C6DC5"/>
    <w:rsid w:val="008C6E42"/>
    <w:rsid w:val="008C72FA"/>
    <w:rsid w:val="008C777F"/>
    <w:rsid w:val="008C78A7"/>
    <w:rsid w:val="008C7AC3"/>
    <w:rsid w:val="008C7DE0"/>
    <w:rsid w:val="008C7F59"/>
    <w:rsid w:val="008C7F86"/>
    <w:rsid w:val="008D0778"/>
    <w:rsid w:val="008D09FD"/>
    <w:rsid w:val="008D1134"/>
    <w:rsid w:val="008D1581"/>
    <w:rsid w:val="008D15AE"/>
    <w:rsid w:val="008D18E7"/>
    <w:rsid w:val="008D1981"/>
    <w:rsid w:val="008D1B2D"/>
    <w:rsid w:val="008D2293"/>
    <w:rsid w:val="008D2502"/>
    <w:rsid w:val="008D2607"/>
    <w:rsid w:val="008D26B9"/>
    <w:rsid w:val="008D293D"/>
    <w:rsid w:val="008D29F5"/>
    <w:rsid w:val="008D2BD6"/>
    <w:rsid w:val="008D2C0C"/>
    <w:rsid w:val="008D2D36"/>
    <w:rsid w:val="008D3BDD"/>
    <w:rsid w:val="008D3BF5"/>
    <w:rsid w:val="008D3E6F"/>
    <w:rsid w:val="008D3EA1"/>
    <w:rsid w:val="008D4102"/>
    <w:rsid w:val="008D4386"/>
    <w:rsid w:val="008D4404"/>
    <w:rsid w:val="008D4468"/>
    <w:rsid w:val="008D4A7B"/>
    <w:rsid w:val="008D58F1"/>
    <w:rsid w:val="008D6266"/>
    <w:rsid w:val="008D6468"/>
    <w:rsid w:val="008D64D1"/>
    <w:rsid w:val="008D663D"/>
    <w:rsid w:val="008D6DCE"/>
    <w:rsid w:val="008D6F44"/>
    <w:rsid w:val="008D73BE"/>
    <w:rsid w:val="008D761F"/>
    <w:rsid w:val="008D77CC"/>
    <w:rsid w:val="008D788F"/>
    <w:rsid w:val="008D78AE"/>
    <w:rsid w:val="008D7AD8"/>
    <w:rsid w:val="008D7EB6"/>
    <w:rsid w:val="008E0102"/>
    <w:rsid w:val="008E0816"/>
    <w:rsid w:val="008E0871"/>
    <w:rsid w:val="008E087E"/>
    <w:rsid w:val="008E0A9C"/>
    <w:rsid w:val="008E0BCB"/>
    <w:rsid w:val="008E0EA2"/>
    <w:rsid w:val="008E0FEE"/>
    <w:rsid w:val="008E10DD"/>
    <w:rsid w:val="008E1226"/>
    <w:rsid w:val="008E12B9"/>
    <w:rsid w:val="008E15DB"/>
    <w:rsid w:val="008E18BF"/>
    <w:rsid w:val="008E1B35"/>
    <w:rsid w:val="008E2043"/>
    <w:rsid w:val="008E2136"/>
    <w:rsid w:val="008E23C7"/>
    <w:rsid w:val="008E2664"/>
    <w:rsid w:val="008E27B7"/>
    <w:rsid w:val="008E27CC"/>
    <w:rsid w:val="008E2870"/>
    <w:rsid w:val="008E2FF4"/>
    <w:rsid w:val="008E36CD"/>
    <w:rsid w:val="008E42E9"/>
    <w:rsid w:val="008E4F32"/>
    <w:rsid w:val="008E5058"/>
    <w:rsid w:val="008E5677"/>
    <w:rsid w:val="008E5B7D"/>
    <w:rsid w:val="008E630D"/>
    <w:rsid w:val="008E654B"/>
    <w:rsid w:val="008E68C7"/>
    <w:rsid w:val="008E69C7"/>
    <w:rsid w:val="008E69E7"/>
    <w:rsid w:val="008E6D2E"/>
    <w:rsid w:val="008E6DDE"/>
    <w:rsid w:val="008E6FAB"/>
    <w:rsid w:val="008E71CF"/>
    <w:rsid w:val="008E7533"/>
    <w:rsid w:val="008E759B"/>
    <w:rsid w:val="008E7D6A"/>
    <w:rsid w:val="008E7EFE"/>
    <w:rsid w:val="008F03AB"/>
    <w:rsid w:val="008F0445"/>
    <w:rsid w:val="008F04FC"/>
    <w:rsid w:val="008F04FD"/>
    <w:rsid w:val="008F06C5"/>
    <w:rsid w:val="008F0863"/>
    <w:rsid w:val="008F0BC6"/>
    <w:rsid w:val="008F15FF"/>
    <w:rsid w:val="008F16D8"/>
    <w:rsid w:val="008F18AA"/>
    <w:rsid w:val="008F1AF3"/>
    <w:rsid w:val="008F24EB"/>
    <w:rsid w:val="008F2726"/>
    <w:rsid w:val="008F27B7"/>
    <w:rsid w:val="008F27F0"/>
    <w:rsid w:val="008F28B0"/>
    <w:rsid w:val="008F2A31"/>
    <w:rsid w:val="008F2DF5"/>
    <w:rsid w:val="008F37B0"/>
    <w:rsid w:val="008F3B50"/>
    <w:rsid w:val="008F3ED8"/>
    <w:rsid w:val="008F41DF"/>
    <w:rsid w:val="008F4631"/>
    <w:rsid w:val="008F46E3"/>
    <w:rsid w:val="008F480C"/>
    <w:rsid w:val="008F495A"/>
    <w:rsid w:val="008F4B18"/>
    <w:rsid w:val="008F4B4B"/>
    <w:rsid w:val="008F4C1D"/>
    <w:rsid w:val="008F4E96"/>
    <w:rsid w:val="008F6632"/>
    <w:rsid w:val="008F6710"/>
    <w:rsid w:val="008F67B6"/>
    <w:rsid w:val="008F68D1"/>
    <w:rsid w:val="008F6E64"/>
    <w:rsid w:val="008F6E82"/>
    <w:rsid w:val="008F7436"/>
    <w:rsid w:val="008F75E1"/>
    <w:rsid w:val="008F78AD"/>
    <w:rsid w:val="008F78FC"/>
    <w:rsid w:val="008F7940"/>
    <w:rsid w:val="00900022"/>
    <w:rsid w:val="009001E0"/>
    <w:rsid w:val="009003C8"/>
    <w:rsid w:val="009007B1"/>
    <w:rsid w:val="00900890"/>
    <w:rsid w:val="00901035"/>
    <w:rsid w:val="00901489"/>
    <w:rsid w:val="009014A5"/>
    <w:rsid w:val="00901683"/>
    <w:rsid w:val="00901ADB"/>
    <w:rsid w:val="00901BA5"/>
    <w:rsid w:val="00901E91"/>
    <w:rsid w:val="0090208F"/>
    <w:rsid w:val="00902583"/>
    <w:rsid w:val="0090304F"/>
    <w:rsid w:val="00903AF4"/>
    <w:rsid w:val="009042CD"/>
    <w:rsid w:val="009048D1"/>
    <w:rsid w:val="009048E6"/>
    <w:rsid w:val="00905107"/>
    <w:rsid w:val="009054C4"/>
    <w:rsid w:val="0090564E"/>
    <w:rsid w:val="009057A7"/>
    <w:rsid w:val="0090588D"/>
    <w:rsid w:val="0090590F"/>
    <w:rsid w:val="00905D92"/>
    <w:rsid w:val="00905DA0"/>
    <w:rsid w:val="00906E2A"/>
    <w:rsid w:val="009071E5"/>
    <w:rsid w:val="009074E1"/>
    <w:rsid w:val="009100B6"/>
    <w:rsid w:val="00910313"/>
    <w:rsid w:val="009105C2"/>
    <w:rsid w:val="00910B01"/>
    <w:rsid w:val="00910D01"/>
    <w:rsid w:val="009116E1"/>
    <w:rsid w:val="00911956"/>
    <w:rsid w:val="00911D1C"/>
    <w:rsid w:val="00911D3B"/>
    <w:rsid w:val="00912125"/>
    <w:rsid w:val="0091221F"/>
    <w:rsid w:val="00912236"/>
    <w:rsid w:val="009123C5"/>
    <w:rsid w:val="00912652"/>
    <w:rsid w:val="009128B7"/>
    <w:rsid w:val="00912C79"/>
    <w:rsid w:val="00912E8F"/>
    <w:rsid w:val="00913665"/>
    <w:rsid w:val="009136E5"/>
    <w:rsid w:val="0091386F"/>
    <w:rsid w:val="00913870"/>
    <w:rsid w:val="00913914"/>
    <w:rsid w:val="00913A69"/>
    <w:rsid w:val="00913E99"/>
    <w:rsid w:val="00913F91"/>
    <w:rsid w:val="009140CF"/>
    <w:rsid w:val="0091461E"/>
    <w:rsid w:val="00914A06"/>
    <w:rsid w:val="00914B9C"/>
    <w:rsid w:val="00914CD2"/>
    <w:rsid w:val="00914EDA"/>
    <w:rsid w:val="00915331"/>
    <w:rsid w:val="00915613"/>
    <w:rsid w:val="0091578B"/>
    <w:rsid w:val="00915813"/>
    <w:rsid w:val="00915891"/>
    <w:rsid w:val="00915B6A"/>
    <w:rsid w:val="00915B9F"/>
    <w:rsid w:val="0091624C"/>
    <w:rsid w:val="009162EE"/>
    <w:rsid w:val="00916A38"/>
    <w:rsid w:val="00916A55"/>
    <w:rsid w:val="00916AC9"/>
    <w:rsid w:val="00917603"/>
    <w:rsid w:val="009178B7"/>
    <w:rsid w:val="00917ADD"/>
    <w:rsid w:val="00917BC1"/>
    <w:rsid w:val="00917C63"/>
    <w:rsid w:val="009201BF"/>
    <w:rsid w:val="009201D4"/>
    <w:rsid w:val="00920820"/>
    <w:rsid w:val="009209EB"/>
    <w:rsid w:val="00920BCB"/>
    <w:rsid w:val="00920C02"/>
    <w:rsid w:val="00920CC6"/>
    <w:rsid w:val="009213D8"/>
    <w:rsid w:val="00921405"/>
    <w:rsid w:val="00921679"/>
    <w:rsid w:val="00921D1F"/>
    <w:rsid w:val="00921DC1"/>
    <w:rsid w:val="00922821"/>
    <w:rsid w:val="00922E2A"/>
    <w:rsid w:val="00922E4B"/>
    <w:rsid w:val="00922F6C"/>
    <w:rsid w:val="0092304B"/>
    <w:rsid w:val="0092305E"/>
    <w:rsid w:val="00923062"/>
    <w:rsid w:val="009232EF"/>
    <w:rsid w:val="00923AAC"/>
    <w:rsid w:val="00923F43"/>
    <w:rsid w:val="00924007"/>
    <w:rsid w:val="0092456B"/>
    <w:rsid w:val="00924893"/>
    <w:rsid w:val="00924931"/>
    <w:rsid w:val="00924BB5"/>
    <w:rsid w:val="00924E19"/>
    <w:rsid w:val="00924F0D"/>
    <w:rsid w:val="00924F0F"/>
    <w:rsid w:val="0092513D"/>
    <w:rsid w:val="009253C8"/>
    <w:rsid w:val="00925553"/>
    <w:rsid w:val="00925984"/>
    <w:rsid w:val="00925A4E"/>
    <w:rsid w:val="00925E42"/>
    <w:rsid w:val="009260D6"/>
    <w:rsid w:val="00926130"/>
    <w:rsid w:val="009263D7"/>
    <w:rsid w:val="00926C39"/>
    <w:rsid w:val="00926D2C"/>
    <w:rsid w:val="0092726A"/>
    <w:rsid w:val="0092728A"/>
    <w:rsid w:val="00927392"/>
    <w:rsid w:val="009273DC"/>
    <w:rsid w:val="009279D1"/>
    <w:rsid w:val="00927A57"/>
    <w:rsid w:val="00927B51"/>
    <w:rsid w:val="00927C8E"/>
    <w:rsid w:val="00927D4B"/>
    <w:rsid w:val="00930193"/>
    <w:rsid w:val="0093053F"/>
    <w:rsid w:val="00930781"/>
    <w:rsid w:val="00930B07"/>
    <w:rsid w:val="00930B99"/>
    <w:rsid w:val="00930C22"/>
    <w:rsid w:val="00930DC0"/>
    <w:rsid w:val="00931461"/>
    <w:rsid w:val="00931DA4"/>
    <w:rsid w:val="00931F3C"/>
    <w:rsid w:val="0093206D"/>
    <w:rsid w:val="0093207B"/>
    <w:rsid w:val="009321C3"/>
    <w:rsid w:val="0093240E"/>
    <w:rsid w:val="009324EE"/>
    <w:rsid w:val="009327C1"/>
    <w:rsid w:val="00932C74"/>
    <w:rsid w:val="00932CB6"/>
    <w:rsid w:val="00932E57"/>
    <w:rsid w:val="00932F3C"/>
    <w:rsid w:val="009333ED"/>
    <w:rsid w:val="009336CE"/>
    <w:rsid w:val="0093377E"/>
    <w:rsid w:val="00933FB0"/>
    <w:rsid w:val="009341F2"/>
    <w:rsid w:val="009342C3"/>
    <w:rsid w:val="00934619"/>
    <w:rsid w:val="00934730"/>
    <w:rsid w:val="009349B0"/>
    <w:rsid w:val="00934AC1"/>
    <w:rsid w:val="00934BF8"/>
    <w:rsid w:val="00934D0B"/>
    <w:rsid w:val="00934FD4"/>
    <w:rsid w:val="0093536C"/>
    <w:rsid w:val="009358D5"/>
    <w:rsid w:val="00935914"/>
    <w:rsid w:val="00935A24"/>
    <w:rsid w:val="00935E4B"/>
    <w:rsid w:val="0093658A"/>
    <w:rsid w:val="00936AE2"/>
    <w:rsid w:val="00936C26"/>
    <w:rsid w:val="00936F30"/>
    <w:rsid w:val="00937515"/>
    <w:rsid w:val="00937596"/>
    <w:rsid w:val="0093780C"/>
    <w:rsid w:val="009378B8"/>
    <w:rsid w:val="00937C68"/>
    <w:rsid w:val="00937D50"/>
    <w:rsid w:val="0094006D"/>
    <w:rsid w:val="0094014E"/>
    <w:rsid w:val="0094045D"/>
    <w:rsid w:val="00940884"/>
    <w:rsid w:val="00940887"/>
    <w:rsid w:val="00940D04"/>
    <w:rsid w:val="00940DD1"/>
    <w:rsid w:val="00940E6F"/>
    <w:rsid w:val="00941269"/>
    <w:rsid w:val="0094194E"/>
    <w:rsid w:val="00941F71"/>
    <w:rsid w:val="00942227"/>
    <w:rsid w:val="00942600"/>
    <w:rsid w:val="00942694"/>
    <w:rsid w:val="009428F3"/>
    <w:rsid w:val="00942FAE"/>
    <w:rsid w:val="00943107"/>
    <w:rsid w:val="009431A7"/>
    <w:rsid w:val="00943311"/>
    <w:rsid w:val="0094360D"/>
    <w:rsid w:val="00943782"/>
    <w:rsid w:val="0094387E"/>
    <w:rsid w:val="009438C1"/>
    <w:rsid w:val="009438D0"/>
    <w:rsid w:val="0094392C"/>
    <w:rsid w:val="00943CA1"/>
    <w:rsid w:val="00943CE6"/>
    <w:rsid w:val="00943DDF"/>
    <w:rsid w:val="00944114"/>
    <w:rsid w:val="009443AB"/>
    <w:rsid w:val="009444A8"/>
    <w:rsid w:val="00945156"/>
    <w:rsid w:val="00945246"/>
    <w:rsid w:val="00945533"/>
    <w:rsid w:val="00945DF1"/>
    <w:rsid w:val="00945FB4"/>
    <w:rsid w:val="009460A5"/>
    <w:rsid w:val="0094615E"/>
    <w:rsid w:val="009463E5"/>
    <w:rsid w:val="00946472"/>
    <w:rsid w:val="0094653D"/>
    <w:rsid w:val="00946575"/>
    <w:rsid w:val="00946650"/>
    <w:rsid w:val="009467EB"/>
    <w:rsid w:val="00946C65"/>
    <w:rsid w:val="0094784A"/>
    <w:rsid w:val="00947931"/>
    <w:rsid w:val="00947A35"/>
    <w:rsid w:val="00947AEF"/>
    <w:rsid w:val="009503D6"/>
    <w:rsid w:val="0095051D"/>
    <w:rsid w:val="00950658"/>
    <w:rsid w:val="00950825"/>
    <w:rsid w:val="00950B45"/>
    <w:rsid w:val="00950BEB"/>
    <w:rsid w:val="0095150A"/>
    <w:rsid w:val="00951A31"/>
    <w:rsid w:val="00951C3C"/>
    <w:rsid w:val="00951C42"/>
    <w:rsid w:val="00951C53"/>
    <w:rsid w:val="00951D72"/>
    <w:rsid w:val="00951EB5"/>
    <w:rsid w:val="00952359"/>
    <w:rsid w:val="00952542"/>
    <w:rsid w:val="0095280D"/>
    <w:rsid w:val="00952B88"/>
    <w:rsid w:val="00952C79"/>
    <w:rsid w:val="0095338B"/>
    <w:rsid w:val="0095341D"/>
    <w:rsid w:val="00953475"/>
    <w:rsid w:val="009534BE"/>
    <w:rsid w:val="00953A5E"/>
    <w:rsid w:val="00953E1B"/>
    <w:rsid w:val="0095406D"/>
    <w:rsid w:val="00954334"/>
    <w:rsid w:val="00954340"/>
    <w:rsid w:val="0095463B"/>
    <w:rsid w:val="009549E1"/>
    <w:rsid w:val="00954A19"/>
    <w:rsid w:val="00954B29"/>
    <w:rsid w:val="00954BA6"/>
    <w:rsid w:val="00954E39"/>
    <w:rsid w:val="00955109"/>
    <w:rsid w:val="00955601"/>
    <w:rsid w:val="00955662"/>
    <w:rsid w:val="009559FD"/>
    <w:rsid w:val="00955CCA"/>
    <w:rsid w:val="00955D84"/>
    <w:rsid w:val="00955E71"/>
    <w:rsid w:val="009568FF"/>
    <w:rsid w:val="00956A97"/>
    <w:rsid w:val="009572F5"/>
    <w:rsid w:val="009573CB"/>
    <w:rsid w:val="00957F72"/>
    <w:rsid w:val="00960177"/>
    <w:rsid w:val="0096033E"/>
    <w:rsid w:val="00960C27"/>
    <w:rsid w:val="00960E1C"/>
    <w:rsid w:val="00960EF0"/>
    <w:rsid w:val="00962193"/>
    <w:rsid w:val="00962566"/>
    <w:rsid w:val="009625AF"/>
    <w:rsid w:val="0096261D"/>
    <w:rsid w:val="00962717"/>
    <w:rsid w:val="009627BF"/>
    <w:rsid w:val="0096303A"/>
    <w:rsid w:val="0096320C"/>
    <w:rsid w:val="0096323B"/>
    <w:rsid w:val="009634A0"/>
    <w:rsid w:val="00963B7F"/>
    <w:rsid w:val="00963E44"/>
    <w:rsid w:val="00963E68"/>
    <w:rsid w:val="00963EA2"/>
    <w:rsid w:val="00963FAB"/>
    <w:rsid w:val="00963FFE"/>
    <w:rsid w:val="00964163"/>
    <w:rsid w:val="009644A0"/>
    <w:rsid w:val="009646F9"/>
    <w:rsid w:val="00965249"/>
    <w:rsid w:val="00965648"/>
    <w:rsid w:val="009656D0"/>
    <w:rsid w:val="00965A84"/>
    <w:rsid w:val="0096606D"/>
    <w:rsid w:val="00966238"/>
    <w:rsid w:val="00966D44"/>
    <w:rsid w:val="00966D53"/>
    <w:rsid w:val="00966F73"/>
    <w:rsid w:val="0096705B"/>
    <w:rsid w:val="009677B8"/>
    <w:rsid w:val="0096784A"/>
    <w:rsid w:val="009679F4"/>
    <w:rsid w:val="00967B96"/>
    <w:rsid w:val="00967ECF"/>
    <w:rsid w:val="00967EEF"/>
    <w:rsid w:val="00970611"/>
    <w:rsid w:val="00970AA3"/>
    <w:rsid w:val="0097111E"/>
    <w:rsid w:val="009711EC"/>
    <w:rsid w:val="0097195A"/>
    <w:rsid w:val="00971BAA"/>
    <w:rsid w:val="00971DE0"/>
    <w:rsid w:val="009720B1"/>
    <w:rsid w:val="00972136"/>
    <w:rsid w:val="00972505"/>
    <w:rsid w:val="00972745"/>
    <w:rsid w:val="00973104"/>
    <w:rsid w:val="00973353"/>
    <w:rsid w:val="009733D8"/>
    <w:rsid w:val="009734E0"/>
    <w:rsid w:val="009734F0"/>
    <w:rsid w:val="0097356F"/>
    <w:rsid w:val="009737F3"/>
    <w:rsid w:val="00973898"/>
    <w:rsid w:val="009738BA"/>
    <w:rsid w:val="0097415A"/>
    <w:rsid w:val="009742B1"/>
    <w:rsid w:val="0097437F"/>
    <w:rsid w:val="0097493B"/>
    <w:rsid w:val="00974EB1"/>
    <w:rsid w:val="00975AE1"/>
    <w:rsid w:val="00975E60"/>
    <w:rsid w:val="009764C3"/>
    <w:rsid w:val="00976752"/>
    <w:rsid w:val="00976AD7"/>
    <w:rsid w:val="00976B04"/>
    <w:rsid w:val="00976D24"/>
    <w:rsid w:val="00976DB7"/>
    <w:rsid w:val="00976E82"/>
    <w:rsid w:val="00977143"/>
    <w:rsid w:val="00977245"/>
    <w:rsid w:val="0097730A"/>
    <w:rsid w:val="009777C4"/>
    <w:rsid w:val="00977917"/>
    <w:rsid w:val="00977984"/>
    <w:rsid w:val="009779FD"/>
    <w:rsid w:val="00977A58"/>
    <w:rsid w:val="00977C34"/>
    <w:rsid w:val="00977F3A"/>
    <w:rsid w:val="00977FF1"/>
    <w:rsid w:val="00980144"/>
    <w:rsid w:val="009801C8"/>
    <w:rsid w:val="009805AA"/>
    <w:rsid w:val="0098070B"/>
    <w:rsid w:val="00980B3B"/>
    <w:rsid w:val="00980B4B"/>
    <w:rsid w:val="00980BA0"/>
    <w:rsid w:val="009810A3"/>
    <w:rsid w:val="009811D1"/>
    <w:rsid w:val="0098136A"/>
    <w:rsid w:val="0098191B"/>
    <w:rsid w:val="00981AA5"/>
    <w:rsid w:val="00981CDC"/>
    <w:rsid w:val="00982640"/>
    <w:rsid w:val="00982E01"/>
    <w:rsid w:val="00982E3C"/>
    <w:rsid w:val="009833D5"/>
    <w:rsid w:val="00983442"/>
    <w:rsid w:val="009835FD"/>
    <w:rsid w:val="00983D15"/>
    <w:rsid w:val="00983E1E"/>
    <w:rsid w:val="00983EA9"/>
    <w:rsid w:val="00983EF6"/>
    <w:rsid w:val="009844B7"/>
    <w:rsid w:val="009845B0"/>
    <w:rsid w:val="009848F1"/>
    <w:rsid w:val="00984917"/>
    <w:rsid w:val="00985127"/>
    <w:rsid w:val="009854A3"/>
    <w:rsid w:val="009856DA"/>
    <w:rsid w:val="00985C6C"/>
    <w:rsid w:val="00985DEA"/>
    <w:rsid w:val="00985FFE"/>
    <w:rsid w:val="0098601C"/>
    <w:rsid w:val="0098614E"/>
    <w:rsid w:val="00986B55"/>
    <w:rsid w:val="00986C48"/>
    <w:rsid w:val="00986CDC"/>
    <w:rsid w:val="00986EEB"/>
    <w:rsid w:val="0098709E"/>
    <w:rsid w:val="00987262"/>
    <w:rsid w:val="00987854"/>
    <w:rsid w:val="00987AF3"/>
    <w:rsid w:val="00987C95"/>
    <w:rsid w:val="009903A2"/>
    <w:rsid w:val="00990468"/>
    <w:rsid w:val="00990615"/>
    <w:rsid w:val="00990A26"/>
    <w:rsid w:val="009910BD"/>
    <w:rsid w:val="0099122D"/>
    <w:rsid w:val="00991554"/>
    <w:rsid w:val="0099166A"/>
    <w:rsid w:val="00991777"/>
    <w:rsid w:val="00991AD3"/>
    <w:rsid w:val="00992026"/>
    <w:rsid w:val="00992141"/>
    <w:rsid w:val="009921F6"/>
    <w:rsid w:val="009928D3"/>
    <w:rsid w:val="00992914"/>
    <w:rsid w:val="00992C5E"/>
    <w:rsid w:val="00992CE5"/>
    <w:rsid w:val="00992D03"/>
    <w:rsid w:val="00992E0D"/>
    <w:rsid w:val="00992EE0"/>
    <w:rsid w:val="009934F8"/>
    <w:rsid w:val="00993530"/>
    <w:rsid w:val="009938AC"/>
    <w:rsid w:val="00993E85"/>
    <w:rsid w:val="00993F73"/>
    <w:rsid w:val="00994132"/>
    <w:rsid w:val="00994513"/>
    <w:rsid w:val="009945F0"/>
    <w:rsid w:val="00994AC8"/>
    <w:rsid w:val="00994B8A"/>
    <w:rsid w:val="00994D82"/>
    <w:rsid w:val="00994DD7"/>
    <w:rsid w:val="00995107"/>
    <w:rsid w:val="0099518D"/>
    <w:rsid w:val="00995B5A"/>
    <w:rsid w:val="00995B82"/>
    <w:rsid w:val="00995BB6"/>
    <w:rsid w:val="00995BF6"/>
    <w:rsid w:val="00995C62"/>
    <w:rsid w:val="00995C93"/>
    <w:rsid w:val="009961B4"/>
    <w:rsid w:val="009966B6"/>
    <w:rsid w:val="00996A36"/>
    <w:rsid w:val="00996D7A"/>
    <w:rsid w:val="00996FC7"/>
    <w:rsid w:val="00997010"/>
    <w:rsid w:val="009970A4"/>
    <w:rsid w:val="009971C6"/>
    <w:rsid w:val="009972F8"/>
    <w:rsid w:val="00997312"/>
    <w:rsid w:val="0099750C"/>
    <w:rsid w:val="0099765D"/>
    <w:rsid w:val="00997B01"/>
    <w:rsid w:val="009A01A5"/>
    <w:rsid w:val="009A04BE"/>
    <w:rsid w:val="009A0749"/>
    <w:rsid w:val="009A094C"/>
    <w:rsid w:val="009A0C0C"/>
    <w:rsid w:val="009A0EA5"/>
    <w:rsid w:val="009A0ED3"/>
    <w:rsid w:val="009A0EED"/>
    <w:rsid w:val="009A10B3"/>
    <w:rsid w:val="009A11DF"/>
    <w:rsid w:val="009A1369"/>
    <w:rsid w:val="009A1385"/>
    <w:rsid w:val="009A147F"/>
    <w:rsid w:val="009A1626"/>
    <w:rsid w:val="009A17BB"/>
    <w:rsid w:val="009A189F"/>
    <w:rsid w:val="009A18F7"/>
    <w:rsid w:val="009A1CF7"/>
    <w:rsid w:val="009A2432"/>
    <w:rsid w:val="009A2703"/>
    <w:rsid w:val="009A2889"/>
    <w:rsid w:val="009A2C9E"/>
    <w:rsid w:val="009A345B"/>
    <w:rsid w:val="009A3E75"/>
    <w:rsid w:val="009A4239"/>
    <w:rsid w:val="009A47A1"/>
    <w:rsid w:val="009A4EAB"/>
    <w:rsid w:val="009A4EC4"/>
    <w:rsid w:val="009A5536"/>
    <w:rsid w:val="009A5DF3"/>
    <w:rsid w:val="009A60FD"/>
    <w:rsid w:val="009A62F7"/>
    <w:rsid w:val="009A63F9"/>
    <w:rsid w:val="009A6727"/>
    <w:rsid w:val="009A6993"/>
    <w:rsid w:val="009A6BB5"/>
    <w:rsid w:val="009A6F84"/>
    <w:rsid w:val="009A7528"/>
    <w:rsid w:val="009A77FD"/>
    <w:rsid w:val="009B016E"/>
    <w:rsid w:val="009B09E2"/>
    <w:rsid w:val="009B0F00"/>
    <w:rsid w:val="009B12B7"/>
    <w:rsid w:val="009B1655"/>
    <w:rsid w:val="009B1D0A"/>
    <w:rsid w:val="009B2182"/>
    <w:rsid w:val="009B224E"/>
    <w:rsid w:val="009B249B"/>
    <w:rsid w:val="009B27C8"/>
    <w:rsid w:val="009B2E35"/>
    <w:rsid w:val="009B2F45"/>
    <w:rsid w:val="009B3066"/>
    <w:rsid w:val="009B3154"/>
    <w:rsid w:val="009B31A4"/>
    <w:rsid w:val="009B363C"/>
    <w:rsid w:val="009B387B"/>
    <w:rsid w:val="009B3BF4"/>
    <w:rsid w:val="009B3C3F"/>
    <w:rsid w:val="009B3E3A"/>
    <w:rsid w:val="009B42B7"/>
    <w:rsid w:val="009B4415"/>
    <w:rsid w:val="009B44B6"/>
    <w:rsid w:val="009B45E1"/>
    <w:rsid w:val="009B47AF"/>
    <w:rsid w:val="009B47D2"/>
    <w:rsid w:val="009B47FE"/>
    <w:rsid w:val="009B4930"/>
    <w:rsid w:val="009B49F3"/>
    <w:rsid w:val="009B4A03"/>
    <w:rsid w:val="009B4C58"/>
    <w:rsid w:val="009B4C5A"/>
    <w:rsid w:val="009B5374"/>
    <w:rsid w:val="009B5760"/>
    <w:rsid w:val="009B5AD8"/>
    <w:rsid w:val="009B5AF8"/>
    <w:rsid w:val="009B5E9F"/>
    <w:rsid w:val="009B6028"/>
    <w:rsid w:val="009B6198"/>
    <w:rsid w:val="009B6500"/>
    <w:rsid w:val="009B661F"/>
    <w:rsid w:val="009B68C6"/>
    <w:rsid w:val="009B6BA3"/>
    <w:rsid w:val="009B6BE8"/>
    <w:rsid w:val="009B6D92"/>
    <w:rsid w:val="009B76B7"/>
    <w:rsid w:val="009B799B"/>
    <w:rsid w:val="009C0A32"/>
    <w:rsid w:val="009C0B75"/>
    <w:rsid w:val="009C0BEF"/>
    <w:rsid w:val="009C10EF"/>
    <w:rsid w:val="009C130E"/>
    <w:rsid w:val="009C19E5"/>
    <w:rsid w:val="009C1DB1"/>
    <w:rsid w:val="009C2321"/>
    <w:rsid w:val="009C2B59"/>
    <w:rsid w:val="009C2C68"/>
    <w:rsid w:val="009C2CD8"/>
    <w:rsid w:val="009C2EF6"/>
    <w:rsid w:val="009C2FF5"/>
    <w:rsid w:val="009C3490"/>
    <w:rsid w:val="009C3586"/>
    <w:rsid w:val="009C35DD"/>
    <w:rsid w:val="009C35ED"/>
    <w:rsid w:val="009C3BFA"/>
    <w:rsid w:val="009C41AF"/>
    <w:rsid w:val="009C4411"/>
    <w:rsid w:val="009C44C2"/>
    <w:rsid w:val="009C4CEE"/>
    <w:rsid w:val="009C50C7"/>
    <w:rsid w:val="009C5F3C"/>
    <w:rsid w:val="009C654A"/>
    <w:rsid w:val="009C678C"/>
    <w:rsid w:val="009C6855"/>
    <w:rsid w:val="009C6A15"/>
    <w:rsid w:val="009C6B5E"/>
    <w:rsid w:val="009C71D4"/>
    <w:rsid w:val="009C783F"/>
    <w:rsid w:val="009C7D40"/>
    <w:rsid w:val="009C7E7A"/>
    <w:rsid w:val="009D0059"/>
    <w:rsid w:val="009D07B0"/>
    <w:rsid w:val="009D09DA"/>
    <w:rsid w:val="009D0D75"/>
    <w:rsid w:val="009D0ED8"/>
    <w:rsid w:val="009D1284"/>
    <w:rsid w:val="009D1AD0"/>
    <w:rsid w:val="009D1CAE"/>
    <w:rsid w:val="009D201C"/>
    <w:rsid w:val="009D20AB"/>
    <w:rsid w:val="009D29F1"/>
    <w:rsid w:val="009D2B2F"/>
    <w:rsid w:val="009D2D68"/>
    <w:rsid w:val="009D2FE5"/>
    <w:rsid w:val="009D30CD"/>
    <w:rsid w:val="009D3252"/>
    <w:rsid w:val="009D39EB"/>
    <w:rsid w:val="009D3BF6"/>
    <w:rsid w:val="009D3CAD"/>
    <w:rsid w:val="009D3DF0"/>
    <w:rsid w:val="009D3F7C"/>
    <w:rsid w:val="009D4285"/>
    <w:rsid w:val="009D44AA"/>
    <w:rsid w:val="009D44B8"/>
    <w:rsid w:val="009D46AD"/>
    <w:rsid w:val="009D47A9"/>
    <w:rsid w:val="009D484F"/>
    <w:rsid w:val="009D4903"/>
    <w:rsid w:val="009D4B56"/>
    <w:rsid w:val="009D5075"/>
    <w:rsid w:val="009D5119"/>
    <w:rsid w:val="009D575E"/>
    <w:rsid w:val="009D5B9C"/>
    <w:rsid w:val="009D6B72"/>
    <w:rsid w:val="009D6C12"/>
    <w:rsid w:val="009D7065"/>
    <w:rsid w:val="009D7389"/>
    <w:rsid w:val="009D7565"/>
    <w:rsid w:val="009D75CC"/>
    <w:rsid w:val="009D76FF"/>
    <w:rsid w:val="009D7895"/>
    <w:rsid w:val="009D79DC"/>
    <w:rsid w:val="009D7EAC"/>
    <w:rsid w:val="009D7EB6"/>
    <w:rsid w:val="009D7FED"/>
    <w:rsid w:val="009E0238"/>
    <w:rsid w:val="009E05AC"/>
    <w:rsid w:val="009E062D"/>
    <w:rsid w:val="009E0661"/>
    <w:rsid w:val="009E0CB1"/>
    <w:rsid w:val="009E0E7D"/>
    <w:rsid w:val="009E10D2"/>
    <w:rsid w:val="009E11BE"/>
    <w:rsid w:val="009E1508"/>
    <w:rsid w:val="009E1A11"/>
    <w:rsid w:val="009E1CF6"/>
    <w:rsid w:val="009E1DAC"/>
    <w:rsid w:val="009E211C"/>
    <w:rsid w:val="009E2388"/>
    <w:rsid w:val="009E3021"/>
    <w:rsid w:val="009E3272"/>
    <w:rsid w:val="009E3E2D"/>
    <w:rsid w:val="009E419D"/>
    <w:rsid w:val="009E4231"/>
    <w:rsid w:val="009E45BD"/>
    <w:rsid w:val="009E4634"/>
    <w:rsid w:val="009E4AE1"/>
    <w:rsid w:val="009E4C86"/>
    <w:rsid w:val="009E518A"/>
    <w:rsid w:val="009E5515"/>
    <w:rsid w:val="009E55EE"/>
    <w:rsid w:val="009E5735"/>
    <w:rsid w:val="009E5762"/>
    <w:rsid w:val="009E590D"/>
    <w:rsid w:val="009E5AA9"/>
    <w:rsid w:val="009E5AAA"/>
    <w:rsid w:val="009E5CC3"/>
    <w:rsid w:val="009E5E27"/>
    <w:rsid w:val="009E60FA"/>
    <w:rsid w:val="009E62CD"/>
    <w:rsid w:val="009E64D5"/>
    <w:rsid w:val="009E6608"/>
    <w:rsid w:val="009E6D56"/>
    <w:rsid w:val="009E6E04"/>
    <w:rsid w:val="009E74D4"/>
    <w:rsid w:val="009E75BD"/>
    <w:rsid w:val="009F0312"/>
    <w:rsid w:val="009F06C5"/>
    <w:rsid w:val="009F0A49"/>
    <w:rsid w:val="009F110D"/>
    <w:rsid w:val="009F1142"/>
    <w:rsid w:val="009F1192"/>
    <w:rsid w:val="009F11C0"/>
    <w:rsid w:val="009F1294"/>
    <w:rsid w:val="009F18D2"/>
    <w:rsid w:val="009F192E"/>
    <w:rsid w:val="009F282B"/>
    <w:rsid w:val="009F2AF0"/>
    <w:rsid w:val="009F2CFF"/>
    <w:rsid w:val="009F2DDB"/>
    <w:rsid w:val="009F33C6"/>
    <w:rsid w:val="009F3601"/>
    <w:rsid w:val="009F36E1"/>
    <w:rsid w:val="009F378B"/>
    <w:rsid w:val="009F3803"/>
    <w:rsid w:val="009F3B3A"/>
    <w:rsid w:val="009F4370"/>
    <w:rsid w:val="009F4642"/>
    <w:rsid w:val="009F4728"/>
    <w:rsid w:val="009F47D3"/>
    <w:rsid w:val="009F48B8"/>
    <w:rsid w:val="009F4B17"/>
    <w:rsid w:val="009F4FFC"/>
    <w:rsid w:val="009F507C"/>
    <w:rsid w:val="009F631F"/>
    <w:rsid w:val="009F65FC"/>
    <w:rsid w:val="009F68CE"/>
    <w:rsid w:val="009F6D54"/>
    <w:rsid w:val="009F6FD4"/>
    <w:rsid w:val="009F710C"/>
    <w:rsid w:val="009F7972"/>
    <w:rsid w:val="009F799D"/>
    <w:rsid w:val="009F7A9D"/>
    <w:rsid w:val="009F7DAE"/>
    <w:rsid w:val="009F7DEA"/>
    <w:rsid w:val="00A00235"/>
    <w:rsid w:val="00A00915"/>
    <w:rsid w:val="00A00F34"/>
    <w:rsid w:val="00A01049"/>
    <w:rsid w:val="00A011E3"/>
    <w:rsid w:val="00A015D0"/>
    <w:rsid w:val="00A01690"/>
    <w:rsid w:val="00A01BD5"/>
    <w:rsid w:val="00A01D83"/>
    <w:rsid w:val="00A01D8A"/>
    <w:rsid w:val="00A01E06"/>
    <w:rsid w:val="00A02112"/>
    <w:rsid w:val="00A02144"/>
    <w:rsid w:val="00A023FA"/>
    <w:rsid w:val="00A0256F"/>
    <w:rsid w:val="00A025C9"/>
    <w:rsid w:val="00A02715"/>
    <w:rsid w:val="00A029CD"/>
    <w:rsid w:val="00A02AAD"/>
    <w:rsid w:val="00A03263"/>
    <w:rsid w:val="00A0350E"/>
    <w:rsid w:val="00A03B76"/>
    <w:rsid w:val="00A047F2"/>
    <w:rsid w:val="00A04BB7"/>
    <w:rsid w:val="00A04D59"/>
    <w:rsid w:val="00A05377"/>
    <w:rsid w:val="00A0570A"/>
    <w:rsid w:val="00A058E6"/>
    <w:rsid w:val="00A05B85"/>
    <w:rsid w:val="00A05CB4"/>
    <w:rsid w:val="00A05D77"/>
    <w:rsid w:val="00A05DAA"/>
    <w:rsid w:val="00A05DDE"/>
    <w:rsid w:val="00A0638E"/>
    <w:rsid w:val="00A06A83"/>
    <w:rsid w:val="00A06ABE"/>
    <w:rsid w:val="00A06E5E"/>
    <w:rsid w:val="00A06FD1"/>
    <w:rsid w:val="00A07046"/>
    <w:rsid w:val="00A072D4"/>
    <w:rsid w:val="00A0751A"/>
    <w:rsid w:val="00A07675"/>
    <w:rsid w:val="00A07DF3"/>
    <w:rsid w:val="00A10B81"/>
    <w:rsid w:val="00A10FF8"/>
    <w:rsid w:val="00A11305"/>
    <w:rsid w:val="00A117C3"/>
    <w:rsid w:val="00A11AEF"/>
    <w:rsid w:val="00A11C09"/>
    <w:rsid w:val="00A11CDC"/>
    <w:rsid w:val="00A11FB6"/>
    <w:rsid w:val="00A12359"/>
    <w:rsid w:val="00A12682"/>
    <w:rsid w:val="00A1279C"/>
    <w:rsid w:val="00A127DC"/>
    <w:rsid w:val="00A12966"/>
    <w:rsid w:val="00A12A6B"/>
    <w:rsid w:val="00A12DA4"/>
    <w:rsid w:val="00A12DC2"/>
    <w:rsid w:val="00A12F33"/>
    <w:rsid w:val="00A13295"/>
    <w:rsid w:val="00A1348E"/>
    <w:rsid w:val="00A134E2"/>
    <w:rsid w:val="00A1408F"/>
    <w:rsid w:val="00A144BA"/>
    <w:rsid w:val="00A145E3"/>
    <w:rsid w:val="00A147AD"/>
    <w:rsid w:val="00A148B4"/>
    <w:rsid w:val="00A14946"/>
    <w:rsid w:val="00A14A9B"/>
    <w:rsid w:val="00A14D0D"/>
    <w:rsid w:val="00A1519B"/>
    <w:rsid w:val="00A1525E"/>
    <w:rsid w:val="00A156C2"/>
    <w:rsid w:val="00A15EFD"/>
    <w:rsid w:val="00A16296"/>
    <w:rsid w:val="00A162C5"/>
    <w:rsid w:val="00A16401"/>
    <w:rsid w:val="00A16500"/>
    <w:rsid w:val="00A168AB"/>
    <w:rsid w:val="00A168C8"/>
    <w:rsid w:val="00A16929"/>
    <w:rsid w:val="00A16B2E"/>
    <w:rsid w:val="00A173C1"/>
    <w:rsid w:val="00A17C1B"/>
    <w:rsid w:val="00A17D4B"/>
    <w:rsid w:val="00A201BF"/>
    <w:rsid w:val="00A203A4"/>
    <w:rsid w:val="00A203AF"/>
    <w:rsid w:val="00A207FF"/>
    <w:rsid w:val="00A20A85"/>
    <w:rsid w:val="00A20E69"/>
    <w:rsid w:val="00A210D1"/>
    <w:rsid w:val="00A21113"/>
    <w:rsid w:val="00A21253"/>
    <w:rsid w:val="00A215A5"/>
    <w:rsid w:val="00A21DEB"/>
    <w:rsid w:val="00A21FC0"/>
    <w:rsid w:val="00A2204C"/>
    <w:rsid w:val="00A224CD"/>
    <w:rsid w:val="00A22AFA"/>
    <w:rsid w:val="00A2303D"/>
    <w:rsid w:val="00A2312E"/>
    <w:rsid w:val="00A23417"/>
    <w:rsid w:val="00A236A2"/>
    <w:rsid w:val="00A236C0"/>
    <w:rsid w:val="00A236FE"/>
    <w:rsid w:val="00A238B1"/>
    <w:rsid w:val="00A238CB"/>
    <w:rsid w:val="00A23BDC"/>
    <w:rsid w:val="00A23F9C"/>
    <w:rsid w:val="00A23FBC"/>
    <w:rsid w:val="00A2407D"/>
    <w:rsid w:val="00A246FF"/>
    <w:rsid w:val="00A249D1"/>
    <w:rsid w:val="00A24C8B"/>
    <w:rsid w:val="00A24CC2"/>
    <w:rsid w:val="00A24E6E"/>
    <w:rsid w:val="00A255CC"/>
    <w:rsid w:val="00A2563A"/>
    <w:rsid w:val="00A256BF"/>
    <w:rsid w:val="00A25708"/>
    <w:rsid w:val="00A25922"/>
    <w:rsid w:val="00A264E3"/>
    <w:rsid w:val="00A26A5D"/>
    <w:rsid w:val="00A26B22"/>
    <w:rsid w:val="00A2734D"/>
    <w:rsid w:val="00A275C7"/>
    <w:rsid w:val="00A278F1"/>
    <w:rsid w:val="00A27A24"/>
    <w:rsid w:val="00A27BF2"/>
    <w:rsid w:val="00A27E0D"/>
    <w:rsid w:val="00A27E0F"/>
    <w:rsid w:val="00A27F62"/>
    <w:rsid w:val="00A30DA1"/>
    <w:rsid w:val="00A30DC1"/>
    <w:rsid w:val="00A31169"/>
    <w:rsid w:val="00A3156C"/>
    <w:rsid w:val="00A316FC"/>
    <w:rsid w:val="00A3171C"/>
    <w:rsid w:val="00A31793"/>
    <w:rsid w:val="00A31992"/>
    <w:rsid w:val="00A31A39"/>
    <w:rsid w:val="00A32386"/>
    <w:rsid w:val="00A3284B"/>
    <w:rsid w:val="00A32859"/>
    <w:rsid w:val="00A32D84"/>
    <w:rsid w:val="00A32E60"/>
    <w:rsid w:val="00A32F11"/>
    <w:rsid w:val="00A336D4"/>
    <w:rsid w:val="00A345D3"/>
    <w:rsid w:val="00A34F05"/>
    <w:rsid w:val="00A351B4"/>
    <w:rsid w:val="00A354DC"/>
    <w:rsid w:val="00A355FF"/>
    <w:rsid w:val="00A358C9"/>
    <w:rsid w:val="00A360F8"/>
    <w:rsid w:val="00A366D4"/>
    <w:rsid w:val="00A368A5"/>
    <w:rsid w:val="00A36946"/>
    <w:rsid w:val="00A36DDD"/>
    <w:rsid w:val="00A37048"/>
    <w:rsid w:val="00A37841"/>
    <w:rsid w:val="00A37B80"/>
    <w:rsid w:val="00A37BC9"/>
    <w:rsid w:val="00A37C27"/>
    <w:rsid w:val="00A4075B"/>
    <w:rsid w:val="00A4142D"/>
    <w:rsid w:val="00A416F7"/>
    <w:rsid w:val="00A41969"/>
    <w:rsid w:val="00A419B6"/>
    <w:rsid w:val="00A4219B"/>
    <w:rsid w:val="00A421A1"/>
    <w:rsid w:val="00A42204"/>
    <w:rsid w:val="00A42273"/>
    <w:rsid w:val="00A42407"/>
    <w:rsid w:val="00A425D9"/>
    <w:rsid w:val="00A42783"/>
    <w:rsid w:val="00A428BA"/>
    <w:rsid w:val="00A42904"/>
    <w:rsid w:val="00A42E4D"/>
    <w:rsid w:val="00A42E68"/>
    <w:rsid w:val="00A43415"/>
    <w:rsid w:val="00A43B00"/>
    <w:rsid w:val="00A43D7F"/>
    <w:rsid w:val="00A44187"/>
    <w:rsid w:val="00A44360"/>
    <w:rsid w:val="00A445AD"/>
    <w:rsid w:val="00A4472A"/>
    <w:rsid w:val="00A44A63"/>
    <w:rsid w:val="00A44A64"/>
    <w:rsid w:val="00A44C35"/>
    <w:rsid w:val="00A44DBF"/>
    <w:rsid w:val="00A44E1E"/>
    <w:rsid w:val="00A4547E"/>
    <w:rsid w:val="00A457DC"/>
    <w:rsid w:val="00A45C44"/>
    <w:rsid w:val="00A45CA8"/>
    <w:rsid w:val="00A45F69"/>
    <w:rsid w:val="00A45FC7"/>
    <w:rsid w:val="00A460D1"/>
    <w:rsid w:val="00A4676F"/>
    <w:rsid w:val="00A46FF6"/>
    <w:rsid w:val="00A47217"/>
    <w:rsid w:val="00A474D2"/>
    <w:rsid w:val="00A47559"/>
    <w:rsid w:val="00A476A7"/>
    <w:rsid w:val="00A4797D"/>
    <w:rsid w:val="00A479B8"/>
    <w:rsid w:val="00A50055"/>
    <w:rsid w:val="00A501F0"/>
    <w:rsid w:val="00A5087A"/>
    <w:rsid w:val="00A50B63"/>
    <w:rsid w:val="00A510D6"/>
    <w:rsid w:val="00A51524"/>
    <w:rsid w:val="00A51D91"/>
    <w:rsid w:val="00A51F35"/>
    <w:rsid w:val="00A5259E"/>
    <w:rsid w:val="00A528A2"/>
    <w:rsid w:val="00A5293D"/>
    <w:rsid w:val="00A529DF"/>
    <w:rsid w:val="00A52A48"/>
    <w:rsid w:val="00A52B02"/>
    <w:rsid w:val="00A52B7E"/>
    <w:rsid w:val="00A52C15"/>
    <w:rsid w:val="00A52DDE"/>
    <w:rsid w:val="00A53232"/>
    <w:rsid w:val="00A537C9"/>
    <w:rsid w:val="00A53810"/>
    <w:rsid w:val="00A53A9A"/>
    <w:rsid w:val="00A53FBB"/>
    <w:rsid w:val="00A5402A"/>
    <w:rsid w:val="00A540A4"/>
    <w:rsid w:val="00A545BD"/>
    <w:rsid w:val="00A5462A"/>
    <w:rsid w:val="00A546F1"/>
    <w:rsid w:val="00A547CD"/>
    <w:rsid w:val="00A54BD4"/>
    <w:rsid w:val="00A54CB7"/>
    <w:rsid w:val="00A54F45"/>
    <w:rsid w:val="00A5514D"/>
    <w:rsid w:val="00A556A0"/>
    <w:rsid w:val="00A559A4"/>
    <w:rsid w:val="00A55C7B"/>
    <w:rsid w:val="00A55E59"/>
    <w:rsid w:val="00A56135"/>
    <w:rsid w:val="00A5629E"/>
    <w:rsid w:val="00A56802"/>
    <w:rsid w:val="00A56978"/>
    <w:rsid w:val="00A569EC"/>
    <w:rsid w:val="00A56A27"/>
    <w:rsid w:val="00A56DD7"/>
    <w:rsid w:val="00A56E50"/>
    <w:rsid w:val="00A56FEA"/>
    <w:rsid w:val="00A574FF"/>
    <w:rsid w:val="00A57797"/>
    <w:rsid w:val="00A57800"/>
    <w:rsid w:val="00A5785C"/>
    <w:rsid w:val="00A57A0B"/>
    <w:rsid w:val="00A57AF4"/>
    <w:rsid w:val="00A57B66"/>
    <w:rsid w:val="00A57E5B"/>
    <w:rsid w:val="00A57F6C"/>
    <w:rsid w:val="00A603F0"/>
    <w:rsid w:val="00A609CC"/>
    <w:rsid w:val="00A61295"/>
    <w:rsid w:val="00A6132D"/>
    <w:rsid w:val="00A61342"/>
    <w:rsid w:val="00A61353"/>
    <w:rsid w:val="00A62909"/>
    <w:rsid w:val="00A62E10"/>
    <w:rsid w:val="00A63010"/>
    <w:rsid w:val="00A633F2"/>
    <w:rsid w:val="00A63433"/>
    <w:rsid w:val="00A63951"/>
    <w:rsid w:val="00A63AB2"/>
    <w:rsid w:val="00A63BBA"/>
    <w:rsid w:val="00A6465E"/>
    <w:rsid w:val="00A646D1"/>
    <w:rsid w:val="00A64FE8"/>
    <w:rsid w:val="00A65801"/>
    <w:rsid w:val="00A65C5E"/>
    <w:rsid w:val="00A65C91"/>
    <w:rsid w:val="00A65F44"/>
    <w:rsid w:val="00A6656B"/>
    <w:rsid w:val="00A666E1"/>
    <w:rsid w:val="00A668F4"/>
    <w:rsid w:val="00A66A54"/>
    <w:rsid w:val="00A66CC5"/>
    <w:rsid w:val="00A66D14"/>
    <w:rsid w:val="00A66DDD"/>
    <w:rsid w:val="00A66E21"/>
    <w:rsid w:val="00A67762"/>
    <w:rsid w:val="00A678A7"/>
    <w:rsid w:val="00A67A0F"/>
    <w:rsid w:val="00A67A38"/>
    <w:rsid w:val="00A67CFC"/>
    <w:rsid w:val="00A67E60"/>
    <w:rsid w:val="00A67F04"/>
    <w:rsid w:val="00A700D6"/>
    <w:rsid w:val="00A707A5"/>
    <w:rsid w:val="00A707AA"/>
    <w:rsid w:val="00A70923"/>
    <w:rsid w:val="00A7099C"/>
    <w:rsid w:val="00A70A1F"/>
    <w:rsid w:val="00A70CEF"/>
    <w:rsid w:val="00A70EA9"/>
    <w:rsid w:val="00A712A2"/>
    <w:rsid w:val="00A71442"/>
    <w:rsid w:val="00A718F6"/>
    <w:rsid w:val="00A71A30"/>
    <w:rsid w:val="00A720BF"/>
    <w:rsid w:val="00A7217D"/>
    <w:rsid w:val="00A725D8"/>
    <w:rsid w:val="00A728DC"/>
    <w:rsid w:val="00A72AE7"/>
    <w:rsid w:val="00A72B27"/>
    <w:rsid w:val="00A72EC2"/>
    <w:rsid w:val="00A73442"/>
    <w:rsid w:val="00A73563"/>
    <w:rsid w:val="00A735A4"/>
    <w:rsid w:val="00A73672"/>
    <w:rsid w:val="00A737E4"/>
    <w:rsid w:val="00A73A98"/>
    <w:rsid w:val="00A73BEB"/>
    <w:rsid w:val="00A73E5A"/>
    <w:rsid w:val="00A74D69"/>
    <w:rsid w:val="00A75206"/>
    <w:rsid w:val="00A75323"/>
    <w:rsid w:val="00A75B95"/>
    <w:rsid w:val="00A75CFE"/>
    <w:rsid w:val="00A76137"/>
    <w:rsid w:val="00A76141"/>
    <w:rsid w:val="00A76164"/>
    <w:rsid w:val="00A7617D"/>
    <w:rsid w:val="00A76CD3"/>
    <w:rsid w:val="00A76EBF"/>
    <w:rsid w:val="00A7704A"/>
    <w:rsid w:val="00A7704C"/>
    <w:rsid w:val="00A7720B"/>
    <w:rsid w:val="00A77A00"/>
    <w:rsid w:val="00A77AD7"/>
    <w:rsid w:val="00A77F2A"/>
    <w:rsid w:val="00A800F5"/>
    <w:rsid w:val="00A80B35"/>
    <w:rsid w:val="00A80CD2"/>
    <w:rsid w:val="00A8116F"/>
    <w:rsid w:val="00A8193C"/>
    <w:rsid w:val="00A822A3"/>
    <w:rsid w:val="00A8243D"/>
    <w:rsid w:val="00A82595"/>
    <w:rsid w:val="00A827D3"/>
    <w:rsid w:val="00A827EE"/>
    <w:rsid w:val="00A828F8"/>
    <w:rsid w:val="00A82940"/>
    <w:rsid w:val="00A82AAF"/>
    <w:rsid w:val="00A82C36"/>
    <w:rsid w:val="00A83569"/>
    <w:rsid w:val="00A835F6"/>
    <w:rsid w:val="00A8366B"/>
    <w:rsid w:val="00A83C23"/>
    <w:rsid w:val="00A83CB6"/>
    <w:rsid w:val="00A83E12"/>
    <w:rsid w:val="00A83E84"/>
    <w:rsid w:val="00A841FD"/>
    <w:rsid w:val="00A84655"/>
    <w:rsid w:val="00A84676"/>
    <w:rsid w:val="00A84691"/>
    <w:rsid w:val="00A846FB"/>
    <w:rsid w:val="00A84771"/>
    <w:rsid w:val="00A84859"/>
    <w:rsid w:val="00A84863"/>
    <w:rsid w:val="00A84F27"/>
    <w:rsid w:val="00A84F67"/>
    <w:rsid w:val="00A85535"/>
    <w:rsid w:val="00A857EC"/>
    <w:rsid w:val="00A85B35"/>
    <w:rsid w:val="00A85E3A"/>
    <w:rsid w:val="00A85E57"/>
    <w:rsid w:val="00A8630E"/>
    <w:rsid w:val="00A86BAE"/>
    <w:rsid w:val="00A86C49"/>
    <w:rsid w:val="00A8794A"/>
    <w:rsid w:val="00A87D0B"/>
    <w:rsid w:val="00A87DB4"/>
    <w:rsid w:val="00A90073"/>
    <w:rsid w:val="00A9010E"/>
    <w:rsid w:val="00A904CB"/>
    <w:rsid w:val="00A90F32"/>
    <w:rsid w:val="00A911C6"/>
    <w:rsid w:val="00A91957"/>
    <w:rsid w:val="00A91AF8"/>
    <w:rsid w:val="00A91BD3"/>
    <w:rsid w:val="00A91BF1"/>
    <w:rsid w:val="00A9224C"/>
    <w:rsid w:val="00A925B1"/>
    <w:rsid w:val="00A9289C"/>
    <w:rsid w:val="00A92A8A"/>
    <w:rsid w:val="00A92CA9"/>
    <w:rsid w:val="00A9335F"/>
    <w:rsid w:val="00A9376B"/>
    <w:rsid w:val="00A93BAD"/>
    <w:rsid w:val="00A941DF"/>
    <w:rsid w:val="00A943DC"/>
    <w:rsid w:val="00A94664"/>
    <w:rsid w:val="00A947D1"/>
    <w:rsid w:val="00A948FF"/>
    <w:rsid w:val="00A94A37"/>
    <w:rsid w:val="00A950E5"/>
    <w:rsid w:val="00A95600"/>
    <w:rsid w:val="00A95C01"/>
    <w:rsid w:val="00A95DD7"/>
    <w:rsid w:val="00A95FA6"/>
    <w:rsid w:val="00A963B5"/>
    <w:rsid w:val="00A9656E"/>
    <w:rsid w:val="00A96576"/>
    <w:rsid w:val="00A96597"/>
    <w:rsid w:val="00A96B7F"/>
    <w:rsid w:val="00A96EA3"/>
    <w:rsid w:val="00A96EAF"/>
    <w:rsid w:val="00A9713F"/>
    <w:rsid w:val="00A97243"/>
    <w:rsid w:val="00A9751A"/>
    <w:rsid w:val="00A97814"/>
    <w:rsid w:val="00A97E48"/>
    <w:rsid w:val="00A97E89"/>
    <w:rsid w:val="00AA05FB"/>
    <w:rsid w:val="00AA084C"/>
    <w:rsid w:val="00AA0BC7"/>
    <w:rsid w:val="00AA0D89"/>
    <w:rsid w:val="00AA0D96"/>
    <w:rsid w:val="00AA1090"/>
    <w:rsid w:val="00AA1A55"/>
    <w:rsid w:val="00AA1AF3"/>
    <w:rsid w:val="00AA1FB0"/>
    <w:rsid w:val="00AA209B"/>
    <w:rsid w:val="00AA2353"/>
    <w:rsid w:val="00AA2783"/>
    <w:rsid w:val="00AA28B4"/>
    <w:rsid w:val="00AA2B0F"/>
    <w:rsid w:val="00AA2C41"/>
    <w:rsid w:val="00AA2F77"/>
    <w:rsid w:val="00AA31DA"/>
    <w:rsid w:val="00AA3572"/>
    <w:rsid w:val="00AA37A3"/>
    <w:rsid w:val="00AA397E"/>
    <w:rsid w:val="00AA3CC6"/>
    <w:rsid w:val="00AA3CF2"/>
    <w:rsid w:val="00AA3E7D"/>
    <w:rsid w:val="00AA4057"/>
    <w:rsid w:val="00AA4281"/>
    <w:rsid w:val="00AA4475"/>
    <w:rsid w:val="00AA4CBE"/>
    <w:rsid w:val="00AA5407"/>
    <w:rsid w:val="00AA5657"/>
    <w:rsid w:val="00AA5DAB"/>
    <w:rsid w:val="00AA5EC1"/>
    <w:rsid w:val="00AA622F"/>
    <w:rsid w:val="00AA665E"/>
    <w:rsid w:val="00AA6C9C"/>
    <w:rsid w:val="00AA6E91"/>
    <w:rsid w:val="00AA70AE"/>
    <w:rsid w:val="00AA71AE"/>
    <w:rsid w:val="00AA73E4"/>
    <w:rsid w:val="00AA75E6"/>
    <w:rsid w:val="00AA75EF"/>
    <w:rsid w:val="00AA764B"/>
    <w:rsid w:val="00AA7921"/>
    <w:rsid w:val="00AA7BC3"/>
    <w:rsid w:val="00AA7C97"/>
    <w:rsid w:val="00AA7FFD"/>
    <w:rsid w:val="00AB0890"/>
    <w:rsid w:val="00AB0D54"/>
    <w:rsid w:val="00AB0E03"/>
    <w:rsid w:val="00AB0F1C"/>
    <w:rsid w:val="00AB11E1"/>
    <w:rsid w:val="00AB1255"/>
    <w:rsid w:val="00AB1477"/>
    <w:rsid w:val="00AB15F1"/>
    <w:rsid w:val="00AB1687"/>
    <w:rsid w:val="00AB18AB"/>
    <w:rsid w:val="00AB20EA"/>
    <w:rsid w:val="00AB242C"/>
    <w:rsid w:val="00AB2577"/>
    <w:rsid w:val="00AB259F"/>
    <w:rsid w:val="00AB26C1"/>
    <w:rsid w:val="00AB2B13"/>
    <w:rsid w:val="00AB2EA6"/>
    <w:rsid w:val="00AB3163"/>
    <w:rsid w:val="00AB332A"/>
    <w:rsid w:val="00AB35F6"/>
    <w:rsid w:val="00AB37FF"/>
    <w:rsid w:val="00AB3803"/>
    <w:rsid w:val="00AB3CC1"/>
    <w:rsid w:val="00AB3ED8"/>
    <w:rsid w:val="00AB4CA0"/>
    <w:rsid w:val="00AB4EA8"/>
    <w:rsid w:val="00AB51E3"/>
    <w:rsid w:val="00AB54B8"/>
    <w:rsid w:val="00AB54C2"/>
    <w:rsid w:val="00AB584C"/>
    <w:rsid w:val="00AB5AF3"/>
    <w:rsid w:val="00AB5B5B"/>
    <w:rsid w:val="00AB6339"/>
    <w:rsid w:val="00AB6792"/>
    <w:rsid w:val="00AB6D14"/>
    <w:rsid w:val="00AB7007"/>
    <w:rsid w:val="00AB7090"/>
    <w:rsid w:val="00AB718A"/>
    <w:rsid w:val="00AB755B"/>
    <w:rsid w:val="00AB7943"/>
    <w:rsid w:val="00AC011E"/>
    <w:rsid w:val="00AC0223"/>
    <w:rsid w:val="00AC0491"/>
    <w:rsid w:val="00AC0662"/>
    <w:rsid w:val="00AC09C7"/>
    <w:rsid w:val="00AC0CE1"/>
    <w:rsid w:val="00AC1342"/>
    <w:rsid w:val="00AC1404"/>
    <w:rsid w:val="00AC1581"/>
    <w:rsid w:val="00AC161F"/>
    <w:rsid w:val="00AC1BAA"/>
    <w:rsid w:val="00AC1CF9"/>
    <w:rsid w:val="00AC1D6F"/>
    <w:rsid w:val="00AC221F"/>
    <w:rsid w:val="00AC25BF"/>
    <w:rsid w:val="00AC269E"/>
    <w:rsid w:val="00AC298F"/>
    <w:rsid w:val="00AC2C3A"/>
    <w:rsid w:val="00AC2DD6"/>
    <w:rsid w:val="00AC33DE"/>
    <w:rsid w:val="00AC3499"/>
    <w:rsid w:val="00AC35F7"/>
    <w:rsid w:val="00AC3AE7"/>
    <w:rsid w:val="00AC3D42"/>
    <w:rsid w:val="00AC3FB3"/>
    <w:rsid w:val="00AC3FB5"/>
    <w:rsid w:val="00AC4370"/>
    <w:rsid w:val="00AC455D"/>
    <w:rsid w:val="00AC46B9"/>
    <w:rsid w:val="00AC4A0C"/>
    <w:rsid w:val="00AC4D69"/>
    <w:rsid w:val="00AC4DBD"/>
    <w:rsid w:val="00AC4DC8"/>
    <w:rsid w:val="00AC5342"/>
    <w:rsid w:val="00AC5E4C"/>
    <w:rsid w:val="00AC60CE"/>
    <w:rsid w:val="00AC67B8"/>
    <w:rsid w:val="00AC6EA2"/>
    <w:rsid w:val="00AC7598"/>
    <w:rsid w:val="00AC768E"/>
    <w:rsid w:val="00AC7B72"/>
    <w:rsid w:val="00AC7C88"/>
    <w:rsid w:val="00AC7E49"/>
    <w:rsid w:val="00AC7EBB"/>
    <w:rsid w:val="00AD01A7"/>
    <w:rsid w:val="00AD03F4"/>
    <w:rsid w:val="00AD054B"/>
    <w:rsid w:val="00AD0979"/>
    <w:rsid w:val="00AD0B41"/>
    <w:rsid w:val="00AD0C7D"/>
    <w:rsid w:val="00AD0D6F"/>
    <w:rsid w:val="00AD123D"/>
    <w:rsid w:val="00AD142F"/>
    <w:rsid w:val="00AD14AB"/>
    <w:rsid w:val="00AD15BA"/>
    <w:rsid w:val="00AD1A83"/>
    <w:rsid w:val="00AD1B86"/>
    <w:rsid w:val="00AD1C3D"/>
    <w:rsid w:val="00AD1E85"/>
    <w:rsid w:val="00AD246E"/>
    <w:rsid w:val="00AD266B"/>
    <w:rsid w:val="00AD2CE3"/>
    <w:rsid w:val="00AD306A"/>
    <w:rsid w:val="00AD3468"/>
    <w:rsid w:val="00AD35A3"/>
    <w:rsid w:val="00AD3747"/>
    <w:rsid w:val="00AD3BC3"/>
    <w:rsid w:val="00AD3E77"/>
    <w:rsid w:val="00AD476D"/>
    <w:rsid w:val="00AD4931"/>
    <w:rsid w:val="00AD4C57"/>
    <w:rsid w:val="00AD4C7C"/>
    <w:rsid w:val="00AD4D1C"/>
    <w:rsid w:val="00AD4DA7"/>
    <w:rsid w:val="00AD51CE"/>
    <w:rsid w:val="00AD55FA"/>
    <w:rsid w:val="00AD56B2"/>
    <w:rsid w:val="00AD5790"/>
    <w:rsid w:val="00AD5881"/>
    <w:rsid w:val="00AD5ADB"/>
    <w:rsid w:val="00AD5E76"/>
    <w:rsid w:val="00AD5F25"/>
    <w:rsid w:val="00AD666F"/>
    <w:rsid w:val="00AD687D"/>
    <w:rsid w:val="00AD6993"/>
    <w:rsid w:val="00AD69DB"/>
    <w:rsid w:val="00AD6A19"/>
    <w:rsid w:val="00AD6A5F"/>
    <w:rsid w:val="00AD6F29"/>
    <w:rsid w:val="00AD75AD"/>
    <w:rsid w:val="00AD7621"/>
    <w:rsid w:val="00AD7AEA"/>
    <w:rsid w:val="00AD7C6E"/>
    <w:rsid w:val="00AD7DBC"/>
    <w:rsid w:val="00AE02EF"/>
    <w:rsid w:val="00AE0315"/>
    <w:rsid w:val="00AE0342"/>
    <w:rsid w:val="00AE0598"/>
    <w:rsid w:val="00AE0636"/>
    <w:rsid w:val="00AE0E3B"/>
    <w:rsid w:val="00AE1034"/>
    <w:rsid w:val="00AE12A1"/>
    <w:rsid w:val="00AE1363"/>
    <w:rsid w:val="00AE16C6"/>
    <w:rsid w:val="00AE1922"/>
    <w:rsid w:val="00AE1A35"/>
    <w:rsid w:val="00AE1EDB"/>
    <w:rsid w:val="00AE1FDD"/>
    <w:rsid w:val="00AE200B"/>
    <w:rsid w:val="00AE23EC"/>
    <w:rsid w:val="00AE25CE"/>
    <w:rsid w:val="00AE25F3"/>
    <w:rsid w:val="00AE26CE"/>
    <w:rsid w:val="00AE2798"/>
    <w:rsid w:val="00AE2A12"/>
    <w:rsid w:val="00AE2ACB"/>
    <w:rsid w:val="00AE2BB5"/>
    <w:rsid w:val="00AE2E95"/>
    <w:rsid w:val="00AE3166"/>
    <w:rsid w:val="00AE3312"/>
    <w:rsid w:val="00AE37EA"/>
    <w:rsid w:val="00AE3964"/>
    <w:rsid w:val="00AE3CB2"/>
    <w:rsid w:val="00AE3FAE"/>
    <w:rsid w:val="00AE4170"/>
    <w:rsid w:val="00AE43F7"/>
    <w:rsid w:val="00AE45A3"/>
    <w:rsid w:val="00AE4680"/>
    <w:rsid w:val="00AE4937"/>
    <w:rsid w:val="00AE496B"/>
    <w:rsid w:val="00AE4AA4"/>
    <w:rsid w:val="00AE4C6D"/>
    <w:rsid w:val="00AE4D72"/>
    <w:rsid w:val="00AE4F6F"/>
    <w:rsid w:val="00AE5026"/>
    <w:rsid w:val="00AE50B2"/>
    <w:rsid w:val="00AE50F7"/>
    <w:rsid w:val="00AE5155"/>
    <w:rsid w:val="00AE5EA5"/>
    <w:rsid w:val="00AE5FA3"/>
    <w:rsid w:val="00AE60F2"/>
    <w:rsid w:val="00AE6426"/>
    <w:rsid w:val="00AE64AC"/>
    <w:rsid w:val="00AE7129"/>
    <w:rsid w:val="00AE7A50"/>
    <w:rsid w:val="00AE7F54"/>
    <w:rsid w:val="00AF0769"/>
    <w:rsid w:val="00AF09AE"/>
    <w:rsid w:val="00AF0A41"/>
    <w:rsid w:val="00AF0C6A"/>
    <w:rsid w:val="00AF1164"/>
    <w:rsid w:val="00AF16FD"/>
    <w:rsid w:val="00AF189A"/>
    <w:rsid w:val="00AF25C9"/>
    <w:rsid w:val="00AF26A3"/>
    <w:rsid w:val="00AF272C"/>
    <w:rsid w:val="00AF28F9"/>
    <w:rsid w:val="00AF2C68"/>
    <w:rsid w:val="00AF2D62"/>
    <w:rsid w:val="00AF35B6"/>
    <w:rsid w:val="00AF37E6"/>
    <w:rsid w:val="00AF3B49"/>
    <w:rsid w:val="00AF3EC4"/>
    <w:rsid w:val="00AF4011"/>
    <w:rsid w:val="00AF40E2"/>
    <w:rsid w:val="00AF43A3"/>
    <w:rsid w:val="00AF4677"/>
    <w:rsid w:val="00AF4C5B"/>
    <w:rsid w:val="00AF4D7F"/>
    <w:rsid w:val="00AF4FC5"/>
    <w:rsid w:val="00AF530F"/>
    <w:rsid w:val="00AF582B"/>
    <w:rsid w:val="00AF5A87"/>
    <w:rsid w:val="00AF5B59"/>
    <w:rsid w:val="00AF5BDC"/>
    <w:rsid w:val="00AF5C0A"/>
    <w:rsid w:val="00AF5E41"/>
    <w:rsid w:val="00AF602F"/>
    <w:rsid w:val="00AF6140"/>
    <w:rsid w:val="00AF6794"/>
    <w:rsid w:val="00AF696D"/>
    <w:rsid w:val="00AF6A57"/>
    <w:rsid w:val="00AF6A8B"/>
    <w:rsid w:val="00AF6D02"/>
    <w:rsid w:val="00AF72F4"/>
    <w:rsid w:val="00AF7B00"/>
    <w:rsid w:val="00AF7C75"/>
    <w:rsid w:val="00B00221"/>
    <w:rsid w:val="00B00331"/>
    <w:rsid w:val="00B00464"/>
    <w:rsid w:val="00B005B4"/>
    <w:rsid w:val="00B006B4"/>
    <w:rsid w:val="00B009AC"/>
    <w:rsid w:val="00B013C8"/>
    <w:rsid w:val="00B017BB"/>
    <w:rsid w:val="00B02235"/>
    <w:rsid w:val="00B02247"/>
    <w:rsid w:val="00B022C2"/>
    <w:rsid w:val="00B02783"/>
    <w:rsid w:val="00B02982"/>
    <w:rsid w:val="00B03479"/>
    <w:rsid w:val="00B0380B"/>
    <w:rsid w:val="00B038D0"/>
    <w:rsid w:val="00B03A11"/>
    <w:rsid w:val="00B041CE"/>
    <w:rsid w:val="00B04301"/>
    <w:rsid w:val="00B04CF9"/>
    <w:rsid w:val="00B04D24"/>
    <w:rsid w:val="00B0524E"/>
    <w:rsid w:val="00B061B4"/>
    <w:rsid w:val="00B06404"/>
    <w:rsid w:val="00B06CFC"/>
    <w:rsid w:val="00B06E28"/>
    <w:rsid w:val="00B06F50"/>
    <w:rsid w:val="00B070AD"/>
    <w:rsid w:val="00B0716A"/>
    <w:rsid w:val="00B073D0"/>
    <w:rsid w:val="00B076F2"/>
    <w:rsid w:val="00B07AB7"/>
    <w:rsid w:val="00B07C73"/>
    <w:rsid w:val="00B07F68"/>
    <w:rsid w:val="00B1010B"/>
    <w:rsid w:val="00B101EF"/>
    <w:rsid w:val="00B105BD"/>
    <w:rsid w:val="00B1095A"/>
    <w:rsid w:val="00B11541"/>
    <w:rsid w:val="00B1228F"/>
    <w:rsid w:val="00B12703"/>
    <w:rsid w:val="00B132A1"/>
    <w:rsid w:val="00B134C9"/>
    <w:rsid w:val="00B13647"/>
    <w:rsid w:val="00B138EF"/>
    <w:rsid w:val="00B13CA4"/>
    <w:rsid w:val="00B13D3A"/>
    <w:rsid w:val="00B13F6F"/>
    <w:rsid w:val="00B14022"/>
    <w:rsid w:val="00B14075"/>
    <w:rsid w:val="00B14657"/>
    <w:rsid w:val="00B14824"/>
    <w:rsid w:val="00B14CFC"/>
    <w:rsid w:val="00B14D0D"/>
    <w:rsid w:val="00B14E9C"/>
    <w:rsid w:val="00B14FE5"/>
    <w:rsid w:val="00B1577F"/>
    <w:rsid w:val="00B15EDD"/>
    <w:rsid w:val="00B16036"/>
    <w:rsid w:val="00B16529"/>
    <w:rsid w:val="00B16B7E"/>
    <w:rsid w:val="00B16C8C"/>
    <w:rsid w:val="00B16F69"/>
    <w:rsid w:val="00B1740A"/>
    <w:rsid w:val="00B17CBD"/>
    <w:rsid w:val="00B17D51"/>
    <w:rsid w:val="00B20033"/>
    <w:rsid w:val="00B204B1"/>
    <w:rsid w:val="00B20A3F"/>
    <w:rsid w:val="00B20AE4"/>
    <w:rsid w:val="00B20E10"/>
    <w:rsid w:val="00B20E62"/>
    <w:rsid w:val="00B2129B"/>
    <w:rsid w:val="00B213F8"/>
    <w:rsid w:val="00B216C8"/>
    <w:rsid w:val="00B2176F"/>
    <w:rsid w:val="00B21817"/>
    <w:rsid w:val="00B2184F"/>
    <w:rsid w:val="00B21B9D"/>
    <w:rsid w:val="00B21EFA"/>
    <w:rsid w:val="00B22125"/>
    <w:rsid w:val="00B224A8"/>
    <w:rsid w:val="00B22753"/>
    <w:rsid w:val="00B22A8E"/>
    <w:rsid w:val="00B231CC"/>
    <w:rsid w:val="00B235CF"/>
    <w:rsid w:val="00B2382C"/>
    <w:rsid w:val="00B23D04"/>
    <w:rsid w:val="00B24116"/>
    <w:rsid w:val="00B2428F"/>
    <w:rsid w:val="00B2440D"/>
    <w:rsid w:val="00B24413"/>
    <w:rsid w:val="00B24A24"/>
    <w:rsid w:val="00B24C2D"/>
    <w:rsid w:val="00B24F63"/>
    <w:rsid w:val="00B251FA"/>
    <w:rsid w:val="00B25420"/>
    <w:rsid w:val="00B255F2"/>
    <w:rsid w:val="00B25B7C"/>
    <w:rsid w:val="00B25DDB"/>
    <w:rsid w:val="00B25DEF"/>
    <w:rsid w:val="00B25EB2"/>
    <w:rsid w:val="00B25F0F"/>
    <w:rsid w:val="00B260A4"/>
    <w:rsid w:val="00B26388"/>
    <w:rsid w:val="00B264EE"/>
    <w:rsid w:val="00B267B7"/>
    <w:rsid w:val="00B26861"/>
    <w:rsid w:val="00B26A4D"/>
    <w:rsid w:val="00B26D12"/>
    <w:rsid w:val="00B26E5F"/>
    <w:rsid w:val="00B26F5C"/>
    <w:rsid w:val="00B26FE8"/>
    <w:rsid w:val="00B27150"/>
    <w:rsid w:val="00B27294"/>
    <w:rsid w:val="00B277D4"/>
    <w:rsid w:val="00B27AB3"/>
    <w:rsid w:val="00B27D3F"/>
    <w:rsid w:val="00B27E42"/>
    <w:rsid w:val="00B27FB2"/>
    <w:rsid w:val="00B30709"/>
    <w:rsid w:val="00B30A03"/>
    <w:rsid w:val="00B30A0E"/>
    <w:rsid w:val="00B30B49"/>
    <w:rsid w:val="00B30C5A"/>
    <w:rsid w:val="00B30EA5"/>
    <w:rsid w:val="00B30F05"/>
    <w:rsid w:val="00B310A0"/>
    <w:rsid w:val="00B31843"/>
    <w:rsid w:val="00B323F8"/>
    <w:rsid w:val="00B32701"/>
    <w:rsid w:val="00B3293F"/>
    <w:rsid w:val="00B32A0E"/>
    <w:rsid w:val="00B32A81"/>
    <w:rsid w:val="00B32F27"/>
    <w:rsid w:val="00B334C5"/>
    <w:rsid w:val="00B33539"/>
    <w:rsid w:val="00B3377E"/>
    <w:rsid w:val="00B33780"/>
    <w:rsid w:val="00B3383B"/>
    <w:rsid w:val="00B338E8"/>
    <w:rsid w:val="00B33BB3"/>
    <w:rsid w:val="00B33EF6"/>
    <w:rsid w:val="00B33FB4"/>
    <w:rsid w:val="00B3403D"/>
    <w:rsid w:val="00B342FA"/>
    <w:rsid w:val="00B34347"/>
    <w:rsid w:val="00B347A0"/>
    <w:rsid w:val="00B34CB0"/>
    <w:rsid w:val="00B35235"/>
    <w:rsid w:val="00B35262"/>
    <w:rsid w:val="00B35AFB"/>
    <w:rsid w:val="00B35B9F"/>
    <w:rsid w:val="00B35D29"/>
    <w:rsid w:val="00B3608F"/>
    <w:rsid w:val="00B363A5"/>
    <w:rsid w:val="00B36520"/>
    <w:rsid w:val="00B36AB2"/>
    <w:rsid w:val="00B36ABC"/>
    <w:rsid w:val="00B37137"/>
    <w:rsid w:val="00B3769D"/>
    <w:rsid w:val="00B376B7"/>
    <w:rsid w:val="00B37A50"/>
    <w:rsid w:val="00B37D9B"/>
    <w:rsid w:val="00B4067E"/>
    <w:rsid w:val="00B40CDB"/>
    <w:rsid w:val="00B41119"/>
    <w:rsid w:val="00B41240"/>
    <w:rsid w:val="00B415FA"/>
    <w:rsid w:val="00B417BC"/>
    <w:rsid w:val="00B4192B"/>
    <w:rsid w:val="00B4194A"/>
    <w:rsid w:val="00B41FBE"/>
    <w:rsid w:val="00B42903"/>
    <w:rsid w:val="00B429AF"/>
    <w:rsid w:val="00B42A87"/>
    <w:rsid w:val="00B42EB8"/>
    <w:rsid w:val="00B4304D"/>
    <w:rsid w:val="00B4346E"/>
    <w:rsid w:val="00B434D0"/>
    <w:rsid w:val="00B439D4"/>
    <w:rsid w:val="00B43E03"/>
    <w:rsid w:val="00B44023"/>
    <w:rsid w:val="00B44245"/>
    <w:rsid w:val="00B442DF"/>
    <w:rsid w:val="00B4434F"/>
    <w:rsid w:val="00B4482D"/>
    <w:rsid w:val="00B44835"/>
    <w:rsid w:val="00B4494C"/>
    <w:rsid w:val="00B44A87"/>
    <w:rsid w:val="00B44CE7"/>
    <w:rsid w:val="00B44F65"/>
    <w:rsid w:val="00B45411"/>
    <w:rsid w:val="00B45A67"/>
    <w:rsid w:val="00B45AD4"/>
    <w:rsid w:val="00B45D7C"/>
    <w:rsid w:val="00B45DE6"/>
    <w:rsid w:val="00B46663"/>
    <w:rsid w:val="00B4669F"/>
    <w:rsid w:val="00B467BB"/>
    <w:rsid w:val="00B46959"/>
    <w:rsid w:val="00B469FE"/>
    <w:rsid w:val="00B46A0A"/>
    <w:rsid w:val="00B46EAB"/>
    <w:rsid w:val="00B46F64"/>
    <w:rsid w:val="00B470A4"/>
    <w:rsid w:val="00B4721D"/>
    <w:rsid w:val="00B472C9"/>
    <w:rsid w:val="00B476B5"/>
    <w:rsid w:val="00B4775C"/>
    <w:rsid w:val="00B479E5"/>
    <w:rsid w:val="00B47EF1"/>
    <w:rsid w:val="00B47FF3"/>
    <w:rsid w:val="00B50099"/>
    <w:rsid w:val="00B500E0"/>
    <w:rsid w:val="00B500E9"/>
    <w:rsid w:val="00B5017B"/>
    <w:rsid w:val="00B502F7"/>
    <w:rsid w:val="00B50D80"/>
    <w:rsid w:val="00B50F30"/>
    <w:rsid w:val="00B514A2"/>
    <w:rsid w:val="00B51684"/>
    <w:rsid w:val="00B51B87"/>
    <w:rsid w:val="00B51DE7"/>
    <w:rsid w:val="00B51EC5"/>
    <w:rsid w:val="00B51F84"/>
    <w:rsid w:val="00B52904"/>
    <w:rsid w:val="00B52BA3"/>
    <w:rsid w:val="00B53485"/>
    <w:rsid w:val="00B53B53"/>
    <w:rsid w:val="00B53E17"/>
    <w:rsid w:val="00B53EC6"/>
    <w:rsid w:val="00B54001"/>
    <w:rsid w:val="00B54079"/>
    <w:rsid w:val="00B5447C"/>
    <w:rsid w:val="00B549AB"/>
    <w:rsid w:val="00B54A0B"/>
    <w:rsid w:val="00B54D9F"/>
    <w:rsid w:val="00B55017"/>
    <w:rsid w:val="00B5547F"/>
    <w:rsid w:val="00B55560"/>
    <w:rsid w:val="00B555F7"/>
    <w:rsid w:val="00B55A8C"/>
    <w:rsid w:val="00B55AB0"/>
    <w:rsid w:val="00B55AF7"/>
    <w:rsid w:val="00B563FF"/>
    <w:rsid w:val="00B56494"/>
    <w:rsid w:val="00B564B7"/>
    <w:rsid w:val="00B569A0"/>
    <w:rsid w:val="00B56F65"/>
    <w:rsid w:val="00B56F9D"/>
    <w:rsid w:val="00B56FA2"/>
    <w:rsid w:val="00B57183"/>
    <w:rsid w:val="00B574F2"/>
    <w:rsid w:val="00B579D6"/>
    <w:rsid w:val="00B57A34"/>
    <w:rsid w:val="00B57C6A"/>
    <w:rsid w:val="00B57CFA"/>
    <w:rsid w:val="00B57F7D"/>
    <w:rsid w:val="00B57F92"/>
    <w:rsid w:val="00B60529"/>
    <w:rsid w:val="00B60785"/>
    <w:rsid w:val="00B60C2F"/>
    <w:rsid w:val="00B60E4D"/>
    <w:rsid w:val="00B60F49"/>
    <w:rsid w:val="00B6165E"/>
    <w:rsid w:val="00B61CA0"/>
    <w:rsid w:val="00B62227"/>
    <w:rsid w:val="00B6239C"/>
    <w:rsid w:val="00B62499"/>
    <w:rsid w:val="00B6297A"/>
    <w:rsid w:val="00B62DDF"/>
    <w:rsid w:val="00B62E66"/>
    <w:rsid w:val="00B62E86"/>
    <w:rsid w:val="00B62ED6"/>
    <w:rsid w:val="00B632D6"/>
    <w:rsid w:val="00B635F3"/>
    <w:rsid w:val="00B63633"/>
    <w:rsid w:val="00B644BB"/>
    <w:rsid w:val="00B64758"/>
    <w:rsid w:val="00B647E6"/>
    <w:rsid w:val="00B64840"/>
    <w:rsid w:val="00B64CFF"/>
    <w:rsid w:val="00B64EA9"/>
    <w:rsid w:val="00B65585"/>
    <w:rsid w:val="00B6566A"/>
    <w:rsid w:val="00B656AB"/>
    <w:rsid w:val="00B656DE"/>
    <w:rsid w:val="00B6576B"/>
    <w:rsid w:val="00B659FA"/>
    <w:rsid w:val="00B65BB5"/>
    <w:rsid w:val="00B65E69"/>
    <w:rsid w:val="00B65E9C"/>
    <w:rsid w:val="00B65FDA"/>
    <w:rsid w:val="00B662ED"/>
    <w:rsid w:val="00B6634A"/>
    <w:rsid w:val="00B6675E"/>
    <w:rsid w:val="00B66A98"/>
    <w:rsid w:val="00B66EE9"/>
    <w:rsid w:val="00B6707F"/>
    <w:rsid w:val="00B6737B"/>
    <w:rsid w:val="00B6737F"/>
    <w:rsid w:val="00B67511"/>
    <w:rsid w:val="00B67C25"/>
    <w:rsid w:val="00B70203"/>
    <w:rsid w:val="00B70359"/>
    <w:rsid w:val="00B704DB"/>
    <w:rsid w:val="00B70687"/>
    <w:rsid w:val="00B707D4"/>
    <w:rsid w:val="00B70DF2"/>
    <w:rsid w:val="00B70E12"/>
    <w:rsid w:val="00B70E78"/>
    <w:rsid w:val="00B70F78"/>
    <w:rsid w:val="00B7142E"/>
    <w:rsid w:val="00B715EC"/>
    <w:rsid w:val="00B71849"/>
    <w:rsid w:val="00B71C58"/>
    <w:rsid w:val="00B725C3"/>
    <w:rsid w:val="00B727D6"/>
    <w:rsid w:val="00B72805"/>
    <w:rsid w:val="00B7288A"/>
    <w:rsid w:val="00B72B6D"/>
    <w:rsid w:val="00B72BFA"/>
    <w:rsid w:val="00B73018"/>
    <w:rsid w:val="00B73207"/>
    <w:rsid w:val="00B7353C"/>
    <w:rsid w:val="00B7383C"/>
    <w:rsid w:val="00B73B29"/>
    <w:rsid w:val="00B73DDF"/>
    <w:rsid w:val="00B73EE0"/>
    <w:rsid w:val="00B7401E"/>
    <w:rsid w:val="00B74198"/>
    <w:rsid w:val="00B74387"/>
    <w:rsid w:val="00B74C80"/>
    <w:rsid w:val="00B7524E"/>
    <w:rsid w:val="00B75365"/>
    <w:rsid w:val="00B75E8B"/>
    <w:rsid w:val="00B76618"/>
    <w:rsid w:val="00B7662D"/>
    <w:rsid w:val="00B7685D"/>
    <w:rsid w:val="00B76B6E"/>
    <w:rsid w:val="00B76E86"/>
    <w:rsid w:val="00B77076"/>
    <w:rsid w:val="00B77256"/>
    <w:rsid w:val="00B773B0"/>
    <w:rsid w:val="00B7781D"/>
    <w:rsid w:val="00B77B4F"/>
    <w:rsid w:val="00B77B65"/>
    <w:rsid w:val="00B77DA8"/>
    <w:rsid w:val="00B77DD2"/>
    <w:rsid w:val="00B77DDA"/>
    <w:rsid w:val="00B77DF7"/>
    <w:rsid w:val="00B77EA9"/>
    <w:rsid w:val="00B77F56"/>
    <w:rsid w:val="00B8062B"/>
    <w:rsid w:val="00B808F0"/>
    <w:rsid w:val="00B80C16"/>
    <w:rsid w:val="00B80C9A"/>
    <w:rsid w:val="00B80E32"/>
    <w:rsid w:val="00B80F24"/>
    <w:rsid w:val="00B811B2"/>
    <w:rsid w:val="00B811F3"/>
    <w:rsid w:val="00B81385"/>
    <w:rsid w:val="00B81753"/>
    <w:rsid w:val="00B8195B"/>
    <w:rsid w:val="00B81AC1"/>
    <w:rsid w:val="00B81B52"/>
    <w:rsid w:val="00B81DB6"/>
    <w:rsid w:val="00B81E6A"/>
    <w:rsid w:val="00B82045"/>
    <w:rsid w:val="00B82833"/>
    <w:rsid w:val="00B82A77"/>
    <w:rsid w:val="00B82ABD"/>
    <w:rsid w:val="00B82F60"/>
    <w:rsid w:val="00B82FB0"/>
    <w:rsid w:val="00B82FE0"/>
    <w:rsid w:val="00B831D6"/>
    <w:rsid w:val="00B83330"/>
    <w:rsid w:val="00B835BA"/>
    <w:rsid w:val="00B8375E"/>
    <w:rsid w:val="00B837C9"/>
    <w:rsid w:val="00B83835"/>
    <w:rsid w:val="00B83940"/>
    <w:rsid w:val="00B83EF4"/>
    <w:rsid w:val="00B8404B"/>
    <w:rsid w:val="00B84987"/>
    <w:rsid w:val="00B84D81"/>
    <w:rsid w:val="00B84E98"/>
    <w:rsid w:val="00B85062"/>
    <w:rsid w:val="00B850C4"/>
    <w:rsid w:val="00B850E3"/>
    <w:rsid w:val="00B850E6"/>
    <w:rsid w:val="00B8520D"/>
    <w:rsid w:val="00B8521C"/>
    <w:rsid w:val="00B85413"/>
    <w:rsid w:val="00B85DE8"/>
    <w:rsid w:val="00B85E77"/>
    <w:rsid w:val="00B861E7"/>
    <w:rsid w:val="00B86776"/>
    <w:rsid w:val="00B868FC"/>
    <w:rsid w:val="00B86B6E"/>
    <w:rsid w:val="00B8717E"/>
    <w:rsid w:val="00B8752E"/>
    <w:rsid w:val="00B876AD"/>
    <w:rsid w:val="00B87B82"/>
    <w:rsid w:val="00B9043B"/>
    <w:rsid w:val="00B9059E"/>
    <w:rsid w:val="00B905EA"/>
    <w:rsid w:val="00B909C2"/>
    <w:rsid w:val="00B91142"/>
    <w:rsid w:val="00B91269"/>
    <w:rsid w:val="00B912FE"/>
    <w:rsid w:val="00B9144C"/>
    <w:rsid w:val="00B916B6"/>
    <w:rsid w:val="00B9178B"/>
    <w:rsid w:val="00B919BA"/>
    <w:rsid w:val="00B91CC8"/>
    <w:rsid w:val="00B91CFB"/>
    <w:rsid w:val="00B92194"/>
    <w:rsid w:val="00B92200"/>
    <w:rsid w:val="00B92213"/>
    <w:rsid w:val="00B9271F"/>
    <w:rsid w:val="00B92754"/>
    <w:rsid w:val="00B9277F"/>
    <w:rsid w:val="00B92831"/>
    <w:rsid w:val="00B92844"/>
    <w:rsid w:val="00B928D2"/>
    <w:rsid w:val="00B92A9C"/>
    <w:rsid w:val="00B92AB3"/>
    <w:rsid w:val="00B92F4A"/>
    <w:rsid w:val="00B936F6"/>
    <w:rsid w:val="00B93954"/>
    <w:rsid w:val="00B93D0A"/>
    <w:rsid w:val="00B93DC4"/>
    <w:rsid w:val="00B93FBC"/>
    <w:rsid w:val="00B94955"/>
    <w:rsid w:val="00B94AFF"/>
    <w:rsid w:val="00B94B3B"/>
    <w:rsid w:val="00B94BB1"/>
    <w:rsid w:val="00B94CD2"/>
    <w:rsid w:val="00B94DCB"/>
    <w:rsid w:val="00B94F39"/>
    <w:rsid w:val="00B94FFC"/>
    <w:rsid w:val="00B9521B"/>
    <w:rsid w:val="00B95466"/>
    <w:rsid w:val="00B95BDF"/>
    <w:rsid w:val="00B95EC9"/>
    <w:rsid w:val="00B95F08"/>
    <w:rsid w:val="00B967F1"/>
    <w:rsid w:val="00B96821"/>
    <w:rsid w:val="00B96BBB"/>
    <w:rsid w:val="00B970CA"/>
    <w:rsid w:val="00B970CB"/>
    <w:rsid w:val="00B97183"/>
    <w:rsid w:val="00B97184"/>
    <w:rsid w:val="00B97608"/>
    <w:rsid w:val="00B97732"/>
    <w:rsid w:val="00B9798C"/>
    <w:rsid w:val="00B97A6C"/>
    <w:rsid w:val="00B97C81"/>
    <w:rsid w:val="00B97F1E"/>
    <w:rsid w:val="00BA013A"/>
    <w:rsid w:val="00BA0A6C"/>
    <w:rsid w:val="00BA0CC8"/>
    <w:rsid w:val="00BA0CF2"/>
    <w:rsid w:val="00BA1131"/>
    <w:rsid w:val="00BA137E"/>
    <w:rsid w:val="00BA1543"/>
    <w:rsid w:val="00BA1581"/>
    <w:rsid w:val="00BA1A95"/>
    <w:rsid w:val="00BA1E66"/>
    <w:rsid w:val="00BA3265"/>
    <w:rsid w:val="00BA34B0"/>
    <w:rsid w:val="00BA359F"/>
    <w:rsid w:val="00BA3775"/>
    <w:rsid w:val="00BA3933"/>
    <w:rsid w:val="00BA401C"/>
    <w:rsid w:val="00BA42F8"/>
    <w:rsid w:val="00BA4A89"/>
    <w:rsid w:val="00BA4BA1"/>
    <w:rsid w:val="00BA4C35"/>
    <w:rsid w:val="00BA4EE7"/>
    <w:rsid w:val="00BA4F75"/>
    <w:rsid w:val="00BA5E64"/>
    <w:rsid w:val="00BA64FE"/>
    <w:rsid w:val="00BA65E3"/>
    <w:rsid w:val="00BA678C"/>
    <w:rsid w:val="00BA6A73"/>
    <w:rsid w:val="00BA6FC6"/>
    <w:rsid w:val="00BA72D6"/>
    <w:rsid w:val="00BA732F"/>
    <w:rsid w:val="00BA74FA"/>
    <w:rsid w:val="00BA75E2"/>
    <w:rsid w:val="00BA7752"/>
    <w:rsid w:val="00BA7760"/>
    <w:rsid w:val="00BA7C18"/>
    <w:rsid w:val="00BA7C32"/>
    <w:rsid w:val="00BA7DAE"/>
    <w:rsid w:val="00BB0183"/>
    <w:rsid w:val="00BB0240"/>
    <w:rsid w:val="00BB03E8"/>
    <w:rsid w:val="00BB041C"/>
    <w:rsid w:val="00BB050A"/>
    <w:rsid w:val="00BB0D39"/>
    <w:rsid w:val="00BB0FFC"/>
    <w:rsid w:val="00BB103A"/>
    <w:rsid w:val="00BB1211"/>
    <w:rsid w:val="00BB124E"/>
    <w:rsid w:val="00BB192D"/>
    <w:rsid w:val="00BB1C3D"/>
    <w:rsid w:val="00BB1F0E"/>
    <w:rsid w:val="00BB1F81"/>
    <w:rsid w:val="00BB1FCA"/>
    <w:rsid w:val="00BB2186"/>
    <w:rsid w:val="00BB2204"/>
    <w:rsid w:val="00BB2C29"/>
    <w:rsid w:val="00BB2C45"/>
    <w:rsid w:val="00BB3191"/>
    <w:rsid w:val="00BB3941"/>
    <w:rsid w:val="00BB3D48"/>
    <w:rsid w:val="00BB3D58"/>
    <w:rsid w:val="00BB3D74"/>
    <w:rsid w:val="00BB3F28"/>
    <w:rsid w:val="00BB4538"/>
    <w:rsid w:val="00BB524F"/>
    <w:rsid w:val="00BB5521"/>
    <w:rsid w:val="00BB5715"/>
    <w:rsid w:val="00BB587F"/>
    <w:rsid w:val="00BB5FA4"/>
    <w:rsid w:val="00BB6438"/>
    <w:rsid w:val="00BB661C"/>
    <w:rsid w:val="00BB6E46"/>
    <w:rsid w:val="00BB6EB5"/>
    <w:rsid w:val="00BB703A"/>
    <w:rsid w:val="00BB754E"/>
    <w:rsid w:val="00BB7828"/>
    <w:rsid w:val="00BB7C73"/>
    <w:rsid w:val="00BB7E7D"/>
    <w:rsid w:val="00BB7F2D"/>
    <w:rsid w:val="00BC00A1"/>
    <w:rsid w:val="00BC012E"/>
    <w:rsid w:val="00BC06E8"/>
    <w:rsid w:val="00BC0A1C"/>
    <w:rsid w:val="00BC0CA6"/>
    <w:rsid w:val="00BC0F0C"/>
    <w:rsid w:val="00BC1DA2"/>
    <w:rsid w:val="00BC1E19"/>
    <w:rsid w:val="00BC2389"/>
    <w:rsid w:val="00BC24DE"/>
    <w:rsid w:val="00BC2649"/>
    <w:rsid w:val="00BC2D35"/>
    <w:rsid w:val="00BC3368"/>
    <w:rsid w:val="00BC3652"/>
    <w:rsid w:val="00BC3674"/>
    <w:rsid w:val="00BC3751"/>
    <w:rsid w:val="00BC3ABF"/>
    <w:rsid w:val="00BC3AE0"/>
    <w:rsid w:val="00BC419B"/>
    <w:rsid w:val="00BC4282"/>
    <w:rsid w:val="00BC4504"/>
    <w:rsid w:val="00BC4D01"/>
    <w:rsid w:val="00BC5246"/>
    <w:rsid w:val="00BC5300"/>
    <w:rsid w:val="00BC547D"/>
    <w:rsid w:val="00BC5A19"/>
    <w:rsid w:val="00BC5B84"/>
    <w:rsid w:val="00BC5CE4"/>
    <w:rsid w:val="00BC5F86"/>
    <w:rsid w:val="00BC5FB9"/>
    <w:rsid w:val="00BC605E"/>
    <w:rsid w:val="00BC6559"/>
    <w:rsid w:val="00BC662F"/>
    <w:rsid w:val="00BC688B"/>
    <w:rsid w:val="00BC6B96"/>
    <w:rsid w:val="00BC6FBC"/>
    <w:rsid w:val="00BC74EB"/>
    <w:rsid w:val="00BC7955"/>
    <w:rsid w:val="00BC7B2C"/>
    <w:rsid w:val="00BC7E26"/>
    <w:rsid w:val="00BC7FC0"/>
    <w:rsid w:val="00BD08AD"/>
    <w:rsid w:val="00BD08E5"/>
    <w:rsid w:val="00BD0CC6"/>
    <w:rsid w:val="00BD11E6"/>
    <w:rsid w:val="00BD14F8"/>
    <w:rsid w:val="00BD17BA"/>
    <w:rsid w:val="00BD1E33"/>
    <w:rsid w:val="00BD2051"/>
    <w:rsid w:val="00BD2BA4"/>
    <w:rsid w:val="00BD2E35"/>
    <w:rsid w:val="00BD2F12"/>
    <w:rsid w:val="00BD328D"/>
    <w:rsid w:val="00BD3470"/>
    <w:rsid w:val="00BD36B8"/>
    <w:rsid w:val="00BD373F"/>
    <w:rsid w:val="00BD3B19"/>
    <w:rsid w:val="00BD3B6C"/>
    <w:rsid w:val="00BD4219"/>
    <w:rsid w:val="00BD42DB"/>
    <w:rsid w:val="00BD447B"/>
    <w:rsid w:val="00BD44DE"/>
    <w:rsid w:val="00BD465E"/>
    <w:rsid w:val="00BD49B8"/>
    <w:rsid w:val="00BD4A3B"/>
    <w:rsid w:val="00BD4B89"/>
    <w:rsid w:val="00BD4BDC"/>
    <w:rsid w:val="00BD4C37"/>
    <w:rsid w:val="00BD4ED2"/>
    <w:rsid w:val="00BD4F53"/>
    <w:rsid w:val="00BD5790"/>
    <w:rsid w:val="00BD5816"/>
    <w:rsid w:val="00BD5A84"/>
    <w:rsid w:val="00BD5BD8"/>
    <w:rsid w:val="00BD5C9E"/>
    <w:rsid w:val="00BD6277"/>
    <w:rsid w:val="00BD6B28"/>
    <w:rsid w:val="00BD6C32"/>
    <w:rsid w:val="00BD6CC9"/>
    <w:rsid w:val="00BD6FB3"/>
    <w:rsid w:val="00BD77DA"/>
    <w:rsid w:val="00BD793D"/>
    <w:rsid w:val="00BD7BE1"/>
    <w:rsid w:val="00BE006F"/>
    <w:rsid w:val="00BE0124"/>
    <w:rsid w:val="00BE0600"/>
    <w:rsid w:val="00BE0D15"/>
    <w:rsid w:val="00BE124D"/>
    <w:rsid w:val="00BE142A"/>
    <w:rsid w:val="00BE1564"/>
    <w:rsid w:val="00BE17B6"/>
    <w:rsid w:val="00BE1D33"/>
    <w:rsid w:val="00BE1EB4"/>
    <w:rsid w:val="00BE20A5"/>
    <w:rsid w:val="00BE2394"/>
    <w:rsid w:val="00BE2403"/>
    <w:rsid w:val="00BE25E6"/>
    <w:rsid w:val="00BE2D59"/>
    <w:rsid w:val="00BE2E10"/>
    <w:rsid w:val="00BE34BE"/>
    <w:rsid w:val="00BE3827"/>
    <w:rsid w:val="00BE38EE"/>
    <w:rsid w:val="00BE3CA7"/>
    <w:rsid w:val="00BE3CE7"/>
    <w:rsid w:val="00BE3DE6"/>
    <w:rsid w:val="00BE3F12"/>
    <w:rsid w:val="00BE42AB"/>
    <w:rsid w:val="00BE44C4"/>
    <w:rsid w:val="00BE4535"/>
    <w:rsid w:val="00BE45A7"/>
    <w:rsid w:val="00BE45B0"/>
    <w:rsid w:val="00BE4655"/>
    <w:rsid w:val="00BE47F3"/>
    <w:rsid w:val="00BE47FE"/>
    <w:rsid w:val="00BE4998"/>
    <w:rsid w:val="00BE4BE3"/>
    <w:rsid w:val="00BE56FD"/>
    <w:rsid w:val="00BE587E"/>
    <w:rsid w:val="00BE58B2"/>
    <w:rsid w:val="00BE5E33"/>
    <w:rsid w:val="00BE6282"/>
    <w:rsid w:val="00BE62AE"/>
    <w:rsid w:val="00BE6434"/>
    <w:rsid w:val="00BE67F4"/>
    <w:rsid w:val="00BE68C8"/>
    <w:rsid w:val="00BE6D74"/>
    <w:rsid w:val="00BE709D"/>
    <w:rsid w:val="00BE70B6"/>
    <w:rsid w:val="00BE72B6"/>
    <w:rsid w:val="00BE781C"/>
    <w:rsid w:val="00BE7B6E"/>
    <w:rsid w:val="00BE7EDA"/>
    <w:rsid w:val="00BF0CED"/>
    <w:rsid w:val="00BF1031"/>
    <w:rsid w:val="00BF1183"/>
    <w:rsid w:val="00BF135A"/>
    <w:rsid w:val="00BF137D"/>
    <w:rsid w:val="00BF13DC"/>
    <w:rsid w:val="00BF15F3"/>
    <w:rsid w:val="00BF1619"/>
    <w:rsid w:val="00BF1AD3"/>
    <w:rsid w:val="00BF1E18"/>
    <w:rsid w:val="00BF1F33"/>
    <w:rsid w:val="00BF2191"/>
    <w:rsid w:val="00BF221C"/>
    <w:rsid w:val="00BF252E"/>
    <w:rsid w:val="00BF2598"/>
    <w:rsid w:val="00BF26F5"/>
    <w:rsid w:val="00BF27A3"/>
    <w:rsid w:val="00BF30E1"/>
    <w:rsid w:val="00BF3654"/>
    <w:rsid w:val="00BF396C"/>
    <w:rsid w:val="00BF3BED"/>
    <w:rsid w:val="00BF3CC7"/>
    <w:rsid w:val="00BF40A9"/>
    <w:rsid w:val="00BF4290"/>
    <w:rsid w:val="00BF44B2"/>
    <w:rsid w:val="00BF4630"/>
    <w:rsid w:val="00BF4C2B"/>
    <w:rsid w:val="00BF4C70"/>
    <w:rsid w:val="00BF4F70"/>
    <w:rsid w:val="00BF5076"/>
    <w:rsid w:val="00BF5181"/>
    <w:rsid w:val="00BF5225"/>
    <w:rsid w:val="00BF561B"/>
    <w:rsid w:val="00BF58AC"/>
    <w:rsid w:val="00BF5A74"/>
    <w:rsid w:val="00BF5A7F"/>
    <w:rsid w:val="00BF5CFB"/>
    <w:rsid w:val="00BF61EF"/>
    <w:rsid w:val="00BF6414"/>
    <w:rsid w:val="00BF65D0"/>
    <w:rsid w:val="00BF65D1"/>
    <w:rsid w:val="00BF6739"/>
    <w:rsid w:val="00BF69D5"/>
    <w:rsid w:val="00BF6D8C"/>
    <w:rsid w:val="00BF700F"/>
    <w:rsid w:val="00BF70BE"/>
    <w:rsid w:val="00BF7233"/>
    <w:rsid w:val="00BF7656"/>
    <w:rsid w:val="00BF7695"/>
    <w:rsid w:val="00BF7D5F"/>
    <w:rsid w:val="00BF7E27"/>
    <w:rsid w:val="00BF7E68"/>
    <w:rsid w:val="00BF7EC0"/>
    <w:rsid w:val="00C0014C"/>
    <w:rsid w:val="00C00164"/>
    <w:rsid w:val="00C00484"/>
    <w:rsid w:val="00C00BF9"/>
    <w:rsid w:val="00C0124A"/>
    <w:rsid w:val="00C018DB"/>
    <w:rsid w:val="00C02A95"/>
    <w:rsid w:val="00C032EE"/>
    <w:rsid w:val="00C03EFA"/>
    <w:rsid w:val="00C0410C"/>
    <w:rsid w:val="00C0414C"/>
    <w:rsid w:val="00C0424F"/>
    <w:rsid w:val="00C04296"/>
    <w:rsid w:val="00C04390"/>
    <w:rsid w:val="00C044A7"/>
    <w:rsid w:val="00C04A97"/>
    <w:rsid w:val="00C04B61"/>
    <w:rsid w:val="00C04DAF"/>
    <w:rsid w:val="00C04DC7"/>
    <w:rsid w:val="00C05AAA"/>
    <w:rsid w:val="00C05C64"/>
    <w:rsid w:val="00C061DC"/>
    <w:rsid w:val="00C0647E"/>
    <w:rsid w:val="00C07594"/>
    <w:rsid w:val="00C076DC"/>
    <w:rsid w:val="00C078F6"/>
    <w:rsid w:val="00C07AB4"/>
    <w:rsid w:val="00C07B4B"/>
    <w:rsid w:val="00C100A2"/>
    <w:rsid w:val="00C10E7E"/>
    <w:rsid w:val="00C1108C"/>
    <w:rsid w:val="00C11676"/>
    <w:rsid w:val="00C117D3"/>
    <w:rsid w:val="00C11D89"/>
    <w:rsid w:val="00C12278"/>
    <w:rsid w:val="00C12375"/>
    <w:rsid w:val="00C125D0"/>
    <w:rsid w:val="00C130CE"/>
    <w:rsid w:val="00C13175"/>
    <w:rsid w:val="00C131BD"/>
    <w:rsid w:val="00C13280"/>
    <w:rsid w:val="00C13BED"/>
    <w:rsid w:val="00C13D87"/>
    <w:rsid w:val="00C14185"/>
    <w:rsid w:val="00C1424B"/>
    <w:rsid w:val="00C14496"/>
    <w:rsid w:val="00C144C4"/>
    <w:rsid w:val="00C14559"/>
    <w:rsid w:val="00C1491A"/>
    <w:rsid w:val="00C14A94"/>
    <w:rsid w:val="00C14A98"/>
    <w:rsid w:val="00C150BA"/>
    <w:rsid w:val="00C150C3"/>
    <w:rsid w:val="00C156CC"/>
    <w:rsid w:val="00C15788"/>
    <w:rsid w:val="00C158BE"/>
    <w:rsid w:val="00C15C41"/>
    <w:rsid w:val="00C15C7E"/>
    <w:rsid w:val="00C15CA3"/>
    <w:rsid w:val="00C15DBC"/>
    <w:rsid w:val="00C15DEC"/>
    <w:rsid w:val="00C160D3"/>
    <w:rsid w:val="00C16314"/>
    <w:rsid w:val="00C1639A"/>
    <w:rsid w:val="00C1646B"/>
    <w:rsid w:val="00C16486"/>
    <w:rsid w:val="00C1655F"/>
    <w:rsid w:val="00C167B5"/>
    <w:rsid w:val="00C167D1"/>
    <w:rsid w:val="00C16AD9"/>
    <w:rsid w:val="00C16B40"/>
    <w:rsid w:val="00C16DE8"/>
    <w:rsid w:val="00C173ED"/>
    <w:rsid w:val="00C17DD1"/>
    <w:rsid w:val="00C17E79"/>
    <w:rsid w:val="00C17E86"/>
    <w:rsid w:val="00C17F5A"/>
    <w:rsid w:val="00C204BE"/>
    <w:rsid w:val="00C208D9"/>
    <w:rsid w:val="00C209F1"/>
    <w:rsid w:val="00C20B83"/>
    <w:rsid w:val="00C20BB5"/>
    <w:rsid w:val="00C20CF5"/>
    <w:rsid w:val="00C20E85"/>
    <w:rsid w:val="00C2176F"/>
    <w:rsid w:val="00C21AAD"/>
    <w:rsid w:val="00C21B9A"/>
    <w:rsid w:val="00C21B9F"/>
    <w:rsid w:val="00C22882"/>
    <w:rsid w:val="00C228CD"/>
    <w:rsid w:val="00C22BBF"/>
    <w:rsid w:val="00C22CB4"/>
    <w:rsid w:val="00C22E17"/>
    <w:rsid w:val="00C23202"/>
    <w:rsid w:val="00C23AAD"/>
    <w:rsid w:val="00C23D1A"/>
    <w:rsid w:val="00C23DC2"/>
    <w:rsid w:val="00C23F0D"/>
    <w:rsid w:val="00C241D8"/>
    <w:rsid w:val="00C243A5"/>
    <w:rsid w:val="00C24461"/>
    <w:rsid w:val="00C2462D"/>
    <w:rsid w:val="00C248E1"/>
    <w:rsid w:val="00C24926"/>
    <w:rsid w:val="00C24CB4"/>
    <w:rsid w:val="00C25407"/>
    <w:rsid w:val="00C25E23"/>
    <w:rsid w:val="00C26227"/>
    <w:rsid w:val="00C2671F"/>
    <w:rsid w:val="00C26A0E"/>
    <w:rsid w:val="00C26F47"/>
    <w:rsid w:val="00C272A4"/>
    <w:rsid w:val="00C278F1"/>
    <w:rsid w:val="00C27AA2"/>
    <w:rsid w:val="00C27C65"/>
    <w:rsid w:val="00C27DEE"/>
    <w:rsid w:val="00C30437"/>
    <w:rsid w:val="00C30B18"/>
    <w:rsid w:val="00C30D0D"/>
    <w:rsid w:val="00C30D88"/>
    <w:rsid w:val="00C31487"/>
    <w:rsid w:val="00C314A8"/>
    <w:rsid w:val="00C316A0"/>
    <w:rsid w:val="00C316A7"/>
    <w:rsid w:val="00C3182C"/>
    <w:rsid w:val="00C31A11"/>
    <w:rsid w:val="00C31D0D"/>
    <w:rsid w:val="00C326CD"/>
    <w:rsid w:val="00C32ABC"/>
    <w:rsid w:val="00C32FFF"/>
    <w:rsid w:val="00C33693"/>
    <w:rsid w:val="00C3446F"/>
    <w:rsid w:val="00C348A1"/>
    <w:rsid w:val="00C349D9"/>
    <w:rsid w:val="00C34C38"/>
    <w:rsid w:val="00C34DED"/>
    <w:rsid w:val="00C35116"/>
    <w:rsid w:val="00C3548B"/>
    <w:rsid w:val="00C35A2F"/>
    <w:rsid w:val="00C35CD1"/>
    <w:rsid w:val="00C36197"/>
    <w:rsid w:val="00C361DC"/>
    <w:rsid w:val="00C36324"/>
    <w:rsid w:val="00C363F5"/>
    <w:rsid w:val="00C3694A"/>
    <w:rsid w:val="00C36F4C"/>
    <w:rsid w:val="00C3704B"/>
    <w:rsid w:val="00C37445"/>
    <w:rsid w:val="00C374E1"/>
    <w:rsid w:val="00C379E4"/>
    <w:rsid w:val="00C37E2E"/>
    <w:rsid w:val="00C40433"/>
    <w:rsid w:val="00C40487"/>
    <w:rsid w:val="00C404DC"/>
    <w:rsid w:val="00C40615"/>
    <w:rsid w:val="00C40A23"/>
    <w:rsid w:val="00C40B3B"/>
    <w:rsid w:val="00C40CA7"/>
    <w:rsid w:val="00C415BE"/>
    <w:rsid w:val="00C4176C"/>
    <w:rsid w:val="00C41DA4"/>
    <w:rsid w:val="00C41EAA"/>
    <w:rsid w:val="00C41F69"/>
    <w:rsid w:val="00C42325"/>
    <w:rsid w:val="00C425C5"/>
    <w:rsid w:val="00C42682"/>
    <w:rsid w:val="00C42890"/>
    <w:rsid w:val="00C42AF1"/>
    <w:rsid w:val="00C42CC2"/>
    <w:rsid w:val="00C43417"/>
    <w:rsid w:val="00C43B28"/>
    <w:rsid w:val="00C43B6F"/>
    <w:rsid w:val="00C444F0"/>
    <w:rsid w:val="00C44509"/>
    <w:rsid w:val="00C44B87"/>
    <w:rsid w:val="00C454ED"/>
    <w:rsid w:val="00C45921"/>
    <w:rsid w:val="00C4596C"/>
    <w:rsid w:val="00C45B34"/>
    <w:rsid w:val="00C45E07"/>
    <w:rsid w:val="00C45EB0"/>
    <w:rsid w:val="00C464D3"/>
    <w:rsid w:val="00C464EF"/>
    <w:rsid w:val="00C4651E"/>
    <w:rsid w:val="00C4677F"/>
    <w:rsid w:val="00C4686F"/>
    <w:rsid w:val="00C469B1"/>
    <w:rsid w:val="00C46BED"/>
    <w:rsid w:val="00C46CC0"/>
    <w:rsid w:val="00C46D65"/>
    <w:rsid w:val="00C47342"/>
    <w:rsid w:val="00C47480"/>
    <w:rsid w:val="00C47AD2"/>
    <w:rsid w:val="00C47BB6"/>
    <w:rsid w:val="00C47E16"/>
    <w:rsid w:val="00C50019"/>
    <w:rsid w:val="00C5010F"/>
    <w:rsid w:val="00C50663"/>
    <w:rsid w:val="00C50993"/>
    <w:rsid w:val="00C50BC9"/>
    <w:rsid w:val="00C50C2A"/>
    <w:rsid w:val="00C50E16"/>
    <w:rsid w:val="00C5128F"/>
    <w:rsid w:val="00C516A5"/>
    <w:rsid w:val="00C5170A"/>
    <w:rsid w:val="00C51852"/>
    <w:rsid w:val="00C51880"/>
    <w:rsid w:val="00C51B8E"/>
    <w:rsid w:val="00C51CE5"/>
    <w:rsid w:val="00C52167"/>
    <w:rsid w:val="00C5218D"/>
    <w:rsid w:val="00C52394"/>
    <w:rsid w:val="00C523C5"/>
    <w:rsid w:val="00C523CA"/>
    <w:rsid w:val="00C52453"/>
    <w:rsid w:val="00C5245F"/>
    <w:rsid w:val="00C52632"/>
    <w:rsid w:val="00C526C4"/>
    <w:rsid w:val="00C52991"/>
    <w:rsid w:val="00C52BC8"/>
    <w:rsid w:val="00C530B7"/>
    <w:rsid w:val="00C53175"/>
    <w:rsid w:val="00C537ED"/>
    <w:rsid w:val="00C5394C"/>
    <w:rsid w:val="00C539E1"/>
    <w:rsid w:val="00C53AEC"/>
    <w:rsid w:val="00C53DE5"/>
    <w:rsid w:val="00C54073"/>
    <w:rsid w:val="00C547E5"/>
    <w:rsid w:val="00C54816"/>
    <w:rsid w:val="00C54DBE"/>
    <w:rsid w:val="00C554E4"/>
    <w:rsid w:val="00C55983"/>
    <w:rsid w:val="00C5624F"/>
    <w:rsid w:val="00C56492"/>
    <w:rsid w:val="00C56875"/>
    <w:rsid w:val="00C568D4"/>
    <w:rsid w:val="00C56917"/>
    <w:rsid w:val="00C5742F"/>
    <w:rsid w:val="00C57509"/>
    <w:rsid w:val="00C57615"/>
    <w:rsid w:val="00C57831"/>
    <w:rsid w:val="00C57A9C"/>
    <w:rsid w:val="00C57BEF"/>
    <w:rsid w:val="00C57DEE"/>
    <w:rsid w:val="00C60172"/>
    <w:rsid w:val="00C603A8"/>
    <w:rsid w:val="00C6043E"/>
    <w:rsid w:val="00C6046C"/>
    <w:rsid w:val="00C60492"/>
    <w:rsid w:val="00C604AB"/>
    <w:rsid w:val="00C60604"/>
    <w:rsid w:val="00C60829"/>
    <w:rsid w:val="00C60AEA"/>
    <w:rsid w:val="00C60B05"/>
    <w:rsid w:val="00C60B6D"/>
    <w:rsid w:val="00C60E8B"/>
    <w:rsid w:val="00C61392"/>
    <w:rsid w:val="00C61465"/>
    <w:rsid w:val="00C61788"/>
    <w:rsid w:val="00C617F2"/>
    <w:rsid w:val="00C619CD"/>
    <w:rsid w:val="00C62052"/>
    <w:rsid w:val="00C62456"/>
    <w:rsid w:val="00C62610"/>
    <w:rsid w:val="00C62692"/>
    <w:rsid w:val="00C6282C"/>
    <w:rsid w:val="00C62DFC"/>
    <w:rsid w:val="00C62E1A"/>
    <w:rsid w:val="00C63237"/>
    <w:rsid w:val="00C636AC"/>
    <w:rsid w:val="00C63854"/>
    <w:rsid w:val="00C639EE"/>
    <w:rsid w:val="00C63AE9"/>
    <w:rsid w:val="00C646AC"/>
    <w:rsid w:val="00C64AEA"/>
    <w:rsid w:val="00C64B54"/>
    <w:rsid w:val="00C64CDE"/>
    <w:rsid w:val="00C64EDB"/>
    <w:rsid w:val="00C64F2D"/>
    <w:rsid w:val="00C64FB6"/>
    <w:rsid w:val="00C6500E"/>
    <w:rsid w:val="00C6562D"/>
    <w:rsid w:val="00C6566A"/>
    <w:rsid w:val="00C659F5"/>
    <w:rsid w:val="00C65AE8"/>
    <w:rsid w:val="00C65BB5"/>
    <w:rsid w:val="00C65FC1"/>
    <w:rsid w:val="00C65FFF"/>
    <w:rsid w:val="00C6605B"/>
    <w:rsid w:val="00C66FE8"/>
    <w:rsid w:val="00C67164"/>
    <w:rsid w:val="00C671CD"/>
    <w:rsid w:val="00C67240"/>
    <w:rsid w:val="00C6728E"/>
    <w:rsid w:val="00C67579"/>
    <w:rsid w:val="00C675EC"/>
    <w:rsid w:val="00C676F1"/>
    <w:rsid w:val="00C67990"/>
    <w:rsid w:val="00C679D6"/>
    <w:rsid w:val="00C67A56"/>
    <w:rsid w:val="00C67F41"/>
    <w:rsid w:val="00C67FF4"/>
    <w:rsid w:val="00C70806"/>
    <w:rsid w:val="00C7094B"/>
    <w:rsid w:val="00C70F13"/>
    <w:rsid w:val="00C710AF"/>
    <w:rsid w:val="00C71343"/>
    <w:rsid w:val="00C71518"/>
    <w:rsid w:val="00C71CE3"/>
    <w:rsid w:val="00C71E64"/>
    <w:rsid w:val="00C724CF"/>
    <w:rsid w:val="00C725EF"/>
    <w:rsid w:val="00C728FA"/>
    <w:rsid w:val="00C72AD9"/>
    <w:rsid w:val="00C72BFF"/>
    <w:rsid w:val="00C73231"/>
    <w:rsid w:val="00C733A7"/>
    <w:rsid w:val="00C7396E"/>
    <w:rsid w:val="00C73988"/>
    <w:rsid w:val="00C73A0D"/>
    <w:rsid w:val="00C74106"/>
    <w:rsid w:val="00C74497"/>
    <w:rsid w:val="00C7452D"/>
    <w:rsid w:val="00C74BAC"/>
    <w:rsid w:val="00C7500A"/>
    <w:rsid w:val="00C753CB"/>
    <w:rsid w:val="00C755B6"/>
    <w:rsid w:val="00C75CB8"/>
    <w:rsid w:val="00C75F87"/>
    <w:rsid w:val="00C75FFF"/>
    <w:rsid w:val="00C763CD"/>
    <w:rsid w:val="00C76409"/>
    <w:rsid w:val="00C76594"/>
    <w:rsid w:val="00C76805"/>
    <w:rsid w:val="00C768B5"/>
    <w:rsid w:val="00C76AF7"/>
    <w:rsid w:val="00C76B9B"/>
    <w:rsid w:val="00C76BA3"/>
    <w:rsid w:val="00C76CF0"/>
    <w:rsid w:val="00C76D95"/>
    <w:rsid w:val="00C770DB"/>
    <w:rsid w:val="00C77826"/>
    <w:rsid w:val="00C8002C"/>
    <w:rsid w:val="00C80391"/>
    <w:rsid w:val="00C804B7"/>
    <w:rsid w:val="00C805A2"/>
    <w:rsid w:val="00C80A07"/>
    <w:rsid w:val="00C82507"/>
    <w:rsid w:val="00C82607"/>
    <w:rsid w:val="00C82709"/>
    <w:rsid w:val="00C82765"/>
    <w:rsid w:val="00C8286E"/>
    <w:rsid w:val="00C83304"/>
    <w:rsid w:val="00C8334C"/>
    <w:rsid w:val="00C83406"/>
    <w:rsid w:val="00C83C0F"/>
    <w:rsid w:val="00C83D6A"/>
    <w:rsid w:val="00C83DD6"/>
    <w:rsid w:val="00C840E4"/>
    <w:rsid w:val="00C84187"/>
    <w:rsid w:val="00C8448E"/>
    <w:rsid w:val="00C846F9"/>
    <w:rsid w:val="00C8470C"/>
    <w:rsid w:val="00C84A5F"/>
    <w:rsid w:val="00C85342"/>
    <w:rsid w:val="00C8537B"/>
    <w:rsid w:val="00C85B8B"/>
    <w:rsid w:val="00C86480"/>
    <w:rsid w:val="00C86490"/>
    <w:rsid w:val="00C86907"/>
    <w:rsid w:val="00C86B71"/>
    <w:rsid w:val="00C8729B"/>
    <w:rsid w:val="00C87574"/>
    <w:rsid w:val="00C8760C"/>
    <w:rsid w:val="00C87858"/>
    <w:rsid w:val="00C87A30"/>
    <w:rsid w:val="00C87AA1"/>
    <w:rsid w:val="00C87AF7"/>
    <w:rsid w:val="00C87CF9"/>
    <w:rsid w:val="00C87F9B"/>
    <w:rsid w:val="00C90800"/>
    <w:rsid w:val="00C91126"/>
    <w:rsid w:val="00C914F6"/>
    <w:rsid w:val="00C91733"/>
    <w:rsid w:val="00C9182E"/>
    <w:rsid w:val="00C91857"/>
    <w:rsid w:val="00C91977"/>
    <w:rsid w:val="00C91BF4"/>
    <w:rsid w:val="00C91D3F"/>
    <w:rsid w:val="00C9200A"/>
    <w:rsid w:val="00C92634"/>
    <w:rsid w:val="00C92A21"/>
    <w:rsid w:val="00C92D71"/>
    <w:rsid w:val="00C93242"/>
    <w:rsid w:val="00C932B2"/>
    <w:rsid w:val="00C93758"/>
    <w:rsid w:val="00C93E2A"/>
    <w:rsid w:val="00C93EC5"/>
    <w:rsid w:val="00C94229"/>
    <w:rsid w:val="00C94696"/>
    <w:rsid w:val="00C94815"/>
    <w:rsid w:val="00C9493B"/>
    <w:rsid w:val="00C94BFC"/>
    <w:rsid w:val="00C94E92"/>
    <w:rsid w:val="00C95407"/>
    <w:rsid w:val="00C959B2"/>
    <w:rsid w:val="00C960FC"/>
    <w:rsid w:val="00C96141"/>
    <w:rsid w:val="00C962D9"/>
    <w:rsid w:val="00C96332"/>
    <w:rsid w:val="00C967E1"/>
    <w:rsid w:val="00C96BC4"/>
    <w:rsid w:val="00C96C99"/>
    <w:rsid w:val="00C96D5F"/>
    <w:rsid w:val="00C96F92"/>
    <w:rsid w:val="00C9715C"/>
    <w:rsid w:val="00C97AB3"/>
    <w:rsid w:val="00CA00AF"/>
    <w:rsid w:val="00CA0127"/>
    <w:rsid w:val="00CA0204"/>
    <w:rsid w:val="00CA021E"/>
    <w:rsid w:val="00CA0627"/>
    <w:rsid w:val="00CA083D"/>
    <w:rsid w:val="00CA0D04"/>
    <w:rsid w:val="00CA1195"/>
    <w:rsid w:val="00CA1C94"/>
    <w:rsid w:val="00CA20C0"/>
    <w:rsid w:val="00CA28F1"/>
    <w:rsid w:val="00CA2A7B"/>
    <w:rsid w:val="00CA2B60"/>
    <w:rsid w:val="00CA2FBD"/>
    <w:rsid w:val="00CA30CD"/>
    <w:rsid w:val="00CA3249"/>
    <w:rsid w:val="00CA32BC"/>
    <w:rsid w:val="00CA3430"/>
    <w:rsid w:val="00CA3675"/>
    <w:rsid w:val="00CA3B6D"/>
    <w:rsid w:val="00CA3B93"/>
    <w:rsid w:val="00CA4337"/>
    <w:rsid w:val="00CA4727"/>
    <w:rsid w:val="00CA4B48"/>
    <w:rsid w:val="00CA4F5A"/>
    <w:rsid w:val="00CA534D"/>
    <w:rsid w:val="00CA540E"/>
    <w:rsid w:val="00CA56D7"/>
    <w:rsid w:val="00CA57C6"/>
    <w:rsid w:val="00CA5972"/>
    <w:rsid w:val="00CA5D7D"/>
    <w:rsid w:val="00CA5EFC"/>
    <w:rsid w:val="00CA64A8"/>
    <w:rsid w:val="00CA6647"/>
    <w:rsid w:val="00CA6AC1"/>
    <w:rsid w:val="00CA6B63"/>
    <w:rsid w:val="00CA6B80"/>
    <w:rsid w:val="00CA6F2C"/>
    <w:rsid w:val="00CA7AE9"/>
    <w:rsid w:val="00CA7BB3"/>
    <w:rsid w:val="00CA7C84"/>
    <w:rsid w:val="00CB016B"/>
    <w:rsid w:val="00CB0496"/>
    <w:rsid w:val="00CB049D"/>
    <w:rsid w:val="00CB06BC"/>
    <w:rsid w:val="00CB0753"/>
    <w:rsid w:val="00CB0BA6"/>
    <w:rsid w:val="00CB0D7D"/>
    <w:rsid w:val="00CB0E6D"/>
    <w:rsid w:val="00CB1113"/>
    <w:rsid w:val="00CB13FC"/>
    <w:rsid w:val="00CB1722"/>
    <w:rsid w:val="00CB173D"/>
    <w:rsid w:val="00CB1957"/>
    <w:rsid w:val="00CB20EE"/>
    <w:rsid w:val="00CB22AA"/>
    <w:rsid w:val="00CB2978"/>
    <w:rsid w:val="00CB30F2"/>
    <w:rsid w:val="00CB3184"/>
    <w:rsid w:val="00CB3581"/>
    <w:rsid w:val="00CB3789"/>
    <w:rsid w:val="00CB3844"/>
    <w:rsid w:val="00CB3B5B"/>
    <w:rsid w:val="00CB3B73"/>
    <w:rsid w:val="00CB41FC"/>
    <w:rsid w:val="00CB482C"/>
    <w:rsid w:val="00CB4A6C"/>
    <w:rsid w:val="00CB4FF0"/>
    <w:rsid w:val="00CB56AD"/>
    <w:rsid w:val="00CB5768"/>
    <w:rsid w:val="00CB5852"/>
    <w:rsid w:val="00CB5EC6"/>
    <w:rsid w:val="00CB6023"/>
    <w:rsid w:val="00CB6069"/>
    <w:rsid w:val="00CB62C7"/>
    <w:rsid w:val="00CB662B"/>
    <w:rsid w:val="00CB67CF"/>
    <w:rsid w:val="00CB6EBD"/>
    <w:rsid w:val="00CB7421"/>
    <w:rsid w:val="00CB79BF"/>
    <w:rsid w:val="00CB7F54"/>
    <w:rsid w:val="00CB7F60"/>
    <w:rsid w:val="00CC04D8"/>
    <w:rsid w:val="00CC05B6"/>
    <w:rsid w:val="00CC0645"/>
    <w:rsid w:val="00CC074B"/>
    <w:rsid w:val="00CC08C9"/>
    <w:rsid w:val="00CC1274"/>
    <w:rsid w:val="00CC17F2"/>
    <w:rsid w:val="00CC1987"/>
    <w:rsid w:val="00CC19C4"/>
    <w:rsid w:val="00CC1A44"/>
    <w:rsid w:val="00CC1AA8"/>
    <w:rsid w:val="00CC1B35"/>
    <w:rsid w:val="00CC1B5F"/>
    <w:rsid w:val="00CC1DEB"/>
    <w:rsid w:val="00CC1F59"/>
    <w:rsid w:val="00CC2089"/>
    <w:rsid w:val="00CC2095"/>
    <w:rsid w:val="00CC21DB"/>
    <w:rsid w:val="00CC2202"/>
    <w:rsid w:val="00CC261E"/>
    <w:rsid w:val="00CC279A"/>
    <w:rsid w:val="00CC2816"/>
    <w:rsid w:val="00CC281F"/>
    <w:rsid w:val="00CC29AB"/>
    <w:rsid w:val="00CC32BC"/>
    <w:rsid w:val="00CC34D7"/>
    <w:rsid w:val="00CC377F"/>
    <w:rsid w:val="00CC3AAA"/>
    <w:rsid w:val="00CC3E3B"/>
    <w:rsid w:val="00CC3F81"/>
    <w:rsid w:val="00CC4469"/>
    <w:rsid w:val="00CC4788"/>
    <w:rsid w:val="00CC4927"/>
    <w:rsid w:val="00CC4972"/>
    <w:rsid w:val="00CC4A54"/>
    <w:rsid w:val="00CC4AEE"/>
    <w:rsid w:val="00CC4B7A"/>
    <w:rsid w:val="00CC4EF0"/>
    <w:rsid w:val="00CC50AB"/>
    <w:rsid w:val="00CC561C"/>
    <w:rsid w:val="00CC56A8"/>
    <w:rsid w:val="00CC57CF"/>
    <w:rsid w:val="00CC58BF"/>
    <w:rsid w:val="00CC59CC"/>
    <w:rsid w:val="00CC59D4"/>
    <w:rsid w:val="00CC5B17"/>
    <w:rsid w:val="00CC5EFB"/>
    <w:rsid w:val="00CC6217"/>
    <w:rsid w:val="00CC698C"/>
    <w:rsid w:val="00CC6AA7"/>
    <w:rsid w:val="00CC6F19"/>
    <w:rsid w:val="00CC7011"/>
    <w:rsid w:val="00CC7161"/>
    <w:rsid w:val="00CC74C5"/>
    <w:rsid w:val="00CC7C12"/>
    <w:rsid w:val="00CC7EB1"/>
    <w:rsid w:val="00CD0632"/>
    <w:rsid w:val="00CD06E9"/>
    <w:rsid w:val="00CD124A"/>
    <w:rsid w:val="00CD15D5"/>
    <w:rsid w:val="00CD15E6"/>
    <w:rsid w:val="00CD16CC"/>
    <w:rsid w:val="00CD1A08"/>
    <w:rsid w:val="00CD25FD"/>
    <w:rsid w:val="00CD268B"/>
    <w:rsid w:val="00CD2AF6"/>
    <w:rsid w:val="00CD2F43"/>
    <w:rsid w:val="00CD3262"/>
    <w:rsid w:val="00CD3514"/>
    <w:rsid w:val="00CD35D0"/>
    <w:rsid w:val="00CD38B7"/>
    <w:rsid w:val="00CD38FC"/>
    <w:rsid w:val="00CD3BE5"/>
    <w:rsid w:val="00CD3D0C"/>
    <w:rsid w:val="00CD3D34"/>
    <w:rsid w:val="00CD3EEB"/>
    <w:rsid w:val="00CD3F2E"/>
    <w:rsid w:val="00CD3F5A"/>
    <w:rsid w:val="00CD401C"/>
    <w:rsid w:val="00CD4293"/>
    <w:rsid w:val="00CD46B0"/>
    <w:rsid w:val="00CD506E"/>
    <w:rsid w:val="00CD50D0"/>
    <w:rsid w:val="00CD5109"/>
    <w:rsid w:val="00CD5124"/>
    <w:rsid w:val="00CD514F"/>
    <w:rsid w:val="00CD5D42"/>
    <w:rsid w:val="00CD61C7"/>
    <w:rsid w:val="00CD634A"/>
    <w:rsid w:val="00CD639C"/>
    <w:rsid w:val="00CD6840"/>
    <w:rsid w:val="00CD6D8C"/>
    <w:rsid w:val="00CD6E6A"/>
    <w:rsid w:val="00CD7182"/>
    <w:rsid w:val="00CD72F6"/>
    <w:rsid w:val="00CD7344"/>
    <w:rsid w:val="00CD7608"/>
    <w:rsid w:val="00CD7CB6"/>
    <w:rsid w:val="00CE008D"/>
    <w:rsid w:val="00CE0142"/>
    <w:rsid w:val="00CE118C"/>
    <w:rsid w:val="00CE12DC"/>
    <w:rsid w:val="00CE130C"/>
    <w:rsid w:val="00CE1F06"/>
    <w:rsid w:val="00CE2033"/>
    <w:rsid w:val="00CE2049"/>
    <w:rsid w:val="00CE27C5"/>
    <w:rsid w:val="00CE2D38"/>
    <w:rsid w:val="00CE34F7"/>
    <w:rsid w:val="00CE356F"/>
    <w:rsid w:val="00CE3750"/>
    <w:rsid w:val="00CE37B4"/>
    <w:rsid w:val="00CE3872"/>
    <w:rsid w:val="00CE39BE"/>
    <w:rsid w:val="00CE3B18"/>
    <w:rsid w:val="00CE3C0A"/>
    <w:rsid w:val="00CE3F66"/>
    <w:rsid w:val="00CE4106"/>
    <w:rsid w:val="00CE461C"/>
    <w:rsid w:val="00CE4C85"/>
    <w:rsid w:val="00CE4EC5"/>
    <w:rsid w:val="00CE4EDD"/>
    <w:rsid w:val="00CE5307"/>
    <w:rsid w:val="00CE53BF"/>
    <w:rsid w:val="00CE544E"/>
    <w:rsid w:val="00CE57AC"/>
    <w:rsid w:val="00CE5B4F"/>
    <w:rsid w:val="00CE5BD9"/>
    <w:rsid w:val="00CE5D8F"/>
    <w:rsid w:val="00CE5E17"/>
    <w:rsid w:val="00CE681B"/>
    <w:rsid w:val="00CE68FB"/>
    <w:rsid w:val="00CE6919"/>
    <w:rsid w:val="00CE6952"/>
    <w:rsid w:val="00CE6957"/>
    <w:rsid w:val="00CE70D2"/>
    <w:rsid w:val="00CE7430"/>
    <w:rsid w:val="00CE7790"/>
    <w:rsid w:val="00CE77A8"/>
    <w:rsid w:val="00CE79F2"/>
    <w:rsid w:val="00CE7F7A"/>
    <w:rsid w:val="00CF0172"/>
    <w:rsid w:val="00CF0180"/>
    <w:rsid w:val="00CF01E6"/>
    <w:rsid w:val="00CF13B2"/>
    <w:rsid w:val="00CF1933"/>
    <w:rsid w:val="00CF196C"/>
    <w:rsid w:val="00CF1C3A"/>
    <w:rsid w:val="00CF21F5"/>
    <w:rsid w:val="00CF2A81"/>
    <w:rsid w:val="00CF2B10"/>
    <w:rsid w:val="00CF2D69"/>
    <w:rsid w:val="00CF3296"/>
    <w:rsid w:val="00CF371F"/>
    <w:rsid w:val="00CF388D"/>
    <w:rsid w:val="00CF3A2E"/>
    <w:rsid w:val="00CF3E63"/>
    <w:rsid w:val="00CF41EB"/>
    <w:rsid w:val="00CF431D"/>
    <w:rsid w:val="00CF43F5"/>
    <w:rsid w:val="00CF44CB"/>
    <w:rsid w:val="00CF45E1"/>
    <w:rsid w:val="00CF4683"/>
    <w:rsid w:val="00CF469C"/>
    <w:rsid w:val="00CF4FD4"/>
    <w:rsid w:val="00CF51EC"/>
    <w:rsid w:val="00CF5D39"/>
    <w:rsid w:val="00CF6284"/>
    <w:rsid w:val="00CF6721"/>
    <w:rsid w:val="00CF6892"/>
    <w:rsid w:val="00CF739B"/>
    <w:rsid w:val="00CF7621"/>
    <w:rsid w:val="00CF7775"/>
    <w:rsid w:val="00CF7A64"/>
    <w:rsid w:val="00CF7DA6"/>
    <w:rsid w:val="00CF7EFA"/>
    <w:rsid w:val="00CF7F00"/>
    <w:rsid w:val="00CF7F78"/>
    <w:rsid w:val="00CF7FA5"/>
    <w:rsid w:val="00D0045D"/>
    <w:rsid w:val="00D006E5"/>
    <w:rsid w:val="00D00738"/>
    <w:rsid w:val="00D007C5"/>
    <w:rsid w:val="00D00B2F"/>
    <w:rsid w:val="00D00E88"/>
    <w:rsid w:val="00D010DB"/>
    <w:rsid w:val="00D01889"/>
    <w:rsid w:val="00D018AE"/>
    <w:rsid w:val="00D01CB7"/>
    <w:rsid w:val="00D01D88"/>
    <w:rsid w:val="00D01E59"/>
    <w:rsid w:val="00D02008"/>
    <w:rsid w:val="00D02370"/>
    <w:rsid w:val="00D0244C"/>
    <w:rsid w:val="00D02C78"/>
    <w:rsid w:val="00D02D98"/>
    <w:rsid w:val="00D02E97"/>
    <w:rsid w:val="00D03D76"/>
    <w:rsid w:val="00D03F49"/>
    <w:rsid w:val="00D0401A"/>
    <w:rsid w:val="00D04777"/>
    <w:rsid w:val="00D04FB9"/>
    <w:rsid w:val="00D051FA"/>
    <w:rsid w:val="00D05BB7"/>
    <w:rsid w:val="00D05C91"/>
    <w:rsid w:val="00D05ECF"/>
    <w:rsid w:val="00D06005"/>
    <w:rsid w:val="00D0621C"/>
    <w:rsid w:val="00D0651D"/>
    <w:rsid w:val="00D066E5"/>
    <w:rsid w:val="00D067B0"/>
    <w:rsid w:val="00D067F3"/>
    <w:rsid w:val="00D07238"/>
    <w:rsid w:val="00D074B1"/>
    <w:rsid w:val="00D07A2A"/>
    <w:rsid w:val="00D07DC1"/>
    <w:rsid w:val="00D07E6B"/>
    <w:rsid w:val="00D102D4"/>
    <w:rsid w:val="00D10AEC"/>
    <w:rsid w:val="00D10B86"/>
    <w:rsid w:val="00D10FF6"/>
    <w:rsid w:val="00D1108A"/>
    <w:rsid w:val="00D11435"/>
    <w:rsid w:val="00D116F5"/>
    <w:rsid w:val="00D117EA"/>
    <w:rsid w:val="00D11ED8"/>
    <w:rsid w:val="00D1211C"/>
    <w:rsid w:val="00D128CB"/>
    <w:rsid w:val="00D12E79"/>
    <w:rsid w:val="00D12F7A"/>
    <w:rsid w:val="00D13B5C"/>
    <w:rsid w:val="00D14003"/>
    <w:rsid w:val="00D14129"/>
    <w:rsid w:val="00D141A0"/>
    <w:rsid w:val="00D14370"/>
    <w:rsid w:val="00D14727"/>
    <w:rsid w:val="00D147D3"/>
    <w:rsid w:val="00D1493C"/>
    <w:rsid w:val="00D14AB7"/>
    <w:rsid w:val="00D1527A"/>
    <w:rsid w:val="00D15478"/>
    <w:rsid w:val="00D1559C"/>
    <w:rsid w:val="00D15957"/>
    <w:rsid w:val="00D15B0E"/>
    <w:rsid w:val="00D15BB4"/>
    <w:rsid w:val="00D15BCD"/>
    <w:rsid w:val="00D15BED"/>
    <w:rsid w:val="00D15E06"/>
    <w:rsid w:val="00D15E33"/>
    <w:rsid w:val="00D16ACD"/>
    <w:rsid w:val="00D16B0E"/>
    <w:rsid w:val="00D16C8E"/>
    <w:rsid w:val="00D1705D"/>
    <w:rsid w:val="00D17430"/>
    <w:rsid w:val="00D17590"/>
    <w:rsid w:val="00D179FB"/>
    <w:rsid w:val="00D17D8E"/>
    <w:rsid w:val="00D17E35"/>
    <w:rsid w:val="00D20200"/>
    <w:rsid w:val="00D20270"/>
    <w:rsid w:val="00D20664"/>
    <w:rsid w:val="00D20CB2"/>
    <w:rsid w:val="00D20D3A"/>
    <w:rsid w:val="00D20EDA"/>
    <w:rsid w:val="00D21F8E"/>
    <w:rsid w:val="00D22249"/>
    <w:rsid w:val="00D22687"/>
    <w:rsid w:val="00D22AB5"/>
    <w:rsid w:val="00D22B50"/>
    <w:rsid w:val="00D22C0A"/>
    <w:rsid w:val="00D231C2"/>
    <w:rsid w:val="00D23323"/>
    <w:rsid w:val="00D23485"/>
    <w:rsid w:val="00D23532"/>
    <w:rsid w:val="00D23817"/>
    <w:rsid w:val="00D23A43"/>
    <w:rsid w:val="00D23D57"/>
    <w:rsid w:val="00D23DCC"/>
    <w:rsid w:val="00D241C4"/>
    <w:rsid w:val="00D2453E"/>
    <w:rsid w:val="00D245CD"/>
    <w:rsid w:val="00D24A4E"/>
    <w:rsid w:val="00D24B82"/>
    <w:rsid w:val="00D25034"/>
    <w:rsid w:val="00D25148"/>
    <w:rsid w:val="00D2534C"/>
    <w:rsid w:val="00D262AF"/>
    <w:rsid w:val="00D263B0"/>
    <w:rsid w:val="00D2641E"/>
    <w:rsid w:val="00D267B5"/>
    <w:rsid w:val="00D268C7"/>
    <w:rsid w:val="00D2764B"/>
    <w:rsid w:val="00D27F3D"/>
    <w:rsid w:val="00D3006D"/>
    <w:rsid w:val="00D3016E"/>
    <w:rsid w:val="00D302BB"/>
    <w:rsid w:val="00D304C6"/>
    <w:rsid w:val="00D30D68"/>
    <w:rsid w:val="00D30FBD"/>
    <w:rsid w:val="00D317A5"/>
    <w:rsid w:val="00D31B80"/>
    <w:rsid w:val="00D325EC"/>
    <w:rsid w:val="00D32C55"/>
    <w:rsid w:val="00D33158"/>
    <w:rsid w:val="00D33771"/>
    <w:rsid w:val="00D33C11"/>
    <w:rsid w:val="00D33EE8"/>
    <w:rsid w:val="00D3433C"/>
    <w:rsid w:val="00D34730"/>
    <w:rsid w:val="00D34C4E"/>
    <w:rsid w:val="00D34F61"/>
    <w:rsid w:val="00D34FCC"/>
    <w:rsid w:val="00D35072"/>
    <w:rsid w:val="00D350B6"/>
    <w:rsid w:val="00D35188"/>
    <w:rsid w:val="00D3630F"/>
    <w:rsid w:val="00D3640F"/>
    <w:rsid w:val="00D366D5"/>
    <w:rsid w:val="00D366E5"/>
    <w:rsid w:val="00D36B20"/>
    <w:rsid w:val="00D36BC3"/>
    <w:rsid w:val="00D36C0B"/>
    <w:rsid w:val="00D37025"/>
    <w:rsid w:val="00D372C7"/>
    <w:rsid w:val="00D37357"/>
    <w:rsid w:val="00D37415"/>
    <w:rsid w:val="00D375E1"/>
    <w:rsid w:val="00D37746"/>
    <w:rsid w:val="00D37F6C"/>
    <w:rsid w:val="00D37FA5"/>
    <w:rsid w:val="00D40089"/>
    <w:rsid w:val="00D402E1"/>
    <w:rsid w:val="00D40308"/>
    <w:rsid w:val="00D4053A"/>
    <w:rsid w:val="00D40578"/>
    <w:rsid w:val="00D40654"/>
    <w:rsid w:val="00D4091D"/>
    <w:rsid w:val="00D40C99"/>
    <w:rsid w:val="00D4123D"/>
    <w:rsid w:val="00D4159B"/>
    <w:rsid w:val="00D4179E"/>
    <w:rsid w:val="00D41A98"/>
    <w:rsid w:val="00D41B3B"/>
    <w:rsid w:val="00D41BD7"/>
    <w:rsid w:val="00D41D8B"/>
    <w:rsid w:val="00D42633"/>
    <w:rsid w:val="00D42D76"/>
    <w:rsid w:val="00D430CD"/>
    <w:rsid w:val="00D4316E"/>
    <w:rsid w:val="00D43224"/>
    <w:rsid w:val="00D43332"/>
    <w:rsid w:val="00D43AAD"/>
    <w:rsid w:val="00D43AD2"/>
    <w:rsid w:val="00D43D54"/>
    <w:rsid w:val="00D44099"/>
    <w:rsid w:val="00D44124"/>
    <w:rsid w:val="00D44228"/>
    <w:rsid w:val="00D446C4"/>
    <w:rsid w:val="00D44BAF"/>
    <w:rsid w:val="00D44C09"/>
    <w:rsid w:val="00D4553D"/>
    <w:rsid w:val="00D45666"/>
    <w:rsid w:val="00D45978"/>
    <w:rsid w:val="00D45BF5"/>
    <w:rsid w:val="00D45CF1"/>
    <w:rsid w:val="00D45D4C"/>
    <w:rsid w:val="00D45DB3"/>
    <w:rsid w:val="00D45E3F"/>
    <w:rsid w:val="00D45F5C"/>
    <w:rsid w:val="00D463BB"/>
    <w:rsid w:val="00D46A4B"/>
    <w:rsid w:val="00D46B7B"/>
    <w:rsid w:val="00D46EA7"/>
    <w:rsid w:val="00D46EC2"/>
    <w:rsid w:val="00D47062"/>
    <w:rsid w:val="00D47089"/>
    <w:rsid w:val="00D473B4"/>
    <w:rsid w:val="00D476D7"/>
    <w:rsid w:val="00D479F7"/>
    <w:rsid w:val="00D47B07"/>
    <w:rsid w:val="00D47E38"/>
    <w:rsid w:val="00D47F9D"/>
    <w:rsid w:val="00D5092E"/>
    <w:rsid w:val="00D50A1E"/>
    <w:rsid w:val="00D50C32"/>
    <w:rsid w:val="00D50C5C"/>
    <w:rsid w:val="00D50E37"/>
    <w:rsid w:val="00D5113B"/>
    <w:rsid w:val="00D51227"/>
    <w:rsid w:val="00D5167D"/>
    <w:rsid w:val="00D51717"/>
    <w:rsid w:val="00D52186"/>
    <w:rsid w:val="00D521B5"/>
    <w:rsid w:val="00D52251"/>
    <w:rsid w:val="00D522A9"/>
    <w:rsid w:val="00D525FC"/>
    <w:rsid w:val="00D52873"/>
    <w:rsid w:val="00D52B37"/>
    <w:rsid w:val="00D53154"/>
    <w:rsid w:val="00D531A3"/>
    <w:rsid w:val="00D53334"/>
    <w:rsid w:val="00D539C8"/>
    <w:rsid w:val="00D53A54"/>
    <w:rsid w:val="00D53D2E"/>
    <w:rsid w:val="00D53D36"/>
    <w:rsid w:val="00D53D59"/>
    <w:rsid w:val="00D53DC8"/>
    <w:rsid w:val="00D53E09"/>
    <w:rsid w:val="00D54ABA"/>
    <w:rsid w:val="00D54C2E"/>
    <w:rsid w:val="00D54D6E"/>
    <w:rsid w:val="00D555D0"/>
    <w:rsid w:val="00D556D2"/>
    <w:rsid w:val="00D55811"/>
    <w:rsid w:val="00D55A1F"/>
    <w:rsid w:val="00D55BDD"/>
    <w:rsid w:val="00D56009"/>
    <w:rsid w:val="00D56195"/>
    <w:rsid w:val="00D56369"/>
    <w:rsid w:val="00D56504"/>
    <w:rsid w:val="00D571BC"/>
    <w:rsid w:val="00D57981"/>
    <w:rsid w:val="00D57A45"/>
    <w:rsid w:val="00D57CA3"/>
    <w:rsid w:val="00D57EF5"/>
    <w:rsid w:val="00D604F1"/>
    <w:rsid w:val="00D60560"/>
    <w:rsid w:val="00D6079D"/>
    <w:rsid w:val="00D6083C"/>
    <w:rsid w:val="00D60911"/>
    <w:rsid w:val="00D60D01"/>
    <w:rsid w:val="00D60DA7"/>
    <w:rsid w:val="00D60DF5"/>
    <w:rsid w:val="00D61480"/>
    <w:rsid w:val="00D616F0"/>
    <w:rsid w:val="00D61717"/>
    <w:rsid w:val="00D61D5E"/>
    <w:rsid w:val="00D61F60"/>
    <w:rsid w:val="00D61FF6"/>
    <w:rsid w:val="00D6212A"/>
    <w:rsid w:val="00D621E9"/>
    <w:rsid w:val="00D62215"/>
    <w:rsid w:val="00D628B2"/>
    <w:rsid w:val="00D62C13"/>
    <w:rsid w:val="00D62D42"/>
    <w:rsid w:val="00D63427"/>
    <w:rsid w:val="00D63469"/>
    <w:rsid w:val="00D63539"/>
    <w:rsid w:val="00D63D3D"/>
    <w:rsid w:val="00D63E99"/>
    <w:rsid w:val="00D64550"/>
    <w:rsid w:val="00D64A12"/>
    <w:rsid w:val="00D65735"/>
    <w:rsid w:val="00D659A2"/>
    <w:rsid w:val="00D65C4D"/>
    <w:rsid w:val="00D65CBF"/>
    <w:rsid w:val="00D65CDB"/>
    <w:rsid w:val="00D66908"/>
    <w:rsid w:val="00D66A2E"/>
    <w:rsid w:val="00D66B79"/>
    <w:rsid w:val="00D66C86"/>
    <w:rsid w:val="00D673E1"/>
    <w:rsid w:val="00D6744A"/>
    <w:rsid w:val="00D67793"/>
    <w:rsid w:val="00D6790B"/>
    <w:rsid w:val="00D67BEA"/>
    <w:rsid w:val="00D67E02"/>
    <w:rsid w:val="00D70302"/>
    <w:rsid w:val="00D70384"/>
    <w:rsid w:val="00D70775"/>
    <w:rsid w:val="00D70780"/>
    <w:rsid w:val="00D70FB5"/>
    <w:rsid w:val="00D71139"/>
    <w:rsid w:val="00D719A8"/>
    <w:rsid w:val="00D71FD2"/>
    <w:rsid w:val="00D72164"/>
    <w:rsid w:val="00D724F6"/>
    <w:rsid w:val="00D730FA"/>
    <w:rsid w:val="00D731D7"/>
    <w:rsid w:val="00D7342C"/>
    <w:rsid w:val="00D7357C"/>
    <w:rsid w:val="00D73631"/>
    <w:rsid w:val="00D7367A"/>
    <w:rsid w:val="00D73736"/>
    <w:rsid w:val="00D73986"/>
    <w:rsid w:val="00D73F43"/>
    <w:rsid w:val="00D73FCE"/>
    <w:rsid w:val="00D74661"/>
    <w:rsid w:val="00D74CD6"/>
    <w:rsid w:val="00D75424"/>
    <w:rsid w:val="00D75F89"/>
    <w:rsid w:val="00D76214"/>
    <w:rsid w:val="00D763F8"/>
    <w:rsid w:val="00D764BC"/>
    <w:rsid w:val="00D7682D"/>
    <w:rsid w:val="00D76A3E"/>
    <w:rsid w:val="00D7757D"/>
    <w:rsid w:val="00D77FC8"/>
    <w:rsid w:val="00D804D2"/>
    <w:rsid w:val="00D806DE"/>
    <w:rsid w:val="00D8074E"/>
    <w:rsid w:val="00D80773"/>
    <w:rsid w:val="00D807B1"/>
    <w:rsid w:val="00D808A8"/>
    <w:rsid w:val="00D80C2F"/>
    <w:rsid w:val="00D80C70"/>
    <w:rsid w:val="00D8125A"/>
    <w:rsid w:val="00D81454"/>
    <w:rsid w:val="00D81488"/>
    <w:rsid w:val="00D814DB"/>
    <w:rsid w:val="00D81643"/>
    <w:rsid w:val="00D81D12"/>
    <w:rsid w:val="00D81E28"/>
    <w:rsid w:val="00D820E3"/>
    <w:rsid w:val="00D82422"/>
    <w:rsid w:val="00D82BCA"/>
    <w:rsid w:val="00D82BF9"/>
    <w:rsid w:val="00D82DBF"/>
    <w:rsid w:val="00D82F47"/>
    <w:rsid w:val="00D8302A"/>
    <w:rsid w:val="00D830D3"/>
    <w:rsid w:val="00D83314"/>
    <w:rsid w:val="00D83837"/>
    <w:rsid w:val="00D83B1A"/>
    <w:rsid w:val="00D842D7"/>
    <w:rsid w:val="00D843B6"/>
    <w:rsid w:val="00D84812"/>
    <w:rsid w:val="00D84A45"/>
    <w:rsid w:val="00D85073"/>
    <w:rsid w:val="00D851F4"/>
    <w:rsid w:val="00D855F3"/>
    <w:rsid w:val="00D8596A"/>
    <w:rsid w:val="00D8629C"/>
    <w:rsid w:val="00D86378"/>
    <w:rsid w:val="00D863AD"/>
    <w:rsid w:val="00D8651F"/>
    <w:rsid w:val="00D86738"/>
    <w:rsid w:val="00D8673D"/>
    <w:rsid w:val="00D868C3"/>
    <w:rsid w:val="00D86FAC"/>
    <w:rsid w:val="00D87059"/>
    <w:rsid w:val="00D87173"/>
    <w:rsid w:val="00D87280"/>
    <w:rsid w:val="00D87584"/>
    <w:rsid w:val="00D87A9F"/>
    <w:rsid w:val="00D90234"/>
    <w:rsid w:val="00D904B4"/>
    <w:rsid w:val="00D90565"/>
    <w:rsid w:val="00D905FC"/>
    <w:rsid w:val="00D90683"/>
    <w:rsid w:val="00D909C7"/>
    <w:rsid w:val="00D90B67"/>
    <w:rsid w:val="00D90C00"/>
    <w:rsid w:val="00D90CFB"/>
    <w:rsid w:val="00D90DFE"/>
    <w:rsid w:val="00D9117F"/>
    <w:rsid w:val="00D91292"/>
    <w:rsid w:val="00D91455"/>
    <w:rsid w:val="00D91855"/>
    <w:rsid w:val="00D91A4B"/>
    <w:rsid w:val="00D926DC"/>
    <w:rsid w:val="00D92760"/>
    <w:rsid w:val="00D927E9"/>
    <w:rsid w:val="00D92D11"/>
    <w:rsid w:val="00D92EC5"/>
    <w:rsid w:val="00D93162"/>
    <w:rsid w:val="00D93485"/>
    <w:rsid w:val="00D9389E"/>
    <w:rsid w:val="00D93B74"/>
    <w:rsid w:val="00D93D3B"/>
    <w:rsid w:val="00D93FBA"/>
    <w:rsid w:val="00D93FCB"/>
    <w:rsid w:val="00D94271"/>
    <w:rsid w:val="00D94AAC"/>
    <w:rsid w:val="00D94D6F"/>
    <w:rsid w:val="00D950F8"/>
    <w:rsid w:val="00D9525D"/>
    <w:rsid w:val="00D952CE"/>
    <w:rsid w:val="00D95386"/>
    <w:rsid w:val="00D95483"/>
    <w:rsid w:val="00D958F1"/>
    <w:rsid w:val="00D9598B"/>
    <w:rsid w:val="00D95ACC"/>
    <w:rsid w:val="00D95B93"/>
    <w:rsid w:val="00D96944"/>
    <w:rsid w:val="00D96C00"/>
    <w:rsid w:val="00D96DC6"/>
    <w:rsid w:val="00D96F55"/>
    <w:rsid w:val="00D973D9"/>
    <w:rsid w:val="00D97584"/>
    <w:rsid w:val="00D976DE"/>
    <w:rsid w:val="00D97756"/>
    <w:rsid w:val="00D97895"/>
    <w:rsid w:val="00D978D3"/>
    <w:rsid w:val="00D97C3A"/>
    <w:rsid w:val="00D97D2A"/>
    <w:rsid w:val="00D97F42"/>
    <w:rsid w:val="00DA0430"/>
    <w:rsid w:val="00DA059B"/>
    <w:rsid w:val="00DA0731"/>
    <w:rsid w:val="00DA113F"/>
    <w:rsid w:val="00DA15F2"/>
    <w:rsid w:val="00DA1816"/>
    <w:rsid w:val="00DA1933"/>
    <w:rsid w:val="00DA1C36"/>
    <w:rsid w:val="00DA1D2B"/>
    <w:rsid w:val="00DA1F3C"/>
    <w:rsid w:val="00DA20F6"/>
    <w:rsid w:val="00DA2237"/>
    <w:rsid w:val="00DA23D7"/>
    <w:rsid w:val="00DA2EE7"/>
    <w:rsid w:val="00DA2EFA"/>
    <w:rsid w:val="00DA3042"/>
    <w:rsid w:val="00DA331C"/>
    <w:rsid w:val="00DA3387"/>
    <w:rsid w:val="00DA33A7"/>
    <w:rsid w:val="00DA34AC"/>
    <w:rsid w:val="00DA4008"/>
    <w:rsid w:val="00DA420C"/>
    <w:rsid w:val="00DA4288"/>
    <w:rsid w:val="00DA49AC"/>
    <w:rsid w:val="00DA4B28"/>
    <w:rsid w:val="00DA4BDA"/>
    <w:rsid w:val="00DA4DBE"/>
    <w:rsid w:val="00DA526C"/>
    <w:rsid w:val="00DA55C2"/>
    <w:rsid w:val="00DA5736"/>
    <w:rsid w:val="00DA5739"/>
    <w:rsid w:val="00DA6278"/>
    <w:rsid w:val="00DA67AF"/>
    <w:rsid w:val="00DA6AF0"/>
    <w:rsid w:val="00DA6BDE"/>
    <w:rsid w:val="00DA6F4E"/>
    <w:rsid w:val="00DA7146"/>
    <w:rsid w:val="00DA72B6"/>
    <w:rsid w:val="00DA7594"/>
    <w:rsid w:val="00DA7648"/>
    <w:rsid w:val="00DA776F"/>
    <w:rsid w:val="00DA7AD4"/>
    <w:rsid w:val="00DA7E65"/>
    <w:rsid w:val="00DB0664"/>
    <w:rsid w:val="00DB07CF"/>
    <w:rsid w:val="00DB0837"/>
    <w:rsid w:val="00DB088A"/>
    <w:rsid w:val="00DB0E39"/>
    <w:rsid w:val="00DB0F5E"/>
    <w:rsid w:val="00DB1756"/>
    <w:rsid w:val="00DB175D"/>
    <w:rsid w:val="00DB17E6"/>
    <w:rsid w:val="00DB1DFA"/>
    <w:rsid w:val="00DB20F7"/>
    <w:rsid w:val="00DB26B7"/>
    <w:rsid w:val="00DB2735"/>
    <w:rsid w:val="00DB2791"/>
    <w:rsid w:val="00DB28D7"/>
    <w:rsid w:val="00DB2B08"/>
    <w:rsid w:val="00DB2D00"/>
    <w:rsid w:val="00DB2DD0"/>
    <w:rsid w:val="00DB2EBA"/>
    <w:rsid w:val="00DB2F86"/>
    <w:rsid w:val="00DB33BC"/>
    <w:rsid w:val="00DB3951"/>
    <w:rsid w:val="00DB3B08"/>
    <w:rsid w:val="00DB3CB7"/>
    <w:rsid w:val="00DB3F24"/>
    <w:rsid w:val="00DB4A28"/>
    <w:rsid w:val="00DB4ADA"/>
    <w:rsid w:val="00DB4BB2"/>
    <w:rsid w:val="00DB4C73"/>
    <w:rsid w:val="00DB5075"/>
    <w:rsid w:val="00DB5A67"/>
    <w:rsid w:val="00DB5A88"/>
    <w:rsid w:val="00DB5D68"/>
    <w:rsid w:val="00DB6148"/>
    <w:rsid w:val="00DB6193"/>
    <w:rsid w:val="00DB647A"/>
    <w:rsid w:val="00DB6811"/>
    <w:rsid w:val="00DB69F8"/>
    <w:rsid w:val="00DB6B5D"/>
    <w:rsid w:val="00DB6B68"/>
    <w:rsid w:val="00DB6D29"/>
    <w:rsid w:val="00DB6D46"/>
    <w:rsid w:val="00DB6ED9"/>
    <w:rsid w:val="00DB6F26"/>
    <w:rsid w:val="00DB707E"/>
    <w:rsid w:val="00DB799B"/>
    <w:rsid w:val="00DB79BB"/>
    <w:rsid w:val="00DB7A0B"/>
    <w:rsid w:val="00DB7D02"/>
    <w:rsid w:val="00DB7E6A"/>
    <w:rsid w:val="00DB7E7E"/>
    <w:rsid w:val="00DC02AC"/>
    <w:rsid w:val="00DC03C7"/>
    <w:rsid w:val="00DC0D0F"/>
    <w:rsid w:val="00DC0EF9"/>
    <w:rsid w:val="00DC1038"/>
    <w:rsid w:val="00DC1317"/>
    <w:rsid w:val="00DC13B6"/>
    <w:rsid w:val="00DC145C"/>
    <w:rsid w:val="00DC1B8B"/>
    <w:rsid w:val="00DC1F39"/>
    <w:rsid w:val="00DC248B"/>
    <w:rsid w:val="00DC2594"/>
    <w:rsid w:val="00DC29AD"/>
    <w:rsid w:val="00DC29AF"/>
    <w:rsid w:val="00DC2A1A"/>
    <w:rsid w:val="00DC2A64"/>
    <w:rsid w:val="00DC2B06"/>
    <w:rsid w:val="00DC2BFC"/>
    <w:rsid w:val="00DC2C5B"/>
    <w:rsid w:val="00DC2E2B"/>
    <w:rsid w:val="00DC3D8C"/>
    <w:rsid w:val="00DC44FC"/>
    <w:rsid w:val="00DC4885"/>
    <w:rsid w:val="00DC5328"/>
    <w:rsid w:val="00DC5942"/>
    <w:rsid w:val="00DC5C89"/>
    <w:rsid w:val="00DC5E0B"/>
    <w:rsid w:val="00DC5E60"/>
    <w:rsid w:val="00DC643D"/>
    <w:rsid w:val="00DC6884"/>
    <w:rsid w:val="00DC72F5"/>
    <w:rsid w:val="00DC7A25"/>
    <w:rsid w:val="00DC7BDC"/>
    <w:rsid w:val="00DD034B"/>
    <w:rsid w:val="00DD0913"/>
    <w:rsid w:val="00DD0B51"/>
    <w:rsid w:val="00DD0CCA"/>
    <w:rsid w:val="00DD0E70"/>
    <w:rsid w:val="00DD0FC1"/>
    <w:rsid w:val="00DD13B8"/>
    <w:rsid w:val="00DD1514"/>
    <w:rsid w:val="00DD1694"/>
    <w:rsid w:val="00DD17DF"/>
    <w:rsid w:val="00DD1865"/>
    <w:rsid w:val="00DD1D92"/>
    <w:rsid w:val="00DD1F10"/>
    <w:rsid w:val="00DD28AC"/>
    <w:rsid w:val="00DD2A5B"/>
    <w:rsid w:val="00DD2BE8"/>
    <w:rsid w:val="00DD2C3F"/>
    <w:rsid w:val="00DD2F86"/>
    <w:rsid w:val="00DD3093"/>
    <w:rsid w:val="00DD31CF"/>
    <w:rsid w:val="00DD31DA"/>
    <w:rsid w:val="00DD334E"/>
    <w:rsid w:val="00DD3530"/>
    <w:rsid w:val="00DD358E"/>
    <w:rsid w:val="00DD3622"/>
    <w:rsid w:val="00DD38E0"/>
    <w:rsid w:val="00DD4219"/>
    <w:rsid w:val="00DD4344"/>
    <w:rsid w:val="00DD4461"/>
    <w:rsid w:val="00DD4465"/>
    <w:rsid w:val="00DD4AE0"/>
    <w:rsid w:val="00DD4D58"/>
    <w:rsid w:val="00DD4EC7"/>
    <w:rsid w:val="00DD5266"/>
    <w:rsid w:val="00DD5805"/>
    <w:rsid w:val="00DD5ADC"/>
    <w:rsid w:val="00DD5D00"/>
    <w:rsid w:val="00DD5FE7"/>
    <w:rsid w:val="00DD6006"/>
    <w:rsid w:val="00DD61F2"/>
    <w:rsid w:val="00DD6669"/>
    <w:rsid w:val="00DD6C84"/>
    <w:rsid w:val="00DD6FA7"/>
    <w:rsid w:val="00DD6FB6"/>
    <w:rsid w:val="00DD6FF8"/>
    <w:rsid w:val="00DD7162"/>
    <w:rsid w:val="00DD722F"/>
    <w:rsid w:val="00DD74B5"/>
    <w:rsid w:val="00DD7F5F"/>
    <w:rsid w:val="00DE0702"/>
    <w:rsid w:val="00DE072A"/>
    <w:rsid w:val="00DE076D"/>
    <w:rsid w:val="00DE08BB"/>
    <w:rsid w:val="00DE0BB8"/>
    <w:rsid w:val="00DE0D07"/>
    <w:rsid w:val="00DE102E"/>
    <w:rsid w:val="00DE14BD"/>
    <w:rsid w:val="00DE1837"/>
    <w:rsid w:val="00DE1860"/>
    <w:rsid w:val="00DE249E"/>
    <w:rsid w:val="00DE288E"/>
    <w:rsid w:val="00DE2C30"/>
    <w:rsid w:val="00DE3032"/>
    <w:rsid w:val="00DE308A"/>
    <w:rsid w:val="00DE30A2"/>
    <w:rsid w:val="00DE35B5"/>
    <w:rsid w:val="00DE35D6"/>
    <w:rsid w:val="00DE3891"/>
    <w:rsid w:val="00DE3B56"/>
    <w:rsid w:val="00DE3CC5"/>
    <w:rsid w:val="00DE4A53"/>
    <w:rsid w:val="00DE4AB2"/>
    <w:rsid w:val="00DE5537"/>
    <w:rsid w:val="00DE585A"/>
    <w:rsid w:val="00DE5878"/>
    <w:rsid w:val="00DE58DE"/>
    <w:rsid w:val="00DE58FE"/>
    <w:rsid w:val="00DE5B2C"/>
    <w:rsid w:val="00DE5B4B"/>
    <w:rsid w:val="00DE5E99"/>
    <w:rsid w:val="00DE5ED3"/>
    <w:rsid w:val="00DE6032"/>
    <w:rsid w:val="00DE60CA"/>
    <w:rsid w:val="00DE60EC"/>
    <w:rsid w:val="00DE6840"/>
    <w:rsid w:val="00DE6899"/>
    <w:rsid w:val="00DE68F2"/>
    <w:rsid w:val="00DE706B"/>
    <w:rsid w:val="00DE712D"/>
    <w:rsid w:val="00DE7318"/>
    <w:rsid w:val="00DE7427"/>
    <w:rsid w:val="00DE788A"/>
    <w:rsid w:val="00DE7A57"/>
    <w:rsid w:val="00DE7DE1"/>
    <w:rsid w:val="00DF0652"/>
    <w:rsid w:val="00DF0ADB"/>
    <w:rsid w:val="00DF0EBD"/>
    <w:rsid w:val="00DF168B"/>
    <w:rsid w:val="00DF1A60"/>
    <w:rsid w:val="00DF2190"/>
    <w:rsid w:val="00DF2687"/>
    <w:rsid w:val="00DF2765"/>
    <w:rsid w:val="00DF276C"/>
    <w:rsid w:val="00DF2BBB"/>
    <w:rsid w:val="00DF318C"/>
    <w:rsid w:val="00DF363A"/>
    <w:rsid w:val="00DF368B"/>
    <w:rsid w:val="00DF36E9"/>
    <w:rsid w:val="00DF3899"/>
    <w:rsid w:val="00DF38DD"/>
    <w:rsid w:val="00DF3B76"/>
    <w:rsid w:val="00DF3E3F"/>
    <w:rsid w:val="00DF4423"/>
    <w:rsid w:val="00DF4786"/>
    <w:rsid w:val="00DF4F6B"/>
    <w:rsid w:val="00DF4F79"/>
    <w:rsid w:val="00DF55D9"/>
    <w:rsid w:val="00DF569F"/>
    <w:rsid w:val="00DF5981"/>
    <w:rsid w:val="00DF59E0"/>
    <w:rsid w:val="00DF5B55"/>
    <w:rsid w:val="00DF5E73"/>
    <w:rsid w:val="00DF611E"/>
    <w:rsid w:val="00DF627F"/>
    <w:rsid w:val="00DF676F"/>
    <w:rsid w:val="00DF6E1A"/>
    <w:rsid w:val="00DF77A7"/>
    <w:rsid w:val="00DF7D55"/>
    <w:rsid w:val="00DF7F2B"/>
    <w:rsid w:val="00E001A0"/>
    <w:rsid w:val="00E0020C"/>
    <w:rsid w:val="00E005D7"/>
    <w:rsid w:val="00E0099F"/>
    <w:rsid w:val="00E00D91"/>
    <w:rsid w:val="00E00EBB"/>
    <w:rsid w:val="00E01181"/>
    <w:rsid w:val="00E01405"/>
    <w:rsid w:val="00E0186E"/>
    <w:rsid w:val="00E021C4"/>
    <w:rsid w:val="00E0267A"/>
    <w:rsid w:val="00E03076"/>
    <w:rsid w:val="00E03679"/>
    <w:rsid w:val="00E03B5F"/>
    <w:rsid w:val="00E0408B"/>
    <w:rsid w:val="00E041B4"/>
    <w:rsid w:val="00E04539"/>
    <w:rsid w:val="00E04746"/>
    <w:rsid w:val="00E048CD"/>
    <w:rsid w:val="00E0495A"/>
    <w:rsid w:val="00E049B3"/>
    <w:rsid w:val="00E04BEF"/>
    <w:rsid w:val="00E04F73"/>
    <w:rsid w:val="00E04F91"/>
    <w:rsid w:val="00E051FB"/>
    <w:rsid w:val="00E0561B"/>
    <w:rsid w:val="00E057E5"/>
    <w:rsid w:val="00E05A55"/>
    <w:rsid w:val="00E06386"/>
    <w:rsid w:val="00E0658A"/>
    <w:rsid w:val="00E06614"/>
    <w:rsid w:val="00E066ED"/>
    <w:rsid w:val="00E067C5"/>
    <w:rsid w:val="00E072FE"/>
    <w:rsid w:val="00E07542"/>
    <w:rsid w:val="00E0783F"/>
    <w:rsid w:val="00E0792F"/>
    <w:rsid w:val="00E07A69"/>
    <w:rsid w:val="00E07A7E"/>
    <w:rsid w:val="00E07E86"/>
    <w:rsid w:val="00E10375"/>
    <w:rsid w:val="00E104D7"/>
    <w:rsid w:val="00E108C2"/>
    <w:rsid w:val="00E10E34"/>
    <w:rsid w:val="00E1102C"/>
    <w:rsid w:val="00E11176"/>
    <w:rsid w:val="00E1128E"/>
    <w:rsid w:val="00E11384"/>
    <w:rsid w:val="00E11482"/>
    <w:rsid w:val="00E114C1"/>
    <w:rsid w:val="00E114ED"/>
    <w:rsid w:val="00E11543"/>
    <w:rsid w:val="00E11671"/>
    <w:rsid w:val="00E11688"/>
    <w:rsid w:val="00E118CB"/>
    <w:rsid w:val="00E119F9"/>
    <w:rsid w:val="00E11A52"/>
    <w:rsid w:val="00E11EE0"/>
    <w:rsid w:val="00E11FBA"/>
    <w:rsid w:val="00E122A2"/>
    <w:rsid w:val="00E12F37"/>
    <w:rsid w:val="00E12F6F"/>
    <w:rsid w:val="00E13331"/>
    <w:rsid w:val="00E13764"/>
    <w:rsid w:val="00E1376F"/>
    <w:rsid w:val="00E13974"/>
    <w:rsid w:val="00E13E02"/>
    <w:rsid w:val="00E1432E"/>
    <w:rsid w:val="00E1463E"/>
    <w:rsid w:val="00E1490B"/>
    <w:rsid w:val="00E14BA7"/>
    <w:rsid w:val="00E14BF6"/>
    <w:rsid w:val="00E157F8"/>
    <w:rsid w:val="00E15C25"/>
    <w:rsid w:val="00E15F07"/>
    <w:rsid w:val="00E1608F"/>
    <w:rsid w:val="00E16373"/>
    <w:rsid w:val="00E16B5A"/>
    <w:rsid w:val="00E16F52"/>
    <w:rsid w:val="00E172E4"/>
    <w:rsid w:val="00E1732D"/>
    <w:rsid w:val="00E17906"/>
    <w:rsid w:val="00E17B70"/>
    <w:rsid w:val="00E17C1F"/>
    <w:rsid w:val="00E200F4"/>
    <w:rsid w:val="00E20699"/>
    <w:rsid w:val="00E207BF"/>
    <w:rsid w:val="00E20924"/>
    <w:rsid w:val="00E21238"/>
    <w:rsid w:val="00E21587"/>
    <w:rsid w:val="00E21782"/>
    <w:rsid w:val="00E21B41"/>
    <w:rsid w:val="00E21CCA"/>
    <w:rsid w:val="00E21CFC"/>
    <w:rsid w:val="00E21E5F"/>
    <w:rsid w:val="00E21E88"/>
    <w:rsid w:val="00E21EEA"/>
    <w:rsid w:val="00E2227E"/>
    <w:rsid w:val="00E222BF"/>
    <w:rsid w:val="00E22482"/>
    <w:rsid w:val="00E22AB7"/>
    <w:rsid w:val="00E22BBA"/>
    <w:rsid w:val="00E22E89"/>
    <w:rsid w:val="00E22F16"/>
    <w:rsid w:val="00E23044"/>
    <w:rsid w:val="00E231FE"/>
    <w:rsid w:val="00E235B1"/>
    <w:rsid w:val="00E235B2"/>
    <w:rsid w:val="00E23758"/>
    <w:rsid w:val="00E23AD0"/>
    <w:rsid w:val="00E23CF4"/>
    <w:rsid w:val="00E23D9C"/>
    <w:rsid w:val="00E2403D"/>
    <w:rsid w:val="00E24312"/>
    <w:rsid w:val="00E247F7"/>
    <w:rsid w:val="00E24969"/>
    <w:rsid w:val="00E24AF5"/>
    <w:rsid w:val="00E2539F"/>
    <w:rsid w:val="00E25808"/>
    <w:rsid w:val="00E25896"/>
    <w:rsid w:val="00E25B68"/>
    <w:rsid w:val="00E25C40"/>
    <w:rsid w:val="00E2625B"/>
    <w:rsid w:val="00E26563"/>
    <w:rsid w:val="00E26810"/>
    <w:rsid w:val="00E269B4"/>
    <w:rsid w:val="00E26EEF"/>
    <w:rsid w:val="00E26FD9"/>
    <w:rsid w:val="00E27438"/>
    <w:rsid w:val="00E27455"/>
    <w:rsid w:val="00E275C1"/>
    <w:rsid w:val="00E275FE"/>
    <w:rsid w:val="00E276F4"/>
    <w:rsid w:val="00E2773F"/>
    <w:rsid w:val="00E303F8"/>
    <w:rsid w:val="00E30837"/>
    <w:rsid w:val="00E30977"/>
    <w:rsid w:val="00E30A5D"/>
    <w:rsid w:val="00E30EAF"/>
    <w:rsid w:val="00E30F3B"/>
    <w:rsid w:val="00E31032"/>
    <w:rsid w:val="00E3105D"/>
    <w:rsid w:val="00E3142F"/>
    <w:rsid w:val="00E31674"/>
    <w:rsid w:val="00E31A81"/>
    <w:rsid w:val="00E31A9B"/>
    <w:rsid w:val="00E31C90"/>
    <w:rsid w:val="00E31C92"/>
    <w:rsid w:val="00E31E53"/>
    <w:rsid w:val="00E31FA5"/>
    <w:rsid w:val="00E3209E"/>
    <w:rsid w:val="00E325DC"/>
    <w:rsid w:val="00E325F5"/>
    <w:rsid w:val="00E3283B"/>
    <w:rsid w:val="00E328A5"/>
    <w:rsid w:val="00E32C65"/>
    <w:rsid w:val="00E32FC6"/>
    <w:rsid w:val="00E33004"/>
    <w:rsid w:val="00E33AA5"/>
    <w:rsid w:val="00E33E26"/>
    <w:rsid w:val="00E33E69"/>
    <w:rsid w:val="00E3427B"/>
    <w:rsid w:val="00E3450F"/>
    <w:rsid w:val="00E3479A"/>
    <w:rsid w:val="00E34A56"/>
    <w:rsid w:val="00E34EB6"/>
    <w:rsid w:val="00E34EF2"/>
    <w:rsid w:val="00E35058"/>
    <w:rsid w:val="00E35B9F"/>
    <w:rsid w:val="00E35BA4"/>
    <w:rsid w:val="00E36268"/>
    <w:rsid w:val="00E36AA0"/>
    <w:rsid w:val="00E36D15"/>
    <w:rsid w:val="00E36DFA"/>
    <w:rsid w:val="00E36E32"/>
    <w:rsid w:val="00E37100"/>
    <w:rsid w:val="00E3740E"/>
    <w:rsid w:val="00E377DA"/>
    <w:rsid w:val="00E37A8E"/>
    <w:rsid w:val="00E37B62"/>
    <w:rsid w:val="00E37CF9"/>
    <w:rsid w:val="00E37D84"/>
    <w:rsid w:val="00E40292"/>
    <w:rsid w:val="00E40300"/>
    <w:rsid w:val="00E40497"/>
    <w:rsid w:val="00E404B4"/>
    <w:rsid w:val="00E405CD"/>
    <w:rsid w:val="00E4091F"/>
    <w:rsid w:val="00E409DF"/>
    <w:rsid w:val="00E40CAC"/>
    <w:rsid w:val="00E40F55"/>
    <w:rsid w:val="00E41132"/>
    <w:rsid w:val="00E4122E"/>
    <w:rsid w:val="00E41236"/>
    <w:rsid w:val="00E416E6"/>
    <w:rsid w:val="00E41A5D"/>
    <w:rsid w:val="00E42568"/>
    <w:rsid w:val="00E425BC"/>
    <w:rsid w:val="00E4265A"/>
    <w:rsid w:val="00E4269C"/>
    <w:rsid w:val="00E42D5B"/>
    <w:rsid w:val="00E43021"/>
    <w:rsid w:val="00E4350D"/>
    <w:rsid w:val="00E43580"/>
    <w:rsid w:val="00E43806"/>
    <w:rsid w:val="00E43AB4"/>
    <w:rsid w:val="00E43BE7"/>
    <w:rsid w:val="00E44077"/>
    <w:rsid w:val="00E44092"/>
    <w:rsid w:val="00E44528"/>
    <w:rsid w:val="00E445CB"/>
    <w:rsid w:val="00E44674"/>
    <w:rsid w:val="00E44A1E"/>
    <w:rsid w:val="00E44A26"/>
    <w:rsid w:val="00E44E00"/>
    <w:rsid w:val="00E44E8F"/>
    <w:rsid w:val="00E4505F"/>
    <w:rsid w:val="00E45213"/>
    <w:rsid w:val="00E45373"/>
    <w:rsid w:val="00E453CC"/>
    <w:rsid w:val="00E45680"/>
    <w:rsid w:val="00E45978"/>
    <w:rsid w:val="00E45C64"/>
    <w:rsid w:val="00E46359"/>
    <w:rsid w:val="00E463CB"/>
    <w:rsid w:val="00E4682F"/>
    <w:rsid w:val="00E46D5C"/>
    <w:rsid w:val="00E47146"/>
    <w:rsid w:val="00E47223"/>
    <w:rsid w:val="00E47D30"/>
    <w:rsid w:val="00E50013"/>
    <w:rsid w:val="00E50189"/>
    <w:rsid w:val="00E50307"/>
    <w:rsid w:val="00E5094C"/>
    <w:rsid w:val="00E50A62"/>
    <w:rsid w:val="00E50DF8"/>
    <w:rsid w:val="00E5139C"/>
    <w:rsid w:val="00E51756"/>
    <w:rsid w:val="00E517B6"/>
    <w:rsid w:val="00E5196A"/>
    <w:rsid w:val="00E5199D"/>
    <w:rsid w:val="00E51E35"/>
    <w:rsid w:val="00E523F2"/>
    <w:rsid w:val="00E5244F"/>
    <w:rsid w:val="00E524C4"/>
    <w:rsid w:val="00E52587"/>
    <w:rsid w:val="00E525B3"/>
    <w:rsid w:val="00E52EEB"/>
    <w:rsid w:val="00E52FBD"/>
    <w:rsid w:val="00E537A7"/>
    <w:rsid w:val="00E53A6B"/>
    <w:rsid w:val="00E53A86"/>
    <w:rsid w:val="00E53D33"/>
    <w:rsid w:val="00E53E3B"/>
    <w:rsid w:val="00E53EC9"/>
    <w:rsid w:val="00E53F4A"/>
    <w:rsid w:val="00E542D8"/>
    <w:rsid w:val="00E5453F"/>
    <w:rsid w:val="00E54642"/>
    <w:rsid w:val="00E546CB"/>
    <w:rsid w:val="00E54A78"/>
    <w:rsid w:val="00E54F16"/>
    <w:rsid w:val="00E54FBC"/>
    <w:rsid w:val="00E552A6"/>
    <w:rsid w:val="00E5563F"/>
    <w:rsid w:val="00E55812"/>
    <w:rsid w:val="00E55BC4"/>
    <w:rsid w:val="00E55D9E"/>
    <w:rsid w:val="00E55FE9"/>
    <w:rsid w:val="00E5651A"/>
    <w:rsid w:val="00E56556"/>
    <w:rsid w:val="00E56733"/>
    <w:rsid w:val="00E56BAD"/>
    <w:rsid w:val="00E56F63"/>
    <w:rsid w:val="00E56F75"/>
    <w:rsid w:val="00E573AB"/>
    <w:rsid w:val="00E5740E"/>
    <w:rsid w:val="00E57FF5"/>
    <w:rsid w:val="00E600D4"/>
    <w:rsid w:val="00E6041C"/>
    <w:rsid w:val="00E609E2"/>
    <w:rsid w:val="00E60DA1"/>
    <w:rsid w:val="00E60E0C"/>
    <w:rsid w:val="00E6144C"/>
    <w:rsid w:val="00E6164E"/>
    <w:rsid w:val="00E61691"/>
    <w:rsid w:val="00E617A5"/>
    <w:rsid w:val="00E62140"/>
    <w:rsid w:val="00E625DB"/>
    <w:rsid w:val="00E626A1"/>
    <w:rsid w:val="00E626AB"/>
    <w:rsid w:val="00E62905"/>
    <w:rsid w:val="00E62B6A"/>
    <w:rsid w:val="00E62BC1"/>
    <w:rsid w:val="00E62BCB"/>
    <w:rsid w:val="00E62DC6"/>
    <w:rsid w:val="00E6340F"/>
    <w:rsid w:val="00E634AB"/>
    <w:rsid w:val="00E645FC"/>
    <w:rsid w:val="00E64C83"/>
    <w:rsid w:val="00E64D81"/>
    <w:rsid w:val="00E64E0A"/>
    <w:rsid w:val="00E6518F"/>
    <w:rsid w:val="00E65251"/>
    <w:rsid w:val="00E65348"/>
    <w:rsid w:val="00E655DC"/>
    <w:rsid w:val="00E65C50"/>
    <w:rsid w:val="00E66271"/>
    <w:rsid w:val="00E665C4"/>
    <w:rsid w:val="00E667DC"/>
    <w:rsid w:val="00E66B4A"/>
    <w:rsid w:val="00E66D03"/>
    <w:rsid w:val="00E66E38"/>
    <w:rsid w:val="00E674BE"/>
    <w:rsid w:val="00E6772B"/>
    <w:rsid w:val="00E67760"/>
    <w:rsid w:val="00E677DA"/>
    <w:rsid w:val="00E67A4A"/>
    <w:rsid w:val="00E67CB8"/>
    <w:rsid w:val="00E67DCF"/>
    <w:rsid w:val="00E70628"/>
    <w:rsid w:val="00E70E94"/>
    <w:rsid w:val="00E71032"/>
    <w:rsid w:val="00E71192"/>
    <w:rsid w:val="00E71237"/>
    <w:rsid w:val="00E71841"/>
    <w:rsid w:val="00E71B45"/>
    <w:rsid w:val="00E72024"/>
    <w:rsid w:val="00E72325"/>
    <w:rsid w:val="00E72C76"/>
    <w:rsid w:val="00E72E64"/>
    <w:rsid w:val="00E72F8D"/>
    <w:rsid w:val="00E73025"/>
    <w:rsid w:val="00E732AE"/>
    <w:rsid w:val="00E73C56"/>
    <w:rsid w:val="00E73FF8"/>
    <w:rsid w:val="00E742F6"/>
    <w:rsid w:val="00E7431D"/>
    <w:rsid w:val="00E7443F"/>
    <w:rsid w:val="00E746B5"/>
    <w:rsid w:val="00E74921"/>
    <w:rsid w:val="00E74B87"/>
    <w:rsid w:val="00E74CC7"/>
    <w:rsid w:val="00E74D07"/>
    <w:rsid w:val="00E74EFC"/>
    <w:rsid w:val="00E75123"/>
    <w:rsid w:val="00E751BA"/>
    <w:rsid w:val="00E75353"/>
    <w:rsid w:val="00E75A6B"/>
    <w:rsid w:val="00E76440"/>
    <w:rsid w:val="00E76448"/>
    <w:rsid w:val="00E76505"/>
    <w:rsid w:val="00E77701"/>
    <w:rsid w:val="00E77B49"/>
    <w:rsid w:val="00E77CEF"/>
    <w:rsid w:val="00E77E81"/>
    <w:rsid w:val="00E80236"/>
    <w:rsid w:val="00E805BA"/>
    <w:rsid w:val="00E80732"/>
    <w:rsid w:val="00E80792"/>
    <w:rsid w:val="00E80D78"/>
    <w:rsid w:val="00E81399"/>
    <w:rsid w:val="00E81689"/>
    <w:rsid w:val="00E817A4"/>
    <w:rsid w:val="00E81B2E"/>
    <w:rsid w:val="00E823D3"/>
    <w:rsid w:val="00E8268B"/>
    <w:rsid w:val="00E826C3"/>
    <w:rsid w:val="00E828D5"/>
    <w:rsid w:val="00E82982"/>
    <w:rsid w:val="00E82FB5"/>
    <w:rsid w:val="00E83120"/>
    <w:rsid w:val="00E8398B"/>
    <w:rsid w:val="00E83FC0"/>
    <w:rsid w:val="00E848BE"/>
    <w:rsid w:val="00E848CE"/>
    <w:rsid w:val="00E84908"/>
    <w:rsid w:val="00E84998"/>
    <w:rsid w:val="00E84DC8"/>
    <w:rsid w:val="00E84E38"/>
    <w:rsid w:val="00E852C3"/>
    <w:rsid w:val="00E856E4"/>
    <w:rsid w:val="00E858A0"/>
    <w:rsid w:val="00E85B14"/>
    <w:rsid w:val="00E85BFC"/>
    <w:rsid w:val="00E85E48"/>
    <w:rsid w:val="00E85F7B"/>
    <w:rsid w:val="00E86052"/>
    <w:rsid w:val="00E86487"/>
    <w:rsid w:val="00E865F2"/>
    <w:rsid w:val="00E86995"/>
    <w:rsid w:val="00E869F9"/>
    <w:rsid w:val="00E86A8F"/>
    <w:rsid w:val="00E86AF1"/>
    <w:rsid w:val="00E86CEB"/>
    <w:rsid w:val="00E86ECE"/>
    <w:rsid w:val="00E86FF5"/>
    <w:rsid w:val="00E8704B"/>
    <w:rsid w:val="00E872D9"/>
    <w:rsid w:val="00E876C0"/>
    <w:rsid w:val="00E87751"/>
    <w:rsid w:val="00E87A31"/>
    <w:rsid w:val="00E90405"/>
    <w:rsid w:val="00E904D3"/>
    <w:rsid w:val="00E9073E"/>
    <w:rsid w:val="00E907D9"/>
    <w:rsid w:val="00E912D2"/>
    <w:rsid w:val="00E915F1"/>
    <w:rsid w:val="00E91922"/>
    <w:rsid w:val="00E91D27"/>
    <w:rsid w:val="00E9211A"/>
    <w:rsid w:val="00E92269"/>
    <w:rsid w:val="00E9231F"/>
    <w:rsid w:val="00E92656"/>
    <w:rsid w:val="00E9268A"/>
    <w:rsid w:val="00E930B0"/>
    <w:rsid w:val="00E93715"/>
    <w:rsid w:val="00E93738"/>
    <w:rsid w:val="00E93823"/>
    <w:rsid w:val="00E93A06"/>
    <w:rsid w:val="00E93AFA"/>
    <w:rsid w:val="00E93EA5"/>
    <w:rsid w:val="00E93F1A"/>
    <w:rsid w:val="00E94176"/>
    <w:rsid w:val="00E944D2"/>
    <w:rsid w:val="00E9452D"/>
    <w:rsid w:val="00E948D2"/>
    <w:rsid w:val="00E94C30"/>
    <w:rsid w:val="00E94D63"/>
    <w:rsid w:val="00E94FC8"/>
    <w:rsid w:val="00E95440"/>
    <w:rsid w:val="00E95797"/>
    <w:rsid w:val="00E95C7E"/>
    <w:rsid w:val="00E95D1D"/>
    <w:rsid w:val="00E9650C"/>
    <w:rsid w:val="00E965ED"/>
    <w:rsid w:val="00E96B60"/>
    <w:rsid w:val="00E96C36"/>
    <w:rsid w:val="00E96CEB"/>
    <w:rsid w:val="00E973A8"/>
    <w:rsid w:val="00E9782A"/>
    <w:rsid w:val="00E9792B"/>
    <w:rsid w:val="00E9795F"/>
    <w:rsid w:val="00E9798D"/>
    <w:rsid w:val="00E97C13"/>
    <w:rsid w:val="00E97C9D"/>
    <w:rsid w:val="00E97E65"/>
    <w:rsid w:val="00EA0765"/>
    <w:rsid w:val="00EA07FF"/>
    <w:rsid w:val="00EA0B56"/>
    <w:rsid w:val="00EA0C32"/>
    <w:rsid w:val="00EA0D73"/>
    <w:rsid w:val="00EA0DA2"/>
    <w:rsid w:val="00EA0E41"/>
    <w:rsid w:val="00EA0F07"/>
    <w:rsid w:val="00EA1670"/>
    <w:rsid w:val="00EA1C55"/>
    <w:rsid w:val="00EA1C92"/>
    <w:rsid w:val="00EA1F2A"/>
    <w:rsid w:val="00EA2268"/>
    <w:rsid w:val="00EA2280"/>
    <w:rsid w:val="00EA2287"/>
    <w:rsid w:val="00EA2407"/>
    <w:rsid w:val="00EA28C8"/>
    <w:rsid w:val="00EA2900"/>
    <w:rsid w:val="00EA29DE"/>
    <w:rsid w:val="00EA2ABB"/>
    <w:rsid w:val="00EA3309"/>
    <w:rsid w:val="00EA33A3"/>
    <w:rsid w:val="00EA35A7"/>
    <w:rsid w:val="00EA35AE"/>
    <w:rsid w:val="00EA3A99"/>
    <w:rsid w:val="00EA3D4F"/>
    <w:rsid w:val="00EA4961"/>
    <w:rsid w:val="00EA5036"/>
    <w:rsid w:val="00EA520D"/>
    <w:rsid w:val="00EA5375"/>
    <w:rsid w:val="00EA54E9"/>
    <w:rsid w:val="00EA5959"/>
    <w:rsid w:val="00EA5CA9"/>
    <w:rsid w:val="00EA5E24"/>
    <w:rsid w:val="00EA5EA2"/>
    <w:rsid w:val="00EA6ADB"/>
    <w:rsid w:val="00EA6C4F"/>
    <w:rsid w:val="00EA6EF0"/>
    <w:rsid w:val="00EA7042"/>
    <w:rsid w:val="00EA7477"/>
    <w:rsid w:val="00EA7937"/>
    <w:rsid w:val="00EA7E0D"/>
    <w:rsid w:val="00EA7E2F"/>
    <w:rsid w:val="00EB0479"/>
    <w:rsid w:val="00EB0810"/>
    <w:rsid w:val="00EB0BE8"/>
    <w:rsid w:val="00EB1034"/>
    <w:rsid w:val="00EB1F3A"/>
    <w:rsid w:val="00EB2284"/>
    <w:rsid w:val="00EB2415"/>
    <w:rsid w:val="00EB2421"/>
    <w:rsid w:val="00EB26D2"/>
    <w:rsid w:val="00EB28B2"/>
    <w:rsid w:val="00EB2A1B"/>
    <w:rsid w:val="00EB2C08"/>
    <w:rsid w:val="00EB2ED7"/>
    <w:rsid w:val="00EB33BA"/>
    <w:rsid w:val="00EB3813"/>
    <w:rsid w:val="00EB3918"/>
    <w:rsid w:val="00EB3A65"/>
    <w:rsid w:val="00EB3F47"/>
    <w:rsid w:val="00EB3F56"/>
    <w:rsid w:val="00EB3F6C"/>
    <w:rsid w:val="00EB4310"/>
    <w:rsid w:val="00EB48A8"/>
    <w:rsid w:val="00EB513C"/>
    <w:rsid w:val="00EB517E"/>
    <w:rsid w:val="00EB521C"/>
    <w:rsid w:val="00EB5331"/>
    <w:rsid w:val="00EB5402"/>
    <w:rsid w:val="00EB585A"/>
    <w:rsid w:val="00EB5A71"/>
    <w:rsid w:val="00EB5E63"/>
    <w:rsid w:val="00EB6196"/>
    <w:rsid w:val="00EB6634"/>
    <w:rsid w:val="00EB6A2E"/>
    <w:rsid w:val="00EB6B12"/>
    <w:rsid w:val="00EB6E63"/>
    <w:rsid w:val="00EB6F53"/>
    <w:rsid w:val="00EB766E"/>
    <w:rsid w:val="00EB7747"/>
    <w:rsid w:val="00EB7DE3"/>
    <w:rsid w:val="00EB7E76"/>
    <w:rsid w:val="00EB7F26"/>
    <w:rsid w:val="00EC0158"/>
    <w:rsid w:val="00EC0240"/>
    <w:rsid w:val="00EC039C"/>
    <w:rsid w:val="00EC04F0"/>
    <w:rsid w:val="00EC079E"/>
    <w:rsid w:val="00EC0AB2"/>
    <w:rsid w:val="00EC0D15"/>
    <w:rsid w:val="00EC13C7"/>
    <w:rsid w:val="00EC1ACF"/>
    <w:rsid w:val="00EC1B13"/>
    <w:rsid w:val="00EC1B6C"/>
    <w:rsid w:val="00EC1D40"/>
    <w:rsid w:val="00EC1D9C"/>
    <w:rsid w:val="00EC1FD8"/>
    <w:rsid w:val="00EC20E7"/>
    <w:rsid w:val="00EC2210"/>
    <w:rsid w:val="00EC24D4"/>
    <w:rsid w:val="00EC29DE"/>
    <w:rsid w:val="00EC2CEE"/>
    <w:rsid w:val="00EC2D2B"/>
    <w:rsid w:val="00EC2F70"/>
    <w:rsid w:val="00EC3221"/>
    <w:rsid w:val="00EC44FA"/>
    <w:rsid w:val="00EC4737"/>
    <w:rsid w:val="00EC47B4"/>
    <w:rsid w:val="00EC480A"/>
    <w:rsid w:val="00EC498D"/>
    <w:rsid w:val="00EC49E6"/>
    <w:rsid w:val="00EC4B69"/>
    <w:rsid w:val="00EC4DAB"/>
    <w:rsid w:val="00EC506E"/>
    <w:rsid w:val="00EC51D8"/>
    <w:rsid w:val="00EC521E"/>
    <w:rsid w:val="00EC5630"/>
    <w:rsid w:val="00EC5A51"/>
    <w:rsid w:val="00EC5A96"/>
    <w:rsid w:val="00EC5C8C"/>
    <w:rsid w:val="00EC5FC1"/>
    <w:rsid w:val="00EC6159"/>
    <w:rsid w:val="00EC6301"/>
    <w:rsid w:val="00EC67AB"/>
    <w:rsid w:val="00EC67CC"/>
    <w:rsid w:val="00EC687F"/>
    <w:rsid w:val="00EC690E"/>
    <w:rsid w:val="00EC7058"/>
    <w:rsid w:val="00EC7322"/>
    <w:rsid w:val="00EC7476"/>
    <w:rsid w:val="00EC7671"/>
    <w:rsid w:val="00EC767C"/>
    <w:rsid w:val="00EC779F"/>
    <w:rsid w:val="00EC7BC2"/>
    <w:rsid w:val="00ED041D"/>
    <w:rsid w:val="00ED0653"/>
    <w:rsid w:val="00ED0C85"/>
    <w:rsid w:val="00ED0FFE"/>
    <w:rsid w:val="00ED1025"/>
    <w:rsid w:val="00ED1125"/>
    <w:rsid w:val="00ED12B8"/>
    <w:rsid w:val="00ED1692"/>
    <w:rsid w:val="00ED16CF"/>
    <w:rsid w:val="00ED1799"/>
    <w:rsid w:val="00ED1B16"/>
    <w:rsid w:val="00ED1BDD"/>
    <w:rsid w:val="00ED1D06"/>
    <w:rsid w:val="00ED21FB"/>
    <w:rsid w:val="00ED27CE"/>
    <w:rsid w:val="00ED2B5A"/>
    <w:rsid w:val="00ED2F85"/>
    <w:rsid w:val="00ED3324"/>
    <w:rsid w:val="00ED36F0"/>
    <w:rsid w:val="00ED3753"/>
    <w:rsid w:val="00ED4320"/>
    <w:rsid w:val="00ED4660"/>
    <w:rsid w:val="00ED4909"/>
    <w:rsid w:val="00ED492E"/>
    <w:rsid w:val="00ED4A5B"/>
    <w:rsid w:val="00ED4D56"/>
    <w:rsid w:val="00ED56DC"/>
    <w:rsid w:val="00ED56ED"/>
    <w:rsid w:val="00ED57AA"/>
    <w:rsid w:val="00ED59AC"/>
    <w:rsid w:val="00ED5B3D"/>
    <w:rsid w:val="00ED69F2"/>
    <w:rsid w:val="00ED6A5E"/>
    <w:rsid w:val="00ED6D36"/>
    <w:rsid w:val="00ED6DAF"/>
    <w:rsid w:val="00ED705A"/>
    <w:rsid w:val="00ED71F6"/>
    <w:rsid w:val="00ED74FD"/>
    <w:rsid w:val="00ED762D"/>
    <w:rsid w:val="00ED76DF"/>
    <w:rsid w:val="00ED7876"/>
    <w:rsid w:val="00ED7E5F"/>
    <w:rsid w:val="00ED7FC8"/>
    <w:rsid w:val="00EE03A5"/>
    <w:rsid w:val="00EE03DD"/>
    <w:rsid w:val="00EE05F1"/>
    <w:rsid w:val="00EE07CA"/>
    <w:rsid w:val="00EE0CB0"/>
    <w:rsid w:val="00EE10CE"/>
    <w:rsid w:val="00EE1301"/>
    <w:rsid w:val="00EE18A1"/>
    <w:rsid w:val="00EE19B8"/>
    <w:rsid w:val="00EE1A9B"/>
    <w:rsid w:val="00EE1ADC"/>
    <w:rsid w:val="00EE1EED"/>
    <w:rsid w:val="00EE2184"/>
    <w:rsid w:val="00EE2A0A"/>
    <w:rsid w:val="00EE2C2C"/>
    <w:rsid w:val="00EE2EA0"/>
    <w:rsid w:val="00EE304D"/>
    <w:rsid w:val="00EE34EA"/>
    <w:rsid w:val="00EE372D"/>
    <w:rsid w:val="00EE39E1"/>
    <w:rsid w:val="00EE3B30"/>
    <w:rsid w:val="00EE3B99"/>
    <w:rsid w:val="00EE4526"/>
    <w:rsid w:val="00EE4873"/>
    <w:rsid w:val="00EE48B2"/>
    <w:rsid w:val="00EE48C2"/>
    <w:rsid w:val="00EE4D5A"/>
    <w:rsid w:val="00EE4D9D"/>
    <w:rsid w:val="00EE4DEB"/>
    <w:rsid w:val="00EE527F"/>
    <w:rsid w:val="00EE589F"/>
    <w:rsid w:val="00EE59FE"/>
    <w:rsid w:val="00EE5F93"/>
    <w:rsid w:val="00EE60E1"/>
    <w:rsid w:val="00EE63A2"/>
    <w:rsid w:val="00EE640A"/>
    <w:rsid w:val="00EE6586"/>
    <w:rsid w:val="00EE66F1"/>
    <w:rsid w:val="00EE723A"/>
    <w:rsid w:val="00EE74C3"/>
    <w:rsid w:val="00EE79EC"/>
    <w:rsid w:val="00EE7C2C"/>
    <w:rsid w:val="00EE7FC9"/>
    <w:rsid w:val="00EF00C7"/>
    <w:rsid w:val="00EF0685"/>
    <w:rsid w:val="00EF0826"/>
    <w:rsid w:val="00EF09AE"/>
    <w:rsid w:val="00EF0A73"/>
    <w:rsid w:val="00EF0AD8"/>
    <w:rsid w:val="00EF1054"/>
    <w:rsid w:val="00EF188E"/>
    <w:rsid w:val="00EF1CC0"/>
    <w:rsid w:val="00EF1CE4"/>
    <w:rsid w:val="00EF26F2"/>
    <w:rsid w:val="00EF29B3"/>
    <w:rsid w:val="00EF2EE8"/>
    <w:rsid w:val="00EF301E"/>
    <w:rsid w:val="00EF3A28"/>
    <w:rsid w:val="00EF3AD6"/>
    <w:rsid w:val="00EF3C80"/>
    <w:rsid w:val="00EF3DBB"/>
    <w:rsid w:val="00EF3F81"/>
    <w:rsid w:val="00EF403E"/>
    <w:rsid w:val="00EF4733"/>
    <w:rsid w:val="00EF4840"/>
    <w:rsid w:val="00EF484D"/>
    <w:rsid w:val="00EF4A2E"/>
    <w:rsid w:val="00EF4A4C"/>
    <w:rsid w:val="00EF5547"/>
    <w:rsid w:val="00EF555E"/>
    <w:rsid w:val="00EF560B"/>
    <w:rsid w:val="00EF58FB"/>
    <w:rsid w:val="00EF5A6E"/>
    <w:rsid w:val="00EF5B91"/>
    <w:rsid w:val="00EF5DD5"/>
    <w:rsid w:val="00EF5E74"/>
    <w:rsid w:val="00EF6120"/>
    <w:rsid w:val="00EF6820"/>
    <w:rsid w:val="00EF68F3"/>
    <w:rsid w:val="00EF6E3C"/>
    <w:rsid w:val="00EF74A3"/>
    <w:rsid w:val="00EF78CA"/>
    <w:rsid w:val="00EF7E62"/>
    <w:rsid w:val="00F00093"/>
    <w:rsid w:val="00F00126"/>
    <w:rsid w:val="00F00373"/>
    <w:rsid w:val="00F00390"/>
    <w:rsid w:val="00F01196"/>
    <w:rsid w:val="00F01502"/>
    <w:rsid w:val="00F0156F"/>
    <w:rsid w:val="00F01C1B"/>
    <w:rsid w:val="00F01EE2"/>
    <w:rsid w:val="00F027B7"/>
    <w:rsid w:val="00F02953"/>
    <w:rsid w:val="00F02DA0"/>
    <w:rsid w:val="00F02E0D"/>
    <w:rsid w:val="00F03854"/>
    <w:rsid w:val="00F03C59"/>
    <w:rsid w:val="00F04260"/>
    <w:rsid w:val="00F04513"/>
    <w:rsid w:val="00F0459C"/>
    <w:rsid w:val="00F045C9"/>
    <w:rsid w:val="00F046DE"/>
    <w:rsid w:val="00F04C06"/>
    <w:rsid w:val="00F04E17"/>
    <w:rsid w:val="00F058C3"/>
    <w:rsid w:val="00F05B37"/>
    <w:rsid w:val="00F05E6D"/>
    <w:rsid w:val="00F05EDA"/>
    <w:rsid w:val="00F05FF8"/>
    <w:rsid w:val="00F0600E"/>
    <w:rsid w:val="00F061F8"/>
    <w:rsid w:val="00F06A19"/>
    <w:rsid w:val="00F06A79"/>
    <w:rsid w:val="00F06AA4"/>
    <w:rsid w:val="00F07A31"/>
    <w:rsid w:val="00F07D2D"/>
    <w:rsid w:val="00F106C9"/>
    <w:rsid w:val="00F10996"/>
    <w:rsid w:val="00F11274"/>
    <w:rsid w:val="00F116AF"/>
    <w:rsid w:val="00F11741"/>
    <w:rsid w:val="00F1179D"/>
    <w:rsid w:val="00F11A86"/>
    <w:rsid w:val="00F11D0A"/>
    <w:rsid w:val="00F11FC8"/>
    <w:rsid w:val="00F122A2"/>
    <w:rsid w:val="00F12781"/>
    <w:rsid w:val="00F131EB"/>
    <w:rsid w:val="00F135F8"/>
    <w:rsid w:val="00F13903"/>
    <w:rsid w:val="00F139E0"/>
    <w:rsid w:val="00F13E9A"/>
    <w:rsid w:val="00F1441A"/>
    <w:rsid w:val="00F14488"/>
    <w:rsid w:val="00F14496"/>
    <w:rsid w:val="00F14883"/>
    <w:rsid w:val="00F14F24"/>
    <w:rsid w:val="00F14FC4"/>
    <w:rsid w:val="00F15AC7"/>
    <w:rsid w:val="00F162C6"/>
    <w:rsid w:val="00F16A8C"/>
    <w:rsid w:val="00F16B2E"/>
    <w:rsid w:val="00F16D4A"/>
    <w:rsid w:val="00F16DEA"/>
    <w:rsid w:val="00F171DD"/>
    <w:rsid w:val="00F17342"/>
    <w:rsid w:val="00F175E9"/>
    <w:rsid w:val="00F17EAA"/>
    <w:rsid w:val="00F201E7"/>
    <w:rsid w:val="00F2022C"/>
    <w:rsid w:val="00F2041C"/>
    <w:rsid w:val="00F20503"/>
    <w:rsid w:val="00F20EB1"/>
    <w:rsid w:val="00F20F85"/>
    <w:rsid w:val="00F210D6"/>
    <w:rsid w:val="00F21203"/>
    <w:rsid w:val="00F214D1"/>
    <w:rsid w:val="00F21912"/>
    <w:rsid w:val="00F21DE0"/>
    <w:rsid w:val="00F21FC1"/>
    <w:rsid w:val="00F222A8"/>
    <w:rsid w:val="00F2259A"/>
    <w:rsid w:val="00F2287E"/>
    <w:rsid w:val="00F22A1F"/>
    <w:rsid w:val="00F22AD6"/>
    <w:rsid w:val="00F22D48"/>
    <w:rsid w:val="00F2310A"/>
    <w:rsid w:val="00F2374E"/>
    <w:rsid w:val="00F23751"/>
    <w:rsid w:val="00F237AF"/>
    <w:rsid w:val="00F241EF"/>
    <w:rsid w:val="00F242F5"/>
    <w:rsid w:val="00F244E4"/>
    <w:rsid w:val="00F24ADB"/>
    <w:rsid w:val="00F24BC3"/>
    <w:rsid w:val="00F24F4A"/>
    <w:rsid w:val="00F25245"/>
    <w:rsid w:val="00F25811"/>
    <w:rsid w:val="00F25846"/>
    <w:rsid w:val="00F2585D"/>
    <w:rsid w:val="00F25AFC"/>
    <w:rsid w:val="00F25DAB"/>
    <w:rsid w:val="00F260EB"/>
    <w:rsid w:val="00F2614E"/>
    <w:rsid w:val="00F261F0"/>
    <w:rsid w:val="00F264E3"/>
    <w:rsid w:val="00F265CA"/>
    <w:rsid w:val="00F26857"/>
    <w:rsid w:val="00F2699A"/>
    <w:rsid w:val="00F26A8D"/>
    <w:rsid w:val="00F26C50"/>
    <w:rsid w:val="00F27048"/>
    <w:rsid w:val="00F27255"/>
    <w:rsid w:val="00F27EF8"/>
    <w:rsid w:val="00F27F32"/>
    <w:rsid w:val="00F307BC"/>
    <w:rsid w:val="00F313AC"/>
    <w:rsid w:val="00F31567"/>
    <w:rsid w:val="00F3156E"/>
    <w:rsid w:val="00F319D1"/>
    <w:rsid w:val="00F31ACA"/>
    <w:rsid w:val="00F3274D"/>
    <w:rsid w:val="00F32A9D"/>
    <w:rsid w:val="00F32BD1"/>
    <w:rsid w:val="00F32BDA"/>
    <w:rsid w:val="00F32C95"/>
    <w:rsid w:val="00F32D67"/>
    <w:rsid w:val="00F3331E"/>
    <w:rsid w:val="00F33622"/>
    <w:rsid w:val="00F33815"/>
    <w:rsid w:val="00F3388A"/>
    <w:rsid w:val="00F33B0C"/>
    <w:rsid w:val="00F33EF4"/>
    <w:rsid w:val="00F34033"/>
    <w:rsid w:val="00F34050"/>
    <w:rsid w:val="00F34082"/>
    <w:rsid w:val="00F3415A"/>
    <w:rsid w:val="00F341F4"/>
    <w:rsid w:val="00F342A7"/>
    <w:rsid w:val="00F343A4"/>
    <w:rsid w:val="00F343D9"/>
    <w:rsid w:val="00F34931"/>
    <w:rsid w:val="00F34988"/>
    <w:rsid w:val="00F34BEA"/>
    <w:rsid w:val="00F34D6F"/>
    <w:rsid w:val="00F34E84"/>
    <w:rsid w:val="00F357F0"/>
    <w:rsid w:val="00F3593F"/>
    <w:rsid w:val="00F35CCA"/>
    <w:rsid w:val="00F360D5"/>
    <w:rsid w:val="00F360FD"/>
    <w:rsid w:val="00F3628E"/>
    <w:rsid w:val="00F36CB5"/>
    <w:rsid w:val="00F36D54"/>
    <w:rsid w:val="00F36E73"/>
    <w:rsid w:val="00F36EA7"/>
    <w:rsid w:val="00F37377"/>
    <w:rsid w:val="00F374C4"/>
    <w:rsid w:val="00F3799F"/>
    <w:rsid w:val="00F37DD2"/>
    <w:rsid w:val="00F4017B"/>
    <w:rsid w:val="00F40499"/>
    <w:rsid w:val="00F404F0"/>
    <w:rsid w:val="00F406DE"/>
    <w:rsid w:val="00F40766"/>
    <w:rsid w:val="00F40B63"/>
    <w:rsid w:val="00F40BE9"/>
    <w:rsid w:val="00F40C27"/>
    <w:rsid w:val="00F4119D"/>
    <w:rsid w:val="00F411E1"/>
    <w:rsid w:val="00F41285"/>
    <w:rsid w:val="00F4152D"/>
    <w:rsid w:val="00F4176E"/>
    <w:rsid w:val="00F41A85"/>
    <w:rsid w:val="00F41FEA"/>
    <w:rsid w:val="00F4249C"/>
    <w:rsid w:val="00F42574"/>
    <w:rsid w:val="00F4266F"/>
    <w:rsid w:val="00F42C46"/>
    <w:rsid w:val="00F42E62"/>
    <w:rsid w:val="00F42FD6"/>
    <w:rsid w:val="00F42FE2"/>
    <w:rsid w:val="00F433F8"/>
    <w:rsid w:val="00F43C18"/>
    <w:rsid w:val="00F440C8"/>
    <w:rsid w:val="00F441B0"/>
    <w:rsid w:val="00F4420D"/>
    <w:rsid w:val="00F44741"/>
    <w:rsid w:val="00F44AEB"/>
    <w:rsid w:val="00F45011"/>
    <w:rsid w:val="00F450B4"/>
    <w:rsid w:val="00F45565"/>
    <w:rsid w:val="00F457FA"/>
    <w:rsid w:val="00F45AE2"/>
    <w:rsid w:val="00F4631C"/>
    <w:rsid w:val="00F46625"/>
    <w:rsid w:val="00F468B8"/>
    <w:rsid w:val="00F4770B"/>
    <w:rsid w:val="00F47957"/>
    <w:rsid w:val="00F47A16"/>
    <w:rsid w:val="00F47B89"/>
    <w:rsid w:val="00F47F97"/>
    <w:rsid w:val="00F5071C"/>
    <w:rsid w:val="00F509CC"/>
    <w:rsid w:val="00F50D72"/>
    <w:rsid w:val="00F50FCA"/>
    <w:rsid w:val="00F5123B"/>
    <w:rsid w:val="00F5138A"/>
    <w:rsid w:val="00F51553"/>
    <w:rsid w:val="00F5180F"/>
    <w:rsid w:val="00F51A9F"/>
    <w:rsid w:val="00F51E63"/>
    <w:rsid w:val="00F51FAF"/>
    <w:rsid w:val="00F525D2"/>
    <w:rsid w:val="00F52668"/>
    <w:rsid w:val="00F52D3B"/>
    <w:rsid w:val="00F52F86"/>
    <w:rsid w:val="00F53409"/>
    <w:rsid w:val="00F53476"/>
    <w:rsid w:val="00F5358F"/>
    <w:rsid w:val="00F53A15"/>
    <w:rsid w:val="00F53C38"/>
    <w:rsid w:val="00F53CB2"/>
    <w:rsid w:val="00F53F07"/>
    <w:rsid w:val="00F53F72"/>
    <w:rsid w:val="00F54194"/>
    <w:rsid w:val="00F54673"/>
    <w:rsid w:val="00F55025"/>
    <w:rsid w:val="00F55701"/>
    <w:rsid w:val="00F561AA"/>
    <w:rsid w:val="00F56318"/>
    <w:rsid w:val="00F56565"/>
    <w:rsid w:val="00F568C7"/>
    <w:rsid w:val="00F56912"/>
    <w:rsid w:val="00F5723E"/>
    <w:rsid w:val="00F572EB"/>
    <w:rsid w:val="00F57546"/>
    <w:rsid w:val="00F577A5"/>
    <w:rsid w:val="00F57AA0"/>
    <w:rsid w:val="00F57F50"/>
    <w:rsid w:val="00F57F91"/>
    <w:rsid w:val="00F60596"/>
    <w:rsid w:val="00F60B0B"/>
    <w:rsid w:val="00F60EA6"/>
    <w:rsid w:val="00F61481"/>
    <w:rsid w:val="00F61554"/>
    <w:rsid w:val="00F617A5"/>
    <w:rsid w:val="00F6191B"/>
    <w:rsid w:val="00F61C8B"/>
    <w:rsid w:val="00F61F96"/>
    <w:rsid w:val="00F625ED"/>
    <w:rsid w:val="00F629BB"/>
    <w:rsid w:val="00F63030"/>
    <w:rsid w:val="00F63267"/>
    <w:rsid w:val="00F6351D"/>
    <w:rsid w:val="00F63BD2"/>
    <w:rsid w:val="00F63F8D"/>
    <w:rsid w:val="00F642AF"/>
    <w:rsid w:val="00F6481B"/>
    <w:rsid w:val="00F654C4"/>
    <w:rsid w:val="00F655BA"/>
    <w:rsid w:val="00F65679"/>
    <w:rsid w:val="00F656F3"/>
    <w:rsid w:val="00F65933"/>
    <w:rsid w:val="00F65A96"/>
    <w:rsid w:val="00F65C7C"/>
    <w:rsid w:val="00F66106"/>
    <w:rsid w:val="00F664FF"/>
    <w:rsid w:val="00F665CB"/>
    <w:rsid w:val="00F667AA"/>
    <w:rsid w:val="00F6684F"/>
    <w:rsid w:val="00F66BF4"/>
    <w:rsid w:val="00F67049"/>
    <w:rsid w:val="00F671BB"/>
    <w:rsid w:val="00F67880"/>
    <w:rsid w:val="00F6795E"/>
    <w:rsid w:val="00F67E27"/>
    <w:rsid w:val="00F67FCF"/>
    <w:rsid w:val="00F70249"/>
    <w:rsid w:val="00F7064C"/>
    <w:rsid w:val="00F70709"/>
    <w:rsid w:val="00F71005"/>
    <w:rsid w:val="00F71180"/>
    <w:rsid w:val="00F71711"/>
    <w:rsid w:val="00F71C2E"/>
    <w:rsid w:val="00F72704"/>
    <w:rsid w:val="00F72C6A"/>
    <w:rsid w:val="00F72F3E"/>
    <w:rsid w:val="00F73382"/>
    <w:rsid w:val="00F737CF"/>
    <w:rsid w:val="00F741CC"/>
    <w:rsid w:val="00F745CA"/>
    <w:rsid w:val="00F7499E"/>
    <w:rsid w:val="00F74A89"/>
    <w:rsid w:val="00F74D15"/>
    <w:rsid w:val="00F74F0F"/>
    <w:rsid w:val="00F751C6"/>
    <w:rsid w:val="00F754D4"/>
    <w:rsid w:val="00F75509"/>
    <w:rsid w:val="00F75752"/>
    <w:rsid w:val="00F757B7"/>
    <w:rsid w:val="00F758C3"/>
    <w:rsid w:val="00F7595B"/>
    <w:rsid w:val="00F760A1"/>
    <w:rsid w:val="00F760A4"/>
    <w:rsid w:val="00F76615"/>
    <w:rsid w:val="00F76998"/>
    <w:rsid w:val="00F769AC"/>
    <w:rsid w:val="00F76B30"/>
    <w:rsid w:val="00F77108"/>
    <w:rsid w:val="00F77274"/>
    <w:rsid w:val="00F772AB"/>
    <w:rsid w:val="00F774E4"/>
    <w:rsid w:val="00F77BE0"/>
    <w:rsid w:val="00F77E28"/>
    <w:rsid w:val="00F8028D"/>
    <w:rsid w:val="00F80291"/>
    <w:rsid w:val="00F80563"/>
    <w:rsid w:val="00F8100D"/>
    <w:rsid w:val="00F81141"/>
    <w:rsid w:val="00F811A6"/>
    <w:rsid w:val="00F81418"/>
    <w:rsid w:val="00F81479"/>
    <w:rsid w:val="00F817FD"/>
    <w:rsid w:val="00F81A7C"/>
    <w:rsid w:val="00F81C66"/>
    <w:rsid w:val="00F81FE5"/>
    <w:rsid w:val="00F82237"/>
    <w:rsid w:val="00F82289"/>
    <w:rsid w:val="00F823EF"/>
    <w:rsid w:val="00F82588"/>
    <w:rsid w:val="00F826FA"/>
    <w:rsid w:val="00F82763"/>
    <w:rsid w:val="00F82853"/>
    <w:rsid w:val="00F82909"/>
    <w:rsid w:val="00F82B9F"/>
    <w:rsid w:val="00F82C14"/>
    <w:rsid w:val="00F82D20"/>
    <w:rsid w:val="00F832F6"/>
    <w:rsid w:val="00F83673"/>
    <w:rsid w:val="00F839E3"/>
    <w:rsid w:val="00F83B23"/>
    <w:rsid w:val="00F83B74"/>
    <w:rsid w:val="00F83D0A"/>
    <w:rsid w:val="00F83EF9"/>
    <w:rsid w:val="00F84018"/>
    <w:rsid w:val="00F840F0"/>
    <w:rsid w:val="00F84200"/>
    <w:rsid w:val="00F84260"/>
    <w:rsid w:val="00F844EC"/>
    <w:rsid w:val="00F84537"/>
    <w:rsid w:val="00F84781"/>
    <w:rsid w:val="00F84B34"/>
    <w:rsid w:val="00F85D00"/>
    <w:rsid w:val="00F85E66"/>
    <w:rsid w:val="00F864FB"/>
    <w:rsid w:val="00F8663B"/>
    <w:rsid w:val="00F8696D"/>
    <w:rsid w:val="00F8734A"/>
    <w:rsid w:val="00F876B3"/>
    <w:rsid w:val="00F877A9"/>
    <w:rsid w:val="00F877C8"/>
    <w:rsid w:val="00F87E60"/>
    <w:rsid w:val="00F87E9E"/>
    <w:rsid w:val="00F902A4"/>
    <w:rsid w:val="00F90385"/>
    <w:rsid w:val="00F904D8"/>
    <w:rsid w:val="00F90739"/>
    <w:rsid w:val="00F90A0F"/>
    <w:rsid w:val="00F90B0E"/>
    <w:rsid w:val="00F90EEA"/>
    <w:rsid w:val="00F90F0C"/>
    <w:rsid w:val="00F91471"/>
    <w:rsid w:val="00F91EEF"/>
    <w:rsid w:val="00F9238C"/>
    <w:rsid w:val="00F9250E"/>
    <w:rsid w:val="00F92587"/>
    <w:rsid w:val="00F92C8F"/>
    <w:rsid w:val="00F93867"/>
    <w:rsid w:val="00F93954"/>
    <w:rsid w:val="00F93CDE"/>
    <w:rsid w:val="00F9404C"/>
    <w:rsid w:val="00F945BB"/>
    <w:rsid w:val="00F94738"/>
    <w:rsid w:val="00F947F5"/>
    <w:rsid w:val="00F949BC"/>
    <w:rsid w:val="00F94F20"/>
    <w:rsid w:val="00F9516A"/>
    <w:rsid w:val="00F95300"/>
    <w:rsid w:val="00F953D9"/>
    <w:rsid w:val="00F95EFB"/>
    <w:rsid w:val="00F9631C"/>
    <w:rsid w:val="00F9659C"/>
    <w:rsid w:val="00F9662D"/>
    <w:rsid w:val="00F9666B"/>
    <w:rsid w:val="00F9673F"/>
    <w:rsid w:val="00F96D42"/>
    <w:rsid w:val="00F970C8"/>
    <w:rsid w:val="00F97139"/>
    <w:rsid w:val="00F97255"/>
    <w:rsid w:val="00F97280"/>
    <w:rsid w:val="00F97625"/>
    <w:rsid w:val="00F976B5"/>
    <w:rsid w:val="00F97762"/>
    <w:rsid w:val="00FA0352"/>
    <w:rsid w:val="00FA0980"/>
    <w:rsid w:val="00FA0D0B"/>
    <w:rsid w:val="00FA1168"/>
    <w:rsid w:val="00FA1496"/>
    <w:rsid w:val="00FA14CD"/>
    <w:rsid w:val="00FA159B"/>
    <w:rsid w:val="00FA1880"/>
    <w:rsid w:val="00FA18F2"/>
    <w:rsid w:val="00FA1C42"/>
    <w:rsid w:val="00FA1C6D"/>
    <w:rsid w:val="00FA21FB"/>
    <w:rsid w:val="00FA226B"/>
    <w:rsid w:val="00FA236B"/>
    <w:rsid w:val="00FA2EF8"/>
    <w:rsid w:val="00FA31A2"/>
    <w:rsid w:val="00FA3235"/>
    <w:rsid w:val="00FA34BE"/>
    <w:rsid w:val="00FA35BA"/>
    <w:rsid w:val="00FA38C2"/>
    <w:rsid w:val="00FA38E3"/>
    <w:rsid w:val="00FA3A58"/>
    <w:rsid w:val="00FA3D37"/>
    <w:rsid w:val="00FA429B"/>
    <w:rsid w:val="00FA4778"/>
    <w:rsid w:val="00FA4815"/>
    <w:rsid w:val="00FA4B50"/>
    <w:rsid w:val="00FA52C3"/>
    <w:rsid w:val="00FA5882"/>
    <w:rsid w:val="00FA6017"/>
    <w:rsid w:val="00FA61A8"/>
    <w:rsid w:val="00FA62EE"/>
    <w:rsid w:val="00FA63EE"/>
    <w:rsid w:val="00FA6544"/>
    <w:rsid w:val="00FA66FA"/>
    <w:rsid w:val="00FA6784"/>
    <w:rsid w:val="00FA68F4"/>
    <w:rsid w:val="00FA6AB1"/>
    <w:rsid w:val="00FA70BF"/>
    <w:rsid w:val="00FA70F0"/>
    <w:rsid w:val="00FA764C"/>
    <w:rsid w:val="00FA767A"/>
    <w:rsid w:val="00FA7CD1"/>
    <w:rsid w:val="00FA7F86"/>
    <w:rsid w:val="00FB0009"/>
    <w:rsid w:val="00FB0160"/>
    <w:rsid w:val="00FB04D0"/>
    <w:rsid w:val="00FB05AB"/>
    <w:rsid w:val="00FB06BD"/>
    <w:rsid w:val="00FB08FF"/>
    <w:rsid w:val="00FB0C53"/>
    <w:rsid w:val="00FB11A2"/>
    <w:rsid w:val="00FB1D05"/>
    <w:rsid w:val="00FB21C4"/>
    <w:rsid w:val="00FB2459"/>
    <w:rsid w:val="00FB29F7"/>
    <w:rsid w:val="00FB2B1A"/>
    <w:rsid w:val="00FB2CE7"/>
    <w:rsid w:val="00FB2CF6"/>
    <w:rsid w:val="00FB2D17"/>
    <w:rsid w:val="00FB361F"/>
    <w:rsid w:val="00FB3AEB"/>
    <w:rsid w:val="00FB3DAA"/>
    <w:rsid w:val="00FB3F8E"/>
    <w:rsid w:val="00FB4061"/>
    <w:rsid w:val="00FB4524"/>
    <w:rsid w:val="00FB4BED"/>
    <w:rsid w:val="00FB4D21"/>
    <w:rsid w:val="00FB531A"/>
    <w:rsid w:val="00FB5491"/>
    <w:rsid w:val="00FB556E"/>
    <w:rsid w:val="00FB59BF"/>
    <w:rsid w:val="00FB5F7B"/>
    <w:rsid w:val="00FB62A0"/>
    <w:rsid w:val="00FB6558"/>
    <w:rsid w:val="00FB6C4D"/>
    <w:rsid w:val="00FB716F"/>
    <w:rsid w:val="00FB780D"/>
    <w:rsid w:val="00FB7868"/>
    <w:rsid w:val="00FB7964"/>
    <w:rsid w:val="00FB7AD9"/>
    <w:rsid w:val="00FB7F7B"/>
    <w:rsid w:val="00FC0149"/>
    <w:rsid w:val="00FC0B47"/>
    <w:rsid w:val="00FC0B96"/>
    <w:rsid w:val="00FC0BF0"/>
    <w:rsid w:val="00FC0FDB"/>
    <w:rsid w:val="00FC127A"/>
    <w:rsid w:val="00FC199E"/>
    <w:rsid w:val="00FC1A0D"/>
    <w:rsid w:val="00FC1C95"/>
    <w:rsid w:val="00FC1D9C"/>
    <w:rsid w:val="00FC1E45"/>
    <w:rsid w:val="00FC2211"/>
    <w:rsid w:val="00FC2A01"/>
    <w:rsid w:val="00FC2BEC"/>
    <w:rsid w:val="00FC3000"/>
    <w:rsid w:val="00FC316D"/>
    <w:rsid w:val="00FC3223"/>
    <w:rsid w:val="00FC367B"/>
    <w:rsid w:val="00FC3A7F"/>
    <w:rsid w:val="00FC3B45"/>
    <w:rsid w:val="00FC3BC7"/>
    <w:rsid w:val="00FC3FC3"/>
    <w:rsid w:val="00FC4035"/>
    <w:rsid w:val="00FC40CF"/>
    <w:rsid w:val="00FC4208"/>
    <w:rsid w:val="00FC43BC"/>
    <w:rsid w:val="00FC4825"/>
    <w:rsid w:val="00FC4C6E"/>
    <w:rsid w:val="00FC4DD6"/>
    <w:rsid w:val="00FC54ED"/>
    <w:rsid w:val="00FC59E2"/>
    <w:rsid w:val="00FC5A9B"/>
    <w:rsid w:val="00FC5C32"/>
    <w:rsid w:val="00FC5D29"/>
    <w:rsid w:val="00FC5F6A"/>
    <w:rsid w:val="00FC64FB"/>
    <w:rsid w:val="00FC6741"/>
    <w:rsid w:val="00FC6745"/>
    <w:rsid w:val="00FC6805"/>
    <w:rsid w:val="00FC6822"/>
    <w:rsid w:val="00FC696B"/>
    <w:rsid w:val="00FC6B16"/>
    <w:rsid w:val="00FC6C6F"/>
    <w:rsid w:val="00FC6D6E"/>
    <w:rsid w:val="00FC6D94"/>
    <w:rsid w:val="00FC72CA"/>
    <w:rsid w:val="00FC73EF"/>
    <w:rsid w:val="00FC7660"/>
    <w:rsid w:val="00FC76FA"/>
    <w:rsid w:val="00FC783D"/>
    <w:rsid w:val="00FC7D3B"/>
    <w:rsid w:val="00FC7D6A"/>
    <w:rsid w:val="00FC7FA7"/>
    <w:rsid w:val="00FC7FA9"/>
    <w:rsid w:val="00FD0280"/>
    <w:rsid w:val="00FD0393"/>
    <w:rsid w:val="00FD0B43"/>
    <w:rsid w:val="00FD1033"/>
    <w:rsid w:val="00FD10BB"/>
    <w:rsid w:val="00FD1168"/>
    <w:rsid w:val="00FD1290"/>
    <w:rsid w:val="00FD1D50"/>
    <w:rsid w:val="00FD1EA5"/>
    <w:rsid w:val="00FD1FC4"/>
    <w:rsid w:val="00FD263A"/>
    <w:rsid w:val="00FD263F"/>
    <w:rsid w:val="00FD270E"/>
    <w:rsid w:val="00FD28F9"/>
    <w:rsid w:val="00FD2B89"/>
    <w:rsid w:val="00FD2CD6"/>
    <w:rsid w:val="00FD2D10"/>
    <w:rsid w:val="00FD2D78"/>
    <w:rsid w:val="00FD2E1D"/>
    <w:rsid w:val="00FD2E77"/>
    <w:rsid w:val="00FD2FB6"/>
    <w:rsid w:val="00FD3372"/>
    <w:rsid w:val="00FD3563"/>
    <w:rsid w:val="00FD3799"/>
    <w:rsid w:val="00FD3ABC"/>
    <w:rsid w:val="00FD3D74"/>
    <w:rsid w:val="00FD3DC6"/>
    <w:rsid w:val="00FD401D"/>
    <w:rsid w:val="00FD40AE"/>
    <w:rsid w:val="00FD49A0"/>
    <w:rsid w:val="00FD4D60"/>
    <w:rsid w:val="00FD4FAC"/>
    <w:rsid w:val="00FD516E"/>
    <w:rsid w:val="00FD524B"/>
    <w:rsid w:val="00FD5B45"/>
    <w:rsid w:val="00FD5C32"/>
    <w:rsid w:val="00FD60B5"/>
    <w:rsid w:val="00FD653A"/>
    <w:rsid w:val="00FD6582"/>
    <w:rsid w:val="00FD6730"/>
    <w:rsid w:val="00FD6842"/>
    <w:rsid w:val="00FD69DD"/>
    <w:rsid w:val="00FD6ECD"/>
    <w:rsid w:val="00FD716C"/>
    <w:rsid w:val="00FD72AB"/>
    <w:rsid w:val="00FD7D09"/>
    <w:rsid w:val="00FD7E80"/>
    <w:rsid w:val="00FE0083"/>
    <w:rsid w:val="00FE045B"/>
    <w:rsid w:val="00FE06D7"/>
    <w:rsid w:val="00FE073C"/>
    <w:rsid w:val="00FE0F34"/>
    <w:rsid w:val="00FE0F7C"/>
    <w:rsid w:val="00FE1065"/>
    <w:rsid w:val="00FE11F8"/>
    <w:rsid w:val="00FE1484"/>
    <w:rsid w:val="00FE1598"/>
    <w:rsid w:val="00FE160B"/>
    <w:rsid w:val="00FE16F6"/>
    <w:rsid w:val="00FE1E63"/>
    <w:rsid w:val="00FE21DE"/>
    <w:rsid w:val="00FE223F"/>
    <w:rsid w:val="00FE2429"/>
    <w:rsid w:val="00FE2506"/>
    <w:rsid w:val="00FE255E"/>
    <w:rsid w:val="00FE26BB"/>
    <w:rsid w:val="00FE32A5"/>
    <w:rsid w:val="00FE353D"/>
    <w:rsid w:val="00FE3753"/>
    <w:rsid w:val="00FE3BE8"/>
    <w:rsid w:val="00FE3C04"/>
    <w:rsid w:val="00FE3C88"/>
    <w:rsid w:val="00FE3CA2"/>
    <w:rsid w:val="00FE3DD4"/>
    <w:rsid w:val="00FE4766"/>
    <w:rsid w:val="00FE4824"/>
    <w:rsid w:val="00FE4BE9"/>
    <w:rsid w:val="00FE511F"/>
    <w:rsid w:val="00FE5669"/>
    <w:rsid w:val="00FE6155"/>
    <w:rsid w:val="00FE6599"/>
    <w:rsid w:val="00FE6A03"/>
    <w:rsid w:val="00FE6A64"/>
    <w:rsid w:val="00FE70C9"/>
    <w:rsid w:val="00FE7192"/>
    <w:rsid w:val="00FE71CC"/>
    <w:rsid w:val="00FE7246"/>
    <w:rsid w:val="00FE75CB"/>
    <w:rsid w:val="00FE76DE"/>
    <w:rsid w:val="00FE78CC"/>
    <w:rsid w:val="00FE791A"/>
    <w:rsid w:val="00FE841F"/>
    <w:rsid w:val="00FF01A0"/>
    <w:rsid w:val="00FF0576"/>
    <w:rsid w:val="00FF0805"/>
    <w:rsid w:val="00FF0D4A"/>
    <w:rsid w:val="00FF0E1C"/>
    <w:rsid w:val="00FF1381"/>
    <w:rsid w:val="00FF158C"/>
    <w:rsid w:val="00FF1AB5"/>
    <w:rsid w:val="00FF1F80"/>
    <w:rsid w:val="00FF22C2"/>
    <w:rsid w:val="00FF2482"/>
    <w:rsid w:val="00FF2838"/>
    <w:rsid w:val="00FF2A37"/>
    <w:rsid w:val="00FF2BA6"/>
    <w:rsid w:val="00FF2BF9"/>
    <w:rsid w:val="00FF2FB0"/>
    <w:rsid w:val="00FF360F"/>
    <w:rsid w:val="00FF3D39"/>
    <w:rsid w:val="00FF447F"/>
    <w:rsid w:val="00FF49BD"/>
    <w:rsid w:val="00FF4A07"/>
    <w:rsid w:val="00FF4ACF"/>
    <w:rsid w:val="00FF5354"/>
    <w:rsid w:val="00FF5410"/>
    <w:rsid w:val="00FF5629"/>
    <w:rsid w:val="00FF5C0B"/>
    <w:rsid w:val="00FF5CBE"/>
    <w:rsid w:val="00FF6321"/>
    <w:rsid w:val="00FF6AE4"/>
    <w:rsid w:val="00FF6E86"/>
    <w:rsid w:val="00FF6F4B"/>
    <w:rsid w:val="00FF6F4E"/>
    <w:rsid w:val="00FF7E1A"/>
    <w:rsid w:val="01001DAB"/>
    <w:rsid w:val="0123DCC9"/>
    <w:rsid w:val="01EE574E"/>
    <w:rsid w:val="020E901B"/>
    <w:rsid w:val="0217AC7A"/>
    <w:rsid w:val="0228B29E"/>
    <w:rsid w:val="028BCCDC"/>
    <w:rsid w:val="02AFAADD"/>
    <w:rsid w:val="03500509"/>
    <w:rsid w:val="03AF9EC4"/>
    <w:rsid w:val="03C64DA7"/>
    <w:rsid w:val="03D3D8CA"/>
    <w:rsid w:val="04526BAA"/>
    <w:rsid w:val="05A789C1"/>
    <w:rsid w:val="05D24882"/>
    <w:rsid w:val="05FA7E84"/>
    <w:rsid w:val="0617C08C"/>
    <w:rsid w:val="062E5ABD"/>
    <w:rsid w:val="06494A33"/>
    <w:rsid w:val="0695BAC6"/>
    <w:rsid w:val="06B3A1CC"/>
    <w:rsid w:val="06F1A63E"/>
    <w:rsid w:val="06FE6747"/>
    <w:rsid w:val="077ABBA4"/>
    <w:rsid w:val="07A596C9"/>
    <w:rsid w:val="07A9C855"/>
    <w:rsid w:val="07AC2AC2"/>
    <w:rsid w:val="07B804A7"/>
    <w:rsid w:val="083AFFEC"/>
    <w:rsid w:val="086FBBB6"/>
    <w:rsid w:val="08970090"/>
    <w:rsid w:val="08C37629"/>
    <w:rsid w:val="08C50917"/>
    <w:rsid w:val="08FA6950"/>
    <w:rsid w:val="0990E0D2"/>
    <w:rsid w:val="09D2AE05"/>
    <w:rsid w:val="09E162F5"/>
    <w:rsid w:val="0A368789"/>
    <w:rsid w:val="0A94809E"/>
    <w:rsid w:val="0AA086B6"/>
    <w:rsid w:val="0ACB0C3F"/>
    <w:rsid w:val="0B483BF7"/>
    <w:rsid w:val="0BF5A149"/>
    <w:rsid w:val="0C3CE77F"/>
    <w:rsid w:val="0C58F53F"/>
    <w:rsid w:val="0C9C8153"/>
    <w:rsid w:val="0CE5973E"/>
    <w:rsid w:val="0CF6181D"/>
    <w:rsid w:val="0D05A2DD"/>
    <w:rsid w:val="0D37A242"/>
    <w:rsid w:val="0D5DF911"/>
    <w:rsid w:val="0D976661"/>
    <w:rsid w:val="0D9BE685"/>
    <w:rsid w:val="0D9F126F"/>
    <w:rsid w:val="0E1B13C9"/>
    <w:rsid w:val="0E87E210"/>
    <w:rsid w:val="0EB41912"/>
    <w:rsid w:val="0F5FA5DD"/>
    <w:rsid w:val="0F90EF73"/>
    <w:rsid w:val="0FC8935B"/>
    <w:rsid w:val="100D30D7"/>
    <w:rsid w:val="1184EB0E"/>
    <w:rsid w:val="1219BF4E"/>
    <w:rsid w:val="122B4507"/>
    <w:rsid w:val="126A5026"/>
    <w:rsid w:val="12A104B8"/>
    <w:rsid w:val="13254754"/>
    <w:rsid w:val="13388D61"/>
    <w:rsid w:val="138474BC"/>
    <w:rsid w:val="13C1A2AB"/>
    <w:rsid w:val="13F51326"/>
    <w:rsid w:val="140F3626"/>
    <w:rsid w:val="144866A1"/>
    <w:rsid w:val="14A39A60"/>
    <w:rsid w:val="14F911C0"/>
    <w:rsid w:val="1520CE0F"/>
    <w:rsid w:val="15375ABF"/>
    <w:rsid w:val="15628741"/>
    <w:rsid w:val="15A07164"/>
    <w:rsid w:val="15AD27FD"/>
    <w:rsid w:val="15C517D3"/>
    <w:rsid w:val="1608839C"/>
    <w:rsid w:val="162777AB"/>
    <w:rsid w:val="165F8E4D"/>
    <w:rsid w:val="171314EA"/>
    <w:rsid w:val="173150A2"/>
    <w:rsid w:val="1741861A"/>
    <w:rsid w:val="1757B6DD"/>
    <w:rsid w:val="1780E255"/>
    <w:rsid w:val="1781792E"/>
    <w:rsid w:val="17BAF464"/>
    <w:rsid w:val="17CB6DF0"/>
    <w:rsid w:val="1861AEC8"/>
    <w:rsid w:val="188953CA"/>
    <w:rsid w:val="1A1F58A8"/>
    <w:rsid w:val="1A208CEE"/>
    <w:rsid w:val="1A211A66"/>
    <w:rsid w:val="1A2A9795"/>
    <w:rsid w:val="1A40DEA7"/>
    <w:rsid w:val="1A4F9261"/>
    <w:rsid w:val="1A6997D7"/>
    <w:rsid w:val="1A7A181C"/>
    <w:rsid w:val="1A91CDEF"/>
    <w:rsid w:val="1AC1B785"/>
    <w:rsid w:val="1B2DD336"/>
    <w:rsid w:val="1BA4DA2A"/>
    <w:rsid w:val="1BBAF894"/>
    <w:rsid w:val="1BC74D37"/>
    <w:rsid w:val="1BCEAD55"/>
    <w:rsid w:val="1BF77E3C"/>
    <w:rsid w:val="1BFF9980"/>
    <w:rsid w:val="1C78BA33"/>
    <w:rsid w:val="1C87FDA4"/>
    <w:rsid w:val="1CF5F8CF"/>
    <w:rsid w:val="1D4F701E"/>
    <w:rsid w:val="1D97715A"/>
    <w:rsid w:val="1DA48386"/>
    <w:rsid w:val="1DC15F50"/>
    <w:rsid w:val="1EE3D999"/>
    <w:rsid w:val="1EEDD6CD"/>
    <w:rsid w:val="1F02B20B"/>
    <w:rsid w:val="1F0A2F14"/>
    <w:rsid w:val="1F4D6546"/>
    <w:rsid w:val="1F61583D"/>
    <w:rsid w:val="1FFB5181"/>
    <w:rsid w:val="2020EAC4"/>
    <w:rsid w:val="20315B9A"/>
    <w:rsid w:val="20652E92"/>
    <w:rsid w:val="20A50D78"/>
    <w:rsid w:val="2137AC6F"/>
    <w:rsid w:val="214E4BB7"/>
    <w:rsid w:val="218194D8"/>
    <w:rsid w:val="21AF30A6"/>
    <w:rsid w:val="21E2E702"/>
    <w:rsid w:val="2201FFC8"/>
    <w:rsid w:val="2206A22E"/>
    <w:rsid w:val="2213A42D"/>
    <w:rsid w:val="22E72032"/>
    <w:rsid w:val="2311483F"/>
    <w:rsid w:val="234D2CB0"/>
    <w:rsid w:val="2383361E"/>
    <w:rsid w:val="24F5F8FB"/>
    <w:rsid w:val="24F962F0"/>
    <w:rsid w:val="250AEBDC"/>
    <w:rsid w:val="25193673"/>
    <w:rsid w:val="254CD97C"/>
    <w:rsid w:val="2570290A"/>
    <w:rsid w:val="25B5522B"/>
    <w:rsid w:val="25C9949F"/>
    <w:rsid w:val="25EA7C9E"/>
    <w:rsid w:val="2607E19F"/>
    <w:rsid w:val="26333A46"/>
    <w:rsid w:val="26515ADF"/>
    <w:rsid w:val="26A7B7CE"/>
    <w:rsid w:val="26B99A10"/>
    <w:rsid w:val="26EA7C3A"/>
    <w:rsid w:val="271B3D47"/>
    <w:rsid w:val="2780A78A"/>
    <w:rsid w:val="2780E016"/>
    <w:rsid w:val="27A18CCB"/>
    <w:rsid w:val="27F23013"/>
    <w:rsid w:val="2823FBCD"/>
    <w:rsid w:val="2849B32E"/>
    <w:rsid w:val="284C2A78"/>
    <w:rsid w:val="29569910"/>
    <w:rsid w:val="2994050E"/>
    <w:rsid w:val="2994DF9B"/>
    <w:rsid w:val="2A5323A7"/>
    <w:rsid w:val="2A6543AA"/>
    <w:rsid w:val="2AC86F29"/>
    <w:rsid w:val="2AD66C3E"/>
    <w:rsid w:val="2AEB650C"/>
    <w:rsid w:val="2B38226A"/>
    <w:rsid w:val="2B5CAC8F"/>
    <w:rsid w:val="2BA154AC"/>
    <w:rsid w:val="2BBC2D7E"/>
    <w:rsid w:val="2C2E709A"/>
    <w:rsid w:val="2C542B6E"/>
    <w:rsid w:val="2C7FEBFE"/>
    <w:rsid w:val="2CB0B056"/>
    <w:rsid w:val="2CFED74C"/>
    <w:rsid w:val="2D1022B7"/>
    <w:rsid w:val="2D3464D1"/>
    <w:rsid w:val="2DB0D3AE"/>
    <w:rsid w:val="2E148D7E"/>
    <w:rsid w:val="2E95C5EC"/>
    <w:rsid w:val="2EA56BC8"/>
    <w:rsid w:val="2EACF6D0"/>
    <w:rsid w:val="2EB19614"/>
    <w:rsid w:val="2EF6F36C"/>
    <w:rsid w:val="2EF87649"/>
    <w:rsid w:val="2F3B6C7F"/>
    <w:rsid w:val="2F5747D6"/>
    <w:rsid w:val="2F7DA527"/>
    <w:rsid w:val="2FF96129"/>
    <w:rsid w:val="3011AD59"/>
    <w:rsid w:val="3043DB80"/>
    <w:rsid w:val="3085BA48"/>
    <w:rsid w:val="30D1CAA2"/>
    <w:rsid w:val="30EE4A0C"/>
    <w:rsid w:val="31F8308C"/>
    <w:rsid w:val="3202B688"/>
    <w:rsid w:val="32063192"/>
    <w:rsid w:val="3234FAB4"/>
    <w:rsid w:val="32983EB8"/>
    <w:rsid w:val="32CD5656"/>
    <w:rsid w:val="32D68605"/>
    <w:rsid w:val="330A760E"/>
    <w:rsid w:val="33317860"/>
    <w:rsid w:val="33596E9B"/>
    <w:rsid w:val="33706206"/>
    <w:rsid w:val="33AB243E"/>
    <w:rsid w:val="33D956C5"/>
    <w:rsid w:val="347C9D9D"/>
    <w:rsid w:val="348596F9"/>
    <w:rsid w:val="353695A7"/>
    <w:rsid w:val="3593026C"/>
    <w:rsid w:val="35C70D19"/>
    <w:rsid w:val="35FAB8D1"/>
    <w:rsid w:val="3636F84D"/>
    <w:rsid w:val="36A037AB"/>
    <w:rsid w:val="37059173"/>
    <w:rsid w:val="371693C0"/>
    <w:rsid w:val="37DBA79D"/>
    <w:rsid w:val="382214A2"/>
    <w:rsid w:val="38662624"/>
    <w:rsid w:val="38E03D16"/>
    <w:rsid w:val="38E697F3"/>
    <w:rsid w:val="39EB5AAB"/>
    <w:rsid w:val="3A6A01F3"/>
    <w:rsid w:val="3A83A719"/>
    <w:rsid w:val="3AA2FDB2"/>
    <w:rsid w:val="3B24C2FF"/>
    <w:rsid w:val="3C70CF51"/>
    <w:rsid w:val="3CEEF7A1"/>
    <w:rsid w:val="3D1E3522"/>
    <w:rsid w:val="3DC02699"/>
    <w:rsid w:val="3DE266B6"/>
    <w:rsid w:val="3E05276D"/>
    <w:rsid w:val="3E068969"/>
    <w:rsid w:val="3E27559A"/>
    <w:rsid w:val="3EA4B831"/>
    <w:rsid w:val="3EDA9BEA"/>
    <w:rsid w:val="40221E00"/>
    <w:rsid w:val="408D22CD"/>
    <w:rsid w:val="40A1578B"/>
    <w:rsid w:val="40CE5F54"/>
    <w:rsid w:val="410CA14B"/>
    <w:rsid w:val="41152ADD"/>
    <w:rsid w:val="41CFB4FE"/>
    <w:rsid w:val="424525B7"/>
    <w:rsid w:val="4247E8B8"/>
    <w:rsid w:val="4303676C"/>
    <w:rsid w:val="433E2A43"/>
    <w:rsid w:val="433F4E6B"/>
    <w:rsid w:val="434108FD"/>
    <w:rsid w:val="43EA6F53"/>
    <w:rsid w:val="4404B90B"/>
    <w:rsid w:val="4459C7B8"/>
    <w:rsid w:val="45F8CD72"/>
    <w:rsid w:val="460575EA"/>
    <w:rsid w:val="467A8B38"/>
    <w:rsid w:val="467C18C7"/>
    <w:rsid w:val="46CD3D13"/>
    <w:rsid w:val="476A0265"/>
    <w:rsid w:val="47AC0427"/>
    <w:rsid w:val="4839A21A"/>
    <w:rsid w:val="48E3800C"/>
    <w:rsid w:val="4959FDAD"/>
    <w:rsid w:val="4987B0DC"/>
    <w:rsid w:val="49A54BA7"/>
    <w:rsid w:val="49A69FFA"/>
    <w:rsid w:val="49F68024"/>
    <w:rsid w:val="4A366648"/>
    <w:rsid w:val="4A5C6490"/>
    <w:rsid w:val="4A9752F6"/>
    <w:rsid w:val="4AB59C7E"/>
    <w:rsid w:val="4AE4EF48"/>
    <w:rsid w:val="4AF3C962"/>
    <w:rsid w:val="4AF5B4E8"/>
    <w:rsid w:val="4B49E2DD"/>
    <w:rsid w:val="4B525924"/>
    <w:rsid w:val="4B6A536F"/>
    <w:rsid w:val="4C3C3EBC"/>
    <w:rsid w:val="4CAEDAEF"/>
    <w:rsid w:val="4CB6E0C9"/>
    <w:rsid w:val="4CB7FE07"/>
    <w:rsid w:val="4D198BE3"/>
    <w:rsid w:val="4E52814D"/>
    <w:rsid w:val="4E72EECE"/>
    <w:rsid w:val="4F067FD9"/>
    <w:rsid w:val="4F23C1D5"/>
    <w:rsid w:val="4F2B381A"/>
    <w:rsid w:val="4F3E3755"/>
    <w:rsid w:val="4F853B56"/>
    <w:rsid w:val="4FFFEFB9"/>
    <w:rsid w:val="5029A8FF"/>
    <w:rsid w:val="50DFF377"/>
    <w:rsid w:val="50F6A1E0"/>
    <w:rsid w:val="511E905E"/>
    <w:rsid w:val="5139720B"/>
    <w:rsid w:val="51856FEC"/>
    <w:rsid w:val="51983432"/>
    <w:rsid w:val="51E009AC"/>
    <w:rsid w:val="52278F28"/>
    <w:rsid w:val="524605EF"/>
    <w:rsid w:val="52B45BF1"/>
    <w:rsid w:val="5320B3DF"/>
    <w:rsid w:val="53774C91"/>
    <w:rsid w:val="539862AE"/>
    <w:rsid w:val="5410D3D7"/>
    <w:rsid w:val="541A7A06"/>
    <w:rsid w:val="548D18B9"/>
    <w:rsid w:val="54B2658C"/>
    <w:rsid w:val="54D70DF4"/>
    <w:rsid w:val="55011AE8"/>
    <w:rsid w:val="55D403BA"/>
    <w:rsid w:val="55FA2827"/>
    <w:rsid w:val="56169CFE"/>
    <w:rsid w:val="56236E3C"/>
    <w:rsid w:val="57240DCB"/>
    <w:rsid w:val="574C42AF"/>
    <w:rsid w:val="57BD3FDF"/>
    <w:rsid w:val="580C1458"/>
    <w:rsid w:val="582D6805"/>
    <w:rsid w:val="5836EEDC"/>
    <w:rsid w:val="5860C97B"/>
    <w:rsid w:val="5875DFB9"/>
    <w:rsid w:val="58AA8B52"/>
    <w:rsid w:val="59346F60"/>
    <w:rsid w:val="596375A6"/>
    <w:rsid w:val="59A4912F"/>
    <w:rsid w:val="59AF751F"/>
    <w:rsid w:val="59C0701F"/>
    <w:rsid w:val="59EEA412"/>
    <w:rsid w:val="5A508823"/>
    <w:rsid w:val="5A64169C"/>
    <w:rsid w:val="5A9A7D0E"/>
    <w:rsid w:val="5B45C9D7"/>
    <w:rsid w:val="5B6865CA"/>
    <w:rsid w:val="5C151BC8"/>
    <w:rsid w:val="5C1D72CF"/>
    <w:rsid w:val="5C7CCFA5"/>
    <w:rsid w:val="5CA8015E"/>
    <w:rsid w:val="5CC97F63"/>
    <w:rsid w:val="5D7903D8"/>
    <w:rsid w:val="5DA4A103"/>
    <w:rsid w:val="5DB57F6D"/>
    <w:rsid w:val="5DE1FEE6"/>
    <w:rsid w:val="5E279C68"/>
    <w:rsid w:val="5E7D9745"/>
    <w:rsid w:val="5E8BEA03"/>
    <w:rsid w:val="5E9B9560"/>
    <w:rsid w:val="5EFB44AE"/>
    <w:rsid w:val="5F33E579"/>
    <w:rsid w:val="5F6D8998"/>
    <w:rsid w:val="5F747455"/>
    <w:rsid w:val="5F78EE11"/>
    <w:rsid w:val="5FBE0695"/>
    <w:rsid w:val="60BE56B5"/>
    <w:rsid w:val="6110E3F8"/>
    <w:rsid w:val="611B429E"/>
    <w:rsid w:val="61A16EDB"/>
    <w:rsid w:val="629E12B0"/>
    <w:rsid w:val="63039B49"/>
    <w:rsid w:val="636B0AD0"/>
    <w:rsid w:val="63836CDA"/>
    <w:rsid w:val="639246D6"/>
    <w:rsid w:val="6395FF6E"/>
    <w:rsid w:val="63DE2661"/>
    <w:rsid w:val="6411EDE0"/>
    <w:rsid w:val="6443DE8B"/>
    <w:rsid w:val="64D06098"/>
    <w:rsid w:val="654BCA04"/>
    <w:rsid w:val="65943A0E"/>
    <w:rsid w:val="659FE260"/>
    <w:rsid w:val="65C6511D"/>
    <w:rsid w:val="65FE0C86"/>
    <w:rsid w:val="662804AB"/>
    <w:rsid w:val="66BE2817"/>
    <w:rsid w:val="66C10E5F"/>
    <w:rsid w:val="66E8E12F"/>
    <w:rsid w:val="66E9FD8E"/>
    <w:rsid w:val="67B260D7"/>
    <w:rsid w:val="67EDDE0E"/>
    <w:rsid w:val="67EFB102"/>
    <w:rsid w:val="67F8392B"/>
    <w:rsid w:val="6874631A"/>
    <w:rsid w:val="6929ECB9"/>
    <w:rsid w:val="6937C9A0"/>
    <w:rsid w:val="69497F8C"/>
    <w:rsid w:val="69658BCD"/>
    <w:rsid w:val="69D517B0"/>
    <w:rsid w:val="6A6190FA"/>
    <w:rsid w:val="6AA705B6"/>
    <w:rsid w:val="6AB32A2F"/>
    <w:rsid w:val="6AC09582"/>
    <w:rsid w:val="6BACCE05"/>
    <w:rsid w:val="6C2B0580"/>
    <w:rsid w:val="6C2FB26C"/>
    <w:rsid w:val="6CBF0C73"/>
    <w:rsid w:val="6CC5FEFA"/>
    <w:rsid w:val="6CD4C11E"/>
    <w:rsid w:val="6CE95E06"/>
    <w:rsid w:val="6D4617D3"/>
    <w:rsid w:val="6DE4B5EB"/>
    <w:rsid w:val="6E66BA19"/>
    <w:rsid w:val="6E7B85B4"/>
    <w:rsid w:val="6E7DDFCF"/>
    <w:rsid w:val="6E97F23D"/>
    <w:rsid w:val="6E9A1136"/>
    <w:rsid w:val="6EFFF001"/>
    <w:rsid w:val="7039644E"/>
    <w:rsid w:val="714EC17E"/>
    <w:rsid w:val="7154FC97"/>
    <w:rsid w:val="71700C06"/>
    <w:rsid w:val="717DA0AB"/>
    <w:rsid w:val="71D85CFC"/>
    <w:rsid w:val="7205AA0A"/>
    <w:rsid w:val="72207A9B"/>
    <w:rsid w:val="723EC1C5"/>
    <w:rsid w:val="724EFD25"/>
    <w:rsid w:val="729E3171"/>
    <w:rsid w:val="72AA634A"/>
    <w:rsid w:val="72CAA880"/>
    <w:rsid w:val="72D3CB98"/>
    <w:rsid w:val="7313FF86"/>
    <w:rsid w:val="7457DAA0"/>
    <w:rsid w:val="75007A2A"/>
    <w:rsid w:val="75CEE627"/>
    <w:rsid w:val="75DA473C"/>
    <w:rsid w:val="76BBCBA1"/>
    <w:rsid w:val="770E4577"/>
    <w:rsid w:val="7761072C"/>
    <w:rsid w:val="7786D5A3"/>
    <w:rsid w:val="77B6BF26"/>
    <w:rsid w:val="7802B9E1"/>
    <w:rsid w:val="78490922"/>
    <w:rsid w:val="78B5C377"/>
    <w:rsid w:val="798EF6D5"/>
    <w:rsid w:val="799B5810"/>
    <w:rsid w:val="79EB880A"/>
    <w:rsid w:val="7A107928"/>
    <w:rsid w:val="7AD14DC2"/>
    <w:rsid w:val="7B118BCA"/>
    <w:rsid w:val="7B63FF0E"/>
    <w:rsid w:val="7B917BA3"/>
    <w:rsid w:val="7BC72B05"/>
    <w:rsid w:val="7C1DE242"/>
    <w:rsid w:val="7C5E7A5D"/>
    <w:rsid w:val="7C75A269"/>
    <w:rsid w:val="7C774D77"/>
    <w:rsid w:val="7C8710D7"/>
    <w:rsid w:val="7D2A4A0A"/>
    <w:rsid w:val="7D886220"/>
    <w:rsid w:val="7DB383F1"/>
    <w:rsid w:val="7E01173E"/>
    <w:rsid w:val="7E4A60ED"/>
    <w:rsid w:val="7FCBB668"/>
    <w:rsid w:val="7FE374E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3DEA2"/>
  <w15:docId w15:val="{B3284A51-8C0D-4571-B01C-C54DB453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DCE"/>
    <w:rPr>
      <w:rFonts w:asciiTheme="minorHAnsi" w:hAnsiTheme="minorHAnsi"/>
      <w:szCs w:val="24"/>
    </w:rPr>
  </w:style>
  <w:style w:type="paragraph" w:styleId="Heading1">
    <w:name w:val="heading 1"/>
    <w:basedOn w:val="Normal"/>
    <w:next w:val="Normal"/>
    <w:link w:val="Heading1Char"/>
    <w:qFormat/>
    <w:rsid w:val="00202D61"/>
    <w:pPr>
      <w:keepNext/>
      <w:keepLines/>
      <w:spacing w:before="240"/>
      <w:outlineLvl w:val="0"/>
    </w:pPr>
    <w:rPr>
      <w:rFonts w:eastAsiaTheme="majorEastAsia" w:cstheme="majorBidi"/>
      <w:b/>
      <w:szCs w:val="32"/>
    </w:rPr>
  </w:style>
  <w:style w:type="paragraph" w:styleId="Heading2">
    <w:name w:val="heading 2"/>
    <w:basedOn w:val="Normal"/>
    <w:next w:val="Normal"/>
    <w:link w:val="Heading2Char"/>
    <w:unhideWhenUsed/>
    <w:qFormat/>
    <w:rsid w:val="004A2C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3715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5477B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6A48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477B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477B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47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477B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23817"/>
    <w:pPr>
      <w:tabs>
        <w:tab w:val="center" w:pos="4320"/>
        <w:tab w:val="right" w:pos="8640"/>
      </w:tabs>
    </w:pPr>
  </w:style>
  <w:style w:type="paragraph" w:styleId="Footer">
    <w:name w:val="footer"/>
    <w:basedOn w:val="Normal"/>
    <w:link w:val="FooterChar"/>
    <w:uiPriority w:val="99"/>
    <w:rsid w:val="00D23817"/>
    <w:pPr>
      <w:tabs>
        <w:tab w:val="center" w:pos="4320"/>
        <w:tab w:val="right" w:pos="8640"/>
      </w:tabs>
    </w:pPr>
  </w:style>
  <w:style w:type="paragraph" w:styleId="NormalWeb">
    <w:name w:val="Normal (Web)"/>
    <w:basedOn w:val="Normal"/>
    <w:uiPriority w:val="99"/>
    <w:unhideWhenUsed/>
    <w:rsid w:val="00BA678C"/>
  </w:style>
  <w:style w:type="paragraph" w:styleId="BodyTextIndent">
    <w:name w:val="Body Text Indent"/>
    <w:basedOn w:val="Normal"/>
    <w:link w:val="BodyTextIndentChar"/>
    <w:rsid w:val="00164CE7"/>
    <w:pPr>
      <w:ind w:left="1080"/>
    </w:pPr>
    <w:rPr>
      <w:sz w:val="22"/>
      <w:szCs w:val="20"/>
      <w:lang w:val="en-GB"/>
    </w:rPr>
  </w:style>
  <w:style w:type="character" w:customStyle="1" w:styleId="BodyTextIndentChar">
    <w:name w:val="Body Text Indent Char"/>
    <w:basedOn w:val="DefaultParagraphFont"/>
    <w:link w:val="BodyTextIndent"/>
    <w:rsid w:val="00164CE7"/>
    <w:rPr>
      <w:sz w:val="22"/>
      <w:lang w:val="en-GB"/>
    </w:rPr>
  </w:style>
  <w:style w:type="paragraph" w:customStyle="1" w:styleId="Par1">
    <w:name w:val="Par. # 1"/>
    <w:basedOn w:val="Normal"/>
    <w:next w:val="Normal"/>
    <w:link w:val="Par1Char"/>
    <w:rsid w:val="004449EF"/>
    <w:pPr>
      <w:keepNext/>
      <w:numPr>
        <w:numId w:val="1"/>
      </w:numPr>
      <w:spacing w:after="290" w:line="290" w:lineRule="atLeast"/>
      <w:outlineLvl w:val="0"/>
    </w:pPr>
    <w:rPr>
      <w:b/>
      <w:szCs w:val="22"/>
      <w:lang w:val="en-CA"/>
    </w:rPr>
  </w:style>
  <w:style w:type="paragraph" w:customStyle="1" w:styleId="Par2">
    <w:name w:val="Par. # 2"/>
    <w:basedOn w:val="Par1"/>
    <w:next w:val="Normal"/>
    <w:rsid w:val="004449EF"/>
    <w:pPr>
      <w:numPr>
        <w:ilvl w:val="1"/>
      </w:numPr>
      <w:tabs>
        <w:tab w:val="num" w:pos="2220"/>
      </w:tabs>
      <w:spacing w:after="260" w:line="260" w:lineRule="atLeast"/>
      <w:outlineLvl w:val="1"/>
    </w:pPr>
    <w:rPr>
      <w:b w:val="0"/>
      <w:sz w:val="22"/>
    </w:rPr>
  </w:style>
  <w:style w:type="paragraph" w:customStyle="1" w:styleId="Par3">
    <w:name w:val="Par. # 3"/>
    <w:basedOn w:val="Par2"/>
    <w:next w:val="Normal"/>
    <w:link w:val="Par3Char"/>
    <w:rsid w:val="004449EF"/>
    <w:pPr>
      <w:numPr>
        <w:ilvl w:val="2"/>
      </w:numPr>
      <w:tabs>
        <w:tab w:val="clear" w:pos="1296"/>
        <w:tab w:val="num" w:pos="2940"/>
      </w:tabs>
      <w:outlineLvl w:val="2"/>
    </w:pPr>
  </w:style>
  <w:style w:type="character" w:customStyle="1" w:styleId="Par3Char">
    <w:name w:val="Par. # 3 Char"/>
    <w:basedOn w:val="DefaultParagraphFont"/>
    <w:link w:val="Par3"/>
    <w:locked/>
    <w:rsid w:val="004449EF"/>
    <w:rPr>
      <w:rFonts w:asciiTheme="minorHAnsi" w:hAnsiTheme="minorHAnsi"/>
      <w:sz w:val="22"/>
      <w:szCs w:val="22"/>
      <w:lang w:val="en-CA"/>
    </w:rPr>
  </w:style>
  <w:style w:type="paragraph" w:styleId="BalloonText">
    <w:name w:val="Balloon Text"/>
    <w:basedOn w:val="Normal"/>
    <w:link w:val="BalloonTextChar"/>
    <w:rsid w:val="008F78AD"/>
    <w:rPr>
      <w:rFonts w:ascii="Tahoma" w:hAnsi="Tahoma" w:cs="Tahoma"/>
      <w:sz w:val="16"/>
      <w:szCs w:val="16"/>
    </w:rPr>
  </w:style>
  <w:style w:type="character" w:customStyle="1" w:styleId="BalloonTextChar">
    <w:name w:val="Balloon Text Char"/>
    <w:basedOn w:val="DefaultParagraphFont"/>
    <w:link w:val="BalloonText"/>
    <w:rsid w:val="008F78AD"/>
    <w:rPr>
      <w:rFonts w:ascii="Tahoma" w:hAnsi="Tahoma" w:cs="Tahoma"/>
      <w:sz w:val="16"/>
      <w:szCs w:val="16"/>
    </w:rPr>
  </w:style>
  <w:style w:type="character" w:styleId="CommentReference">
    <w:name w:val="annotation reference"/>
    <w:basedOn w:val="DefaultParagraphFont"/>
    <w:uiPriority w:val="99"/>
    <w:rsid w:val="006C7717"/>
    <w:rPr>
      <w:sz w:val="16"/>
      <w:szCs w:val="16"/>
    </w:rPr>
  </w:style>
  <w:style w:type="paragraph" w:styleId="CommentText">
    <w:name w:val="annotation text"/>
    <w:basedOn w:val="Normal"/>
    <w:link w:val="CommentTextChar"/>
    <w:uiPriority w:val="99"/>
    <w:rsid w:val="006C7717"/>
    <w:rPr>
      <w:szCs w:val="20"/>
    </w:rPr>
  </w:style>
  <w:style w:type="character" w:customStyle="1" w:styleId="CommentTextChar">
    <w:name w:val="Comment Text Char"/>
    <w:basedOn w:val="DefaultParagraphFont"/>
    <w:link w:val="CommentText"/>
    <w:uiPriority w:val="99"/>
    <w:rsid w:val="006C7717"/>
  </w:style>
  <w:style w:type="paragraph" w:styleId="CommentSubject">
    <w:name w:val="annotation subject"/>
    <w:basedOn w:val="CommentText"/>
    <w:next w:val="CommentText"/>
    <w:link w:val="CommentSubjectChar"/>
    <w:rsid w:val="006C7717"/>
    <w:rPr>
      <w:b/>
      <w:bCs/>
    </w:rPr>
  </w:style>
  <w:style w:type="character" w:customStyle="1" w:styleId="CommentSubjectChar">
    <w:name w:val="Comment Subject Char"/>
    <w:basedOn w:val="CommentTextChar"/>
    <w:link w:val="CommentSubject"/>
    <w:rsid w:val="006C7717"/>
    <w:rPr>
      <w:b/>
      <w:bCs/>
    </w:rPr>
  </w:style>
  <w:style w:type="paragraph" w:styleId="Revision">
    <w:name w:val="Revision"/>
    <w:hidden/>
    <w:uiPriority w:val="99"/>
    <w:semiHidden/>
    <w:rsid w:val="006C7717"/>
    <w:rPr>
      <w:sz w:val="24"/>
      <w:szCs w:val="24"/>
    </w:rPr>
  </w:style>
  <w:style w:type="paragraph" w:styleId="BodyText">
    <w:name w:val="Body Text"/>
    <w:basedOn w:val="Normal"/>
    <w:link w:val="BodyTextChar"/>
    <w:rsid w:val="00E84998"/>
    <w:pPr>
      <w:spacing w:after="120"/>
    </w:pPr>
  </w:style>
  <w:style w:type="character" w:customStyle="1" w:styleId="BodyTextChar">
    <w:name w:val="Body Text Char"/>
    <w:basedOn w:val="DefaultParagraphFont"/>
    <w:link w:val="BodyText"/>
    <w:rsid w:val="00E84998"/>
    <w:rPr>
      <w:sz w:val="24"/>
      <w:szCs w:val="24"/>
    </w:rPr>
  </w:style>
  <w:style w:type="paragraph" w:customStyle="1" w:styleId="DecimalAligned">
    <w:name w:val="Decimal Aligned"/>
    <w:basedOn w:val="Normal"/>
    <w:uiPriority w:val="40"/>
    <w:qFormat/>
    <w:rsid w:val="00375BF5"/>
    <w:pPr>
      <w:tabs>
        <w:tab w:val="decimal" w:pos="360"/>
      </w:tabs>
      <w:spacing w:after="200" w:line="276" w:lineRule="auto"/>
    </w:pPr>
    <w:rPr>
      <w:rFonts w:eastAsiaTheme="minorEastAsia" w:cstheme="minorBidi"/>
      <w:sz w:val="22"/>
      <w:szCs w:val="22"/>
    </w:rPr>
  </w:style>
  <w:style w:type="paragraph" w:styleId="FootnoteText">
    <w:name w:val="footnote text"/>
    <w:basedOn w:val="Normal"/>
    <w:link w:val="FootnoteTextChar"/>
    <w:uiPriority w:val="99"/>
    <w:unhideWhenUsed/>
    <w:rsid w:val="00375BF5"/>
    <w:rPr>
      <w:rFonts w:eastAsiaTheme="minorEastAsia" w:cstheme="minorBidi"/>
      <w:szCs w:val="20"/>
    </w:rPr>
  </w:style>
  <w:style w:type="character" w:customStyle="1" w:styleId="FootnoteTextChar">
    <w:name w:val="Footnote Text Char"/>
    <w:basedOn w:val="DefaultParagraphFont"/>
    <w:link w:val="FootnoteText"/>
    <w:uiPriority w:val="99"/>
    <w:rsid w:val="00375BF5"/>
    <w:rPr>
      <w:rFonts w:asciiTheme="minorHAnsi" w:eastAsiaTheme="minorEastAsia" w:hAnsiTheme="minorHAnsi" w:cstheme="minorBidi"/>
    </w:rPr>
  </w:style>
  <w:style w:type="character" w:styleId="SubtleEmphasis">
    <w:name w:val="Subtle Emphasis"/>
    <w:basedOn w:val="DefaultParagraphFont"/>
    <w:uiPriority w:val="19"/>
    <w:qFormat/>
    <w:rsid w:val="00375BF5"/>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375BF5"/>
    <w:rPr>
      <w:rFonts w:asciiTheme="minorHAnsi" w:eastAsiaTheme="minorEastAsia" w:hAnsiTheme="minorHAnsi" w:cstheme="minorBidi"/>
      <w:color w:val="365F91" w:themeColor="accent1" w:themeShade="BF"/>
      <w:sz w:val="22"/>
      <w:szCs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rsid w:val="00E5094C"/>
    <w:pPr>
      <w:spacing w:after="120" w:line="480" w:lineRule="auto"/>
      <w:ind w:left="360"/>
    </w:pPr>
  </w:style>
  <w:style w:type="character" w:customStyle="1" w:styleId="BodyTextIndent2Char">
    <w:name w:val="Body Text Indent 2 Char"/>
    <w:basedOn w:val="DefaultParagraphFont"/>
    <w:link w:val="BodyTextIndent2"/>
    <w:rsid w:val="00E5094C"/>
    <w:rPr>
      <w:sz w:val="24"/>
      <w:szCs w:val="24"/>
    </w:rPr>
  </w:style>
  <w:style w:type="paragraph" w:styleId="BodyTextIndent3">
    <w:name w:val="Body Text Indent 3"/>
    <w:basedOn w:val="Normal"/>
    <w:link w:val="BodyTextIndent3Char"/>
    <w:rsid w:val="00E5094C"/>
    <w:pPr>
      <w:spacing w:after="120"/>
      <w:ind w:left="360"/>
    </w:pPr>
    <w:rPr>
      <w:sz w:val="16"/>
      <w:szCs w:val="16"/>
    </w:rPr>
  </w:style>
  <w:style w:type="character" w:customStyle="1" w:styleId="BodyTextIndent3Char">
    <w:name w:val="Body Text Indent 3 Char"/>
    <w:basedOn w:val="DefaultParagraphFont"/>
    <w:link w:val="BodyTextIndent3"/>
    <w:rsid w:val="00E5094C"/>
    <w:rPr>
      <w:sz w:val="16"/>
      <w:szCs w:val="16"/>
    </w:rPr>
  </w:style>
  <w:style w:type="paragraph" w:styleId="ListBullet4">
    <w:name w:val="List Bullet 4"/>
    <w:basedOn w:val="Normal"/>
    <w:autoRedefine/>
    <w:rsid w:val="000E3FE5"/>
    <w:pPr>
      <w:tabs>
        <w:tab w:val="num" w:pos="1440"/>
      </w:tabs>
      <w:ind w:left="1440" w:hanging="360"/>
    </w:pPr>
    <w:rPr>
      <w:sz w:val="22"/>
      <w:szCs w:val="20"/>
    </w:rPr>
  </w:style>
  <w:style w:type="paragraph" w:customStyle="1" w:styleId="Notes">
    <w:name w:val="Notes"/>
    <w:rsid w:val="00584119"/>
    <w:pPr>
      <w:widowControl w:val="0"/>
      <w:tabs>
        <w:tab w:val="left" w:pos="288"/>
        <w:tab w:val="left" w:pos="4032"/>
        <w:tab w:val="left" w:pos="4608"/>
      </w:tabs>
      <w:autoSpaceDE w:val="0"/>
      <w:autoSpaceDN w:val="0"/>
      <w:adjustRightInd w:val="0"/>
      <w:spacing w:line="239" w:lineRule="exact"/>
      <w:jc w:val="both"/>
    </w:pPr>
    <w:rPr>
      <w:rFonts w:ascii="Univers" w:hAnsi="Univers"/>
      <w:color w:val="000000"/>
    </w:rPr>
  </w:style>
  <w:style w:type="paragraph" w:customStyle="1" w:styleId="Indent1">
    <w:name w:val="Indent 1"/>
    <w:basedOn w:val="Normal"/>
    <w:uiPriority w:val="99"/>
    <w:rsid w:val="00584119"/>
    <w:pPr>
      <w:spacing w:after="260" w:line="260" w:lineRule="atLeast"/>
      <w:ind w:left="431"/>
    </w:pPr>
    <w:rPr>
      <w:sz w:val="22"/>
      <w:szCs w:val="22"/>
      <w:lang w:val="en-CA"/>
    </w:rPr>
  </w:style>
  <w:style w:type="paragraph" w:styleId="ListParagraph">
    <w:name w:val="List Paragraph"/>
    <w:basedOn w:val="Normal"/>
    <w:link w:val="ListParagraphChar"/>
    <w:uiPriority w:val="34"/>
    <w:qFormat/>
    <w:rsid w:val="009321C3"/>
    <w:pPr>
      <w:spacing w:after="200" w:line="276" w:lineRule="auto"/>
      <w:ind w:left="720"/>
      <w:contextualSpacing/>
    </w:pPr>
    <w:rPr>
      <w:rFonts w:ascii="Calibri" w:eastAsia="SimSun" w:hAnsi="Calibri"/>
      <w:sz w:val="22"/>
      <w:szCs w:val="22"/>
      <w:lang w:eastAsia="zh-CN"/>
    </w:rPr>
  </w:style>
  <w:style w:type="paragraph" w:customStyle="1" w:styleId="Indent2">
    <w:name w:val="Indent 2"/>
    <w:basedOn w:val="Indent1"/>
    <w:rsid w:val="004461F6"/>
    <w:pPr>
      <w:ind w:left="864"/>
    </w:pPr>
  </w:style>
  <w:style w:type="character" w:customStyle="1" w:styleId="Par1Char">
    <w:name w:val="Par. # 1 Char"/>
    <w:link w:val="Par1"/>
    <w:rsid w:val="004461F6"/>
    <w:rPr>
      <w:rFonts w:asciiTheme="minorHAnsi" w:hAnsiTheme="minorHAnsi"/>
      <w:b/>
      <w:szCs w:val="22"/>
      <w:lang w:val="en-CA"/>
    </w:rPr>
  </w:style>
  <w:style w:type="paragraph" w:customStyle="1" w:styleId="TableText">
    <w:name w:val="Table Text"/>
    <w:basedOn w:val="Normal"/>
    <w:rsid w:val="00A24C8B"/>
    <w:pPr>
      <w:ind w:left="432" w:hanging="432"/>
    </w:pPr>
    <w:rPr>
      <w:sz w:val="22"/>
      <w:szCs w:val="22"/>
      <w:lang w:val="en-CA"/>
    </w:rPr>
  </w:style>
  <w:style w:type="paragraph" w:customStyle="1" w:styleId="TableHeading">
    <w:name w:val="Table Heading"/>
    <w:basedOn w:val="Normal"/>
    <w:rsid w:val="00A24C8B"/>
    <w:pPr>
      <w:ind w:right="144"/>
      <w:jc w:val="right"/>
    </w:pPr>
    <w:rPr>
      <w:b/>
      <w:sz w:val="22"/>
      <w:szCs w:val="20"/>
      <w:lang w:val="en-CA"/>
    </w:rPr>
  </w:style>
  <w:style w:type="paragraph" w:customStyle="1" w:styleId="BodyText05">
    <w:name w:val="BodyText 0.5"/>
    <w:aliases w:val="B5"/>
    <w:basedOn w:val="BodyText"/>
    <w:rsid w:val="00A24C8B"/>
    <w:pPr>
      <w:spacing w:after="240"/>
      <w:ind w:firstLine="720"/>
    </w:pPr>
    <w:rPr>
      <w:sz w:val="22"/>
      <w:lang w:val="en-CA"/>
    </w:rPr>
  </w:style>
  <w:style w:type="paragraph" w:customStyle="1" w:styleId="Default">
    <w:name w:val="Default"/>
    <w:rsid w:val="007D3338"/>
    <w:pPr>
      <w:autoSpaceDE w:val="0"/>
      <w:autoSpaceDN w:val="0"/>
      <w:adjustRightInd w:val="0"/>
    </w:pPr>
    <w:rPr>
      <w:rFonts w:ascii="Arial" w:eastAsia="Calibri" w:hAnsi="Arial" w:cs="Arial"/>
      <w:color w:val="000000"/>
      <w:sz w:val="24"/>
      <w:szCs w:val="24"/>
    </w:rPr>
  </w:style>
  <w:style w:type="paragraph" w:styleId="BodyText3">
    <w:name w:val="Body Text 3"/>
    <w:basedOn w:val="Normal"/>
    <w:link w:val="BodyText3Char"/>
    <w:rsid w:val="00AC269E"/>
    <w:pPr>
      <w:spacing w:after="120"/>
    </w:pPr>
    <w:rPr>
      <w:sz w:val="16"/>
      <w:szCs w:val="16"/>
    </w:rPr>
  </w:style>
  <w:style w:type="character" w:customStyle="1" w:styleId="BodyText3Char">
    <w:name w:val="Body Text 3 Char"/>
    <w:basedOn w:val="DefaultParagraphFont"/>
    <w:link w:val="BodyText3"/>
    <w:rsid w:val="00AC269E"/>
    <w:rPr>
      <w:sz w:val="16"/>
      <w:szCs w:val="16"/>
    </w:rPr>
  </w:style>
  <w:style w:type="character" w:styleId="Hyperlink">
    <w:name w:val="Hyperlink"/>
    <w:basedOn w:val="DefaultParagraphFont"/>
    <w:rsid w:val="006E7C06"/>
    <w:rPr>
      <w:color w:val="0000FF" w:themeColor="hyperlink"/>
      <w:u w:val="single"/>
    </w:rPr>
  </w:style>
  <w:style w:type="character" w:customStyle="1" w:styleId="FooterChar">
    <w:name w:val="Footer Char"/>
    <w:basedOn w:val="DefaultParagraphFont"/>
    <w:link w:val="Footer"/>
    <w:uiPriority w:val="99"/>
    <w:rsid w:val="002A0B40"/>
    <w:rPr>
      <w:sz w:val="24"/>
      <w:szCs w:val="24"/>
    </w:rPr>
  </w:style>
  <w:style w:type="paragraph" w:styleId="List">
    <w:name w:val="List"/>
    <w:basedOn w:val="BodyText"/>
    <w:rsid w:val="00242DCA"/>
    <w:pPr>
      <w:spacing w:before="240" w:after="0"/>
      <w:ind w:left="1080" w:hanging="1080"/>
    </w:pPr>
    <w:rPr>
      <w:szCs w:val="20"/>
      <w:lang w:val="en-GB"/>
    </w:rPr>
  </w:style>
  <w:style w:type="paragraph" w:styleId="BodyText2">
    <w:name w:val="Body Text 2"/>
    <w:basedOn w:val="Normal"/>
    <w:link w:val="BodyText2Char"/>
    <w:rsid w:val="000049EE"/>
    <w:pPr>
      <w:spacing w:after="120" w:line="480" w:lineRule="auto"/>
    </w:pPr>
  </w:style>
  <w:style w:type="character" w:customStyle="1" w:styleId="BodyText2Char">
    <w:name w:val="Body Text 2 Char"/>
    <w:basedOn w:val="DefaultParagraphFont"/>
    <w:link w:val="BodyText2"/>
    <w:rsid w:val="000049EE"/>
    <w:rPr>
      <w:sz w:val="24"/>
      <w:szCs w:val="24"/>
    </w:rPr>
  </w:style>
  <w:style w:type="paragraph" w:customStyle="1" w:styleId="NormalCalibri">
    <w:name w:val="Normal + Calibri"/>
    <w:aliases w:val="11 pt,Justified,Left:  1.25 cm,Hanging:  0.02 cm + Before:  ..."/>
    <w:basedOn w:val="Normal"/>
    <w:uiPriority w:val="99"/>
    <w:rsid w:val="00A42783"/>
    <w:pPr>
      <w:overflowPunct w:val="0"/>
      <w:autoSpaceDE w:val="0"/>
      <w:autoSpaceDN w:val="0"/>
      <w:adjustRightInd w:val="0"/>
      <w:spacing w:before="120" w:line="280" w:lineRule="atLeast"/>
      <w:ind w:left="720"/>
      <w:textAlignment w:val="baseline"/>
    </w:pPr>
    <w:rPr>
      <w:rFonts w:ascii="Calibri" w:hAnsi="Calibri"/>
      <w:sz w:val="22"/>
      <w:szCs w:val="22"/>
      <w:lang w:val="en-GB"/>
    </w:rPr>
  </w:style>
  <w:style w:type="paragraph" w:customStyle="1" w:styleId="NormalPB">
    <w:name w:val="Normal PB"/>
    <w:rsid w:val="00D02370"/>
    <w:pPr>
      <w:widowControl w:val="0"/>
      <w:autoSpaceDE w:val="0"/>
      <w:autoSpaceDN w:val="0"/>
      <w:adjustRightInd w:val="0"/>
      <w:spacing w:line="260" w:lineRule="atLeast"/>
      <w:ind w:right="1439"/>
      <w:jc w:val="both"/>
    </w:pPr>
    <w:rPr>
      <w:rFonts w:ascii="Arial" w:hAnsi="Arial" w:cs="Arial"/>
    </w:rPr>
  </w:style>
  <w:style w:type="paragraph" w:customStyle="1" w:styleId="FS1">
    <w:name w:val="FS1"/>
    <w:basedOn w:val="Normal"/>
    <w:rsid w:val="00D02370"/>
    <w:pPr>
      <w:tabs>
        <w:tab w:val="decimal" w:pos="7280"/>
        <w:tab w:val="decimal" w:pos="9000"/>
      </w:tabs>
      <w:overflowPunct w:val="0"/>
      <w:autoSpaceDE w:val="0"/>
      <w:autoSpaceDN w:val="0"/>
      <w:adjustRightInd w:val="0"/>
      <w:ind w:left="180" w:hanging="180"/>
      <w:textAlignment w:val="baseline"/>
    </w:pPr>
    <w:rPr>
      <w:rFonts w:ascii="Arial" w:hAnsi="Arial" w:cs="Arial"/>
      <w:szCs w:val="20"/>
    </w:rPr>
  </w:style>
  <w:style w:type="paragraph" w:customStyle="1" w:styleId="N-Body0Indent">
    <w:name w:val="N-Body 0 Indent"/>
    <w:uiPriority w:val="99"/>
    <w:locked/>
    <w:rsid w:val="00D02370"/>
    <w:pPr>
      <w:widowControl w:val="0"/>
      <w:autoSpaceDE w:val="0"/>
      <w:autoSpaceDN w:val="0"/>
      <w:adjustRightInd w:val="0"/>
      <w:jc w:val="both"/>
    </w:pPr>
    <w:rPr>
      <w:color w:val="000000"/>
      <w:sz w:val="22"/>
      <w:szCs w:val="22"/>
    </w:rPr>
  </w:style>
  <w:style w:type="character" w:customStyle="1" w:styleId="PWFSLetterDate">
    <w:name w:val="PWFSLetterDate"/>
    <w:rsid w:val="001B27C7"/>
    <w:rPr>
      <w:spacing w:val="-2"/>
      <w:sz w:val="22"/>
      <w:lang w:val="en-GB"/>
    </w:rPr>
  </w:style>
  <w:style w:type="paragraph" w:styleId="NoSpacing">
    <w:name w:val="No Spacing"/>
    <w:uiPriority w:val="1"/>
    <w:qFormat/>
    <w:rsid w:val="00270ED1"/>
    <w:rPr>
      <w:rFonts w:ascii="Arial" w:hAnsi="Arial"/>
      <w:lang w:val="en-CA"/>
    </w:rPr>
  </w:style>
  <w:style w:type="paragraph" w:customStyle="1" w:styleId="NotesMainHeading">
    <w:name w:val="Notes Main Heading"/>
    <w:basedOn w:val="Normal"/>
    <w:next w:val="Normal"/>
    <w:rsid w:val="00AC3499"/>
    <w:pPr>
      <w:keepNext/>
      <w:spacing w:before="240"/>
    </w:pPr>
    <w:rPr>
      <w:rFonts w:ascii="Times" w:hAnsi="Times"/>
      <w:b/>
      <w:caps/>
      <w:szCs w:val="20"/>
    </w:rPr>
  </w:style>
  <w:style w:type="paragraph" w:styleId="ListContinue">
    <w:name w:val="List Continue"/>
    <w:basedOn w:val="Normal"/>
    <w:rsid w:val="009E5735"/>
    <w:pPr>
      <w:spacing w:after="120"/>
      <w:ind w:left="283"/>
      <w:contextualSpacing/>
    </w:pPr>
  </w:style>
  <w:style w:type="paragraph" w:customStyle="1" w:styleId="Normaltimeroman9pts">
    <w:name w:val="Normal + time roman 9pts"/>
    <w:basedOn w:val="Heading5"/>
    <w:rsid w:val="006A4897"/>
    <w:pPr>
      <w:keepLines w:val="0"/>
      <w:spacing w:before="0"/>
    </w:pPr>
    <w:rPr>
      <w:rFonts w:ascii="Times New Roman" w:eastAsia="Times New Roman" w:hAnsi="Times New Roman" w:cs="Times New Roman"/>
      <w:color w:val="auto"/>
      <w:sz w:val="18"/>
      <w:szCs w:val="18"/>
    </w:rPr>
  </w:style>
  <w:style w:type="character" w:customStyle="1" w:styleId="Heading5Char">
    <w:name w:val="Heading 5 Char"/>
    <w:basedOn w:val="DefaultParagraphFont"/>
    <w:link w:val="Heading5"/>
    <w:semiHidden/>
    <w:rsid w:val="006A4897"/>
    <w:rPr>
      <w:rFonts w:asciiTheme="majorHAnsi" w:eastAsiaTheme="majorEastAsia" w:hAnsiTheme="majorHAnsi" w:cstheme="majorBidi"/>
      <w:color w:val="365F91" w:themeColor="accent1" w:themeShade="BF"/>
      <w:sz w:val="24"/>
      <w:szCs w:val="24"/>
    </w:rPr>
  </w:style>
  <w:style w:type="character" w:customStyle="1" w:styleId="Heading2Char">
    <w:name w:val="Heading 2 Char"/>
    <w:basedOn w:val="DefaultParagraphFont"/>
    <w:link w:val="Heading2"/>
    <w:rsid w:val="004A2C1F"/>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614FA1"/>
    <w:rPr>
      <w:rFonts w:ascii="Calibri" w:eastAsia="SimSun" w:hAnsi="Calibri"/>
      <w:sz w:val="22"/>
      <w:szCs w:val="22"/>
      <w:lang w:eastAsia="zh-CN"/>
    </w:rPr>
  </w:style>
  <w:style w:type="paragraph" w:customStyle="1" w:styleId="TableParagraph">
    <w:name w:val="Table Paragraph"/>
    <w:basedOn w:val="Normal"/>
    <w:uiPriority w:val="1"/>
    <w:qFormat/>
    <w:rsid w:val="00617247"/>
    <w:pPr>
      <w:widowControl w:val="0"/>
      <w:autoSpaceDE w:val="0"/>
      <w:autoSpaceDN w:val="0"/>
    </w:pPr>
    <w:rPr>
      <w:rFonts w:ascii="Arial" w:eastAsia="Arial" w:hAnsi="Arial" w:cs="Arial"/>
      <w:sz w:val="22"/>
      <w:szCs w:val="22"/>
      <w:lang w:bidi="en-US"/>
    </w:rPr>
  </w:style>
  <w:style w:type="character" w:customStyle="1" w:styleId="Heading1Char">
    <w:name w:val="Heading 1 Char"/>
    <w:basedOn w:val="DefaultParagraphFont"/>
    <w:link w:val="Heading1"/>
    <w:rsid w:val="00202D61"/>
    <w:rPr>
      <w:rFonts w:asciiTheme="minorHAnsi" w:eastAsiaTheme="majorEastAsia" w:hAnsiTheme="minorHAnsi" w:cstheme="majorBidi"/>
      <w:b/>
      <w:szCs w:val="32"/>
    </w:rPr>
  </w:style>
  <w:style w:type="paragraph" w:styleId="ListBullet">
    <w:name w:val="List Bullet"/>
    <w:basedOn w:val="Normal"/>
    <w:rsid w:val="00E35058"/>
    <w:pPr>
      <w:numPr>
        <w:numId w:val="3"/>
      </w:numPr>
      <w:contextualSpacing/>
    </w:pPr>
  </w:style>
  <w:style w:type="paragraph" w:customStyle="1" w:styleId="Ne2">
    <w:name w:val="Ne2"/>
    <w:basedOn w:val="Normal"/>
    <w:link w:val="Ne2Char"/>
    <w:uiPriority w:val="99"/>
    <w:rsid w:val="006C54CF"/>
    <w:pPr>
      <w:overflowPunct w:val="0"/>
      <w:autoSpaceDE w:val="0"/>
      <w:autoSpaceDN w:val="0"/>
      <w:adjustRightInd w:val="0"/>
      <w:spacing w:before="120" w:line="280" w:lineRule="atLeast"/>
      <w:ind w:left="360"/>
      <w:textAlignment w:val="baseline"/>
    </w:pPr>
    <w:rPr>
      <w:rFonts w:ascii="Arial" w:hAnsi="Arial"/>
      <w:sz w:val="18"/>
      <w:szCs w:val="20"/>
    </w:rPr>
  </w:style>
  <w:style w:type="character" w:customStyle="1" w:styleId="Ne2Char">
    <w:name w:val="Ne2 Char"/>
    <w:basedOn w:val="DefaultParagraphFont"/>
    <w:link w:val="Ne2"/>
    <w:uiPriority w:val="99"/>
    <w:rsid w:val="006C54CF"/>
    <w:rPr>
      <w:rFonts w:ascii="Arial" w:hAnsi="Arial"/>
      <w:sz w:val="18"/>
    </w:rPr>
  </w:style>
  <w:style w:type="character" w:customStyle="1" w:styleId="UnresolvedMention1">
    <w:name w:val="Unresolved Mention1"/>
    <w:basedOn w:val="DefaultParagraphFont"/>
    <w:uiPriority w:val="99"/>
    <w:semiHidden/>
    <w:unhideWhenUsed/>
    <w:rsid w:val="0009516E"/>
    <w:rPr>
      <w:color w:val="605E5C"/>
      <w:shd w:val="clear" w:color="auto" w:fill="E1DFDD"/>
    </w:rPr>
  </w:style>
  <w:style w:type="paragraph" w:customStyle="1" w:styleId="headercas">
    <w:name w:val="headercas"/>
    <w:basedOn w:val="Normal"/>
    <w:rsid w:val="00C6728E"/>
    <w:pPr>
      <w:spacing w:before="65" w:after="65"/>
    </w:pPr>
    <w:rPr>
      <w:b/>
      <w:bCs/>
      <w:sz w:val="23"/>
      <w:szCs w:val="23"/>
    </w:rPr>
  </w:style>
  <w:style w:type="paragraph" w:customStyle="1" w:styleId="l5cas">
    <w:name w:val="l5cas"/>
    <w:basedOn w:val="Normal"/>
    <w:rsid w:val="00C6728E"/>
    <w:pPr>
      <w:spacing w:before="65" w:after="65"/>
    </w:pPr>
    <w:rPr>
      <w:b/>
      <w:bCs/>
      <w:sz w:val="22"/>
      <w:szCs w:val="22"/>
    </w:rPr>
  </w:style>
  <w:style w:type="paragraph" w:customStyle="1" w:styleId="paragraphnoindent">
    <w:name w:val="paragraphnoindent"/>
    <w:basedOn w:val="Normal"/>
    <w:rsid w:val="00C6728E"/>
    <w:pPr>
      <w:spacing w:before="65" w:after="65"/>
    </w:pPr>
    <w:rPr>
      <w:sz w:val="22"/>
      <w:szCs w:val="22"/>
    </w:rPr>
  </w:style>
  <w:style w:type="character" w:customStyle="1" w:styleId="Heading3Char">
    <w:name w:val="Heading 3 Char"/>
    <w:basedOn w:val="DefaultParagraphFont"/>
    <w:link w:val="Heading3"/>
    <w:semiHidden/>
    <w:rsid w:val="0083715F"/>
    <w:rPr>
      <w:rFonts w:asciiTheme="majorHAnsi" w:eastAsiaTheme="majorEastAsia" w:hAnsiTheme="majorHAnsi" w:cstheme="majorBidi"/>
      <w:color w:val="243F60" w:themeColor="accent1" w:themeShade="7F"/>
      <w:sz w:val="24"/>
      <w:szCs w:val="24"/>
    </w:rPr>
  </w:style>
  <w:style w:type="paragraph" w:customStyle="1" w:styleId="FSheading">
    <w:name w:val="FS heading"/>
    <w:basedOn w:val="ListParagraph"/>
    <w:link w:val="FSheadingChar"/>
    <w:rsid w:val="00C25E23"/>
    <w:pPr>
      <w:numPr>
        <w:numId w:val="4"/>
      </w:numPr>
      <w:spacing w:after="120" w:line="240" w:lineRule="auto"/>
    </w:pPr>
    <w:rPr>
      <w:rFonts w:asciiTheme="minorHAnsi" w:eastAsiaTheme="minorHAnsi" w:hAnsiTheme="minorHAnsi" w:cstheme="minorBidi"/>
      <w:b/>
    </w:rPr>
  </w:style>
  <w:style w:type="character" w:customStyle="1" w:styleId="FSheadingChar">
    <w:name w:val="FS heading Char"/>
    <w:basedOn w:val="ListParagraphChar"/>
    <w:link w:val="FSheading"/>
    <w:rsid w:val="00C25E23"/>
    <w:rPr>
      <w:rFonts w:asciiTheme="minorHAnsi" w:eastAsiaTheme="minorHAnsi" w:hAnsiTheme="minorHAnsi" w:cstheme="minorBidi"/>
      <w:b/>
      <w:sz w:val="22"/>
      <w:szCs w:val="22"/>
      <w:lang w:eastAsia="zh-CN"/>
    </w:rPr>
  </w:style>
  <w:style w:type="paragraph" w:customStyle="1" w:styleId="mdc-article-paragraph">
    <w:name w:val="mdc-article-paragraph"/>
    <w:basedOn w:val="Normal"/>
    <w:rsid w:val="00E11482"/>
    <w:pPr>
      <w:spacing w:before="100" w:beforeAutospacing="1" w:after="100" w:afterAutospacing="1"/>
    </w:pPr>
  </w:style>
  <w:style w:type="table" w:customStyle="1" w:styleId="TableGrid1">
    <w:name w:val="Table Grid1"/>
    <w:basedOn w:val="TableNormal"/>
    <w:next w:val="TableGrid"/>
    <w:uiPriority w:val="39"/>
    <w:rsid w:val="008B6FA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75D0F"/>
    <w:rPr>
      <w:sz w:val="24"/>
      <w:szCs w:val="24"/>
    </w:rPr>
  </w:style>
  <w:style w:type="table" w:customStyle="1" w:styleId="Calendar2">
    <w:name w:val="Calendar 2"/>
    <w:basedOn w:val="TableNormal"/>
    <w:uiPriority w:val="99"/>
    <w:qFormat/>
    <w:rsid w:val="00B936F6"/>
    <w:pPr>
      <w:jc w:val="center"/>
    </w:pPr>
    <w:rPr>
      <w:rFonts w:asciiTheme="minorHAnsi" w:eastAsiaTheme="minorEastAsia" w:hAnsiTheme="minorHAnsi" w:cstheme="minorBidi"/>
      <w:sz w:val="28"/>
      <w:szCs w:val="28"/>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PlaceholderText">
    <w:name w:val="Placeholder Text"/>
    <w:basedOn w:val="DefaultParagraphFont"/>
    <w:uiPriority w:val="99"/>
    <w:semiHidden/>
    <w:rsid w:val="008A3CF3"/>
    <w:rPr>
      <w:color w:val="808080"/>
    </w:rPr>
  </w:style>
  <w:style w:type="paragraph" w:styleId="Bibliography">
    <w:name w:val="Bibliography"/>
    <w:basedOn w:val="Normal"/>
    <w:next w:val="Normal"/>
    <w:uiPriority w:val="37"/>
    <w:semiHidden/>
    <w:unhideWhenUsed/>
    <w:rsid w:val="005477B8"/>
  </w:style>
  <w:style w:type="paragraph" w:styleId="BlockText">
    <w:name w:val="Block Text"/>
    <w:basedOn w:val="Normal"/>
    <w:semiHidden/>
    <w:unhideWhenUsed/>
    <w:rsid w:val="005477B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FirstIndent">
    <w:name w:val="Body Text First Indent"/>
    <w:basedOn w:val="BodyText"/>
    <w:link w:val="BodyTextFirstIndentChar"/>
    <w:semiHidden/>
    <w:unhideWhenUsed/>
    <w:rsid w:val="005477B8"/>
    <w:pPr>
      <w:spacing w:after="0"/>
      <w:ind w:firstLine="360"/>
    </w:pPr>
  </w:style>
  <w:style w:type="character" w:customStyle="1" w:styleId="BodyTextFirstIndentChar">
    <w:name w:val="Body Text First Indent Char"/>
    <w:basedOn w:val="BodyTextChar"/>
    <w:link w:val="BodyTextFirstIndent"/>
    <w:semiHidden/>
    <w:rsid w:val="005477B8"/>
    <w:rPr>
      <w:sz w:val="24"/>
      <w:szCs w:val="24"/>
    </w:rPr>
  </w:style>
  <w:style w:type="paragraph" w:styleId="BodyTextFirstIndent2">
    <w:name w:val="Body Text First Indent 2"/>
    <w:basedOn w:val="BodyTextIndent"/>
    <w:link w:val="BodyTextFirstIndent2Char"/>
    <w:semiHidden/>
    <w:unhideWhenUsed/>
    <w:rsid w:val="005477B8"/>
    <w:pPr>
      <w:ind w:left="360" w:firstLine="360"/>
    </w:pPr>
    <w:rPr>
      <w:sz w:val="24"/>
      <w:szCs w:val="24"/>
      <w:lang w:val="en-US"/>
    </w:rPr>
  </w:style>
  <w:style w:type="character" w:customStyle="1" w:styleId="BodyTextFirstIndent2Char">
    <w:name w:val="Body Text First Indent 2 Char"/>
    <w:basedOn w:val="BodyTextIndentChar"/>
    <w:link w:val="BodyTextFirstIndent2"/>
    <w:semiHidden/>
    <w:rsid w:val="005477B8"/>
    <w:rPr>
      <w:rFonts w:asciiTheme="minorHAnsi" w:hAnsiTheme="minorHAnsi"/>
      <w:sz w:val="24"/>
      <w:szCs w:val="24"/>
      <w:lang w:val="en-GB"/>
    </w:rPr>
  </w:style>
  <w:style w:type="paragraph" w:styleId="Caption">
    <w:name w:val="caption"/>
    <w:basedOn w:val="Normal"/>
    <w:next w:val="Normal"/>
    <w:semiHidden/>
    <w:unhideWhenUsed/>
    <w:qFormat/>
    <w:rsid w:val="005477B8"/>
    <w:pPr>
      <w:spacing w:after="200"/>
    </w:pPr>
    <w:rPr>
      <w:i/>
      <w:iCs/>
      <w:color w:val="1F497D" w:themeColor="text2"/>
      <w:sz w:val="18"/>
      <w:szCs w:val="18"/>
    </w:rPr>
  </w:style>
  <w:style w:type="paragraph" w:styleId="Closing">
    <w:name w:val="Closing"/>
    <w:basedOn w:val="Normal"/>
    <w:link w:val="ClosingChar"/>
    <w:semiHidden/>
    <w:unhideWhenUsed/>
    <w:rsid w:val="005477B8"/>
    <w:pPr>
      <w:ind w:left="4320"/>
    </w:pPr>
  </w:style>
  <w:style w:type="character" w:customStyle="1" w:styleId="ClosingChar">
    <w:name w:val="Closing Char"/>
    <w:basedOn w:val="DefaultParagraphFont"/>
    <w:link w:val="Closing"/>
    <w:semiHidden/>
    <w:rsid w:val="005477B8"/>
    <w:rPr>
      <w:sz w:val="24"/>
      <w:szCs w:val="24"/>
    </w:rPr>
  </w:style>
  <w:style w:type="paragraph" w:styleId="Date">
    <w:name w:val="Date"/>
    <w:basedOn w:val="Normal"/>
    <w:next w:val="Normal"/>
    <w:link w:val="DateChar"/>
    <w:rsid w:val="005477B8"/>
  </w:style>
  <w:style w:type="character" w:customStyle="1" w:styleId="DateChar">
    <w:name w:val="Date Char"/>
    <w:basedOn w:val="DefaultParagraphFont"/>
    <w:link w:val="Date"/>
    <w:rsid w:val="005477B8"/>
    <w:rPr>
      <w:sz w:val="24"/>
      <w:szCs w:val="24"/>
    </w:rPr>
  </w:style>
  <w:style w:type="paragraph" w:styleId="DocumentMap">
    <w:name w:val="Document Map"/>
    <w:basedOn w:val="Normal"/>
    <w:link w:val="DocumentMapChar"/>
    <w:semiHidden/>
    <w:unhideWhenUsed/>
    <w:rsid w:val="005477B8"/>
    <w:rPr>
      <w:rFonts w:ascii="Segoe UI" w:hAnsi="Segoe UI" w:cs="Segoe UI"/>
      <w:sz w:val="16"/>
      <w:szCs w:val="16"/>
    </w:rPr>
  </w:style>
  <w:style w:type="character" w:customStyle="1" w:styleId="DocumentMapChar">
    <w:name w:val="Document Map Char"/>
    <w:basedOn w:val="DefaultParagraphFont"/>
    <w:link w:val="DocumentMap"/>
    <w:semiHidden/>
    <w:rsid w:val="005477B8"/>
    <w:rPr>
      <w:rFonts w:ascii="Segoe UI" w:hAnsi="Segoe UI" w:cs="Segoe UI"/>
      <w:sz w:val="16"/>
      <w:szCs w:val="16"/>
    </w:rPr>
  </w:style>
  <w:style w:type="paragraph" w:styleId="E-mailSignature">
    <w:name w:val="E-mail Signature"/>
    <w:basedOn w:val="Normal"/>
    <w:link w:val="E-mailSignatureChar"/>
    <w:semiHidden/>
    <w:unhideWhenUsed/>
    <w:rsid w:val="005477B8"/>
  </w:style>
  <w:style w:type="character" w:customStyle="1" w:styleId="E-mailSignatureChar">
    <w:name w:val="E-mail Signature Char"/>
    <w:basedOn w:val="DefaultParagraphFont"/>
    <w:link w:val="E-mailSignature"/>
    <w:semiHidden/>
    <w:rsid w:val="005477B8"/>
    <w:rPr>
      <w:sz w:val="24"/>
      <w:szCs w:val="24"/>
    </w:rPr>
  </w:style>
  <w:style w:type="paragraph" w:styleId="EndnoteText">
    <w:name w:val="endnote text"/>
    <w:basedOn w:val="Normal"/>
    <w:link w:val="EndnoteTextChar"/>
    <w:semiHidden/>
    <w:unhideWhenUsed/>
    <w:rsid w:val="005477B8"/>
    <w:rPr>
      <w:szCs w:val="20"/>
    </w:rPr>
  </w:style>
  <w:style w:type="character" w:customStyle="1" w:styleId="EndnoteTextChar">
    <w:name w:val="Endnote Text Char"/>
    <w:basedOn w:val="DefaultParagraphFont"/>
    <w:link w:val="EndnoteText"/>
    <w:semiHidden/>
    <w:rsid w:val="005477B8"/>
  </w:style>
  <w:style w:type="paragraph" w:styleId="EnvelopeAddress">
    <w:name w:val="envelope address"/>
    <w:basedOn w:val="Normal"/>
    <w:semiHidden/>
    <w:unhideWhenUsed/>
    <w:rsid w:val="005477B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5477B8"/>
    <w:rPr>
      <w:rFonts w:asciiTheme="majorHAnsi" w:eastAsiaTheme="majorEastAsia" w:hAnsiTheme="majorHAnsi" w:cstheme="majorBidi"/>
      <w:szCs w:val="20"/>
    </w:rPr>
  </w:style>
  <w:style w:type="character" w:customStyle="1" w:styleId="Heading4Char">
    <w:name w:val="Heading 4 Char"/>
    <w:basedOn w:val="DefaultParagraphFont"/>
    <w:link w:val="Heading4"/>
    <w:semiHidden/>
    <w:rsid w:val="005477B8"/>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semiHidden/>
    <w:rsid w:val="005477B8"/>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5477B8"/>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5477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477B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5477B8"/>
    <w:rPr>
      <w:i/>
      <w:iCs/>
    </w:rPr>
  </w:style>
  <w:style w:type="character" w:customStyle="1" w:styleId="HTMLAddressChar">
    <w:name w:val="HTML Address Char"/>
    <w:basedOn w:val="DefaultParagraphFont"/>
    <w:link w:val="HTMLAddress"/>
    <w:semiHidden/>
    <w:rsid w:val="005477B8"/>
    <w:rPr>
      <w:i/>
      <w:iCs/>
      <w:sz w:val="24"/>
      <w:szCs w:val="24"/>
    </w:rPr>
  </w:style>
  <w:style w:type="paragraph" w:styleId="HTMLPreformatted">
    <w:name w:val="HTML Preformatted"/>
    <w:basedOn w:val="Normal"/>
    <w:link w:val="HTMLPreformattedChar"/>
    <w:semiHidden/>
    <w:unhideWhenUsed/>
    <w:rsid w:val="005477B8"/>
    <w:rPr>
      <w:rFonts w:ascii="Consolas" w:hAnsi="Consolas"/>
      <w:szCs w:val="20"/>
    </w:rPr>
  </w:style>
  <w:style w:type="character" w:customStyle="1" w:styleId="HTMLPreformattedChar">
    <w:name w:val="HTML Preformatted Char"/>
    <w:basedOn w:val="DefaultParagraphFont"/>
    <w:link w:val="HTMLPreformatted"/>
    <w:semiHidden/>
    <w:rsid w:val="005477B8"/>
    <w:rPr>
      <w:rFonts w:ascii="Consolas" w:hAnsi="Consolas"/>
    </w:rPr>
  </w:style>
  <w:style w:type="paragraph" w:styleId="Index1">
    <w:name w:val="index 1"/>
    <w:basedOn w:val="Normal"/>
    <w:next w:val="Normal"/>
    <w:autoRedefine/>
    <w:semiHidden/>
    <w:unhideWhenUsed/>
    <w:rsid w:val="005477B8"/>
    <w:pPr>
      <w:ind w:left="240" w:hanging="240"/>
    </w:pPr>
  </w:style>
  <w:style w:type="paragraph" w:styleId="Index2">
    <w:name w:val="index 2"/>
    <w:basedOn w:val="Normal"/>
    <w:next w:val="Normal"/>
    <w:autoRedefine/>
    <w:semiHidden/>
    <w:unhideWhenUsed/>
    <w:rsid w:val="005477B8"/>
    <w:pPr>
      <w:ind w:left="480" w:hanging="240"/>
    </w:pPr>
  </w:style>
  <w:style w:type="paragraph" w:styleId="Index3">
    <w:name w:val="index 3"/>
    <w:basedOn w:val="Normal"/>
    <w:next w:val="Normal"/>
    <w:autoRedefine/>
    <w:semiHidden/>
    <w:unhideWhenUsed/>
    <w:rsid w:val="005477B8"/>
    <w:pPr>
      <w:ind w:left="720" w:hanging="240"/>
    </w:pPr>
  </w:style>
  <w:style w:type="paragraph" w:styleId="Index4">
    <w:name w:val="index 4"/>
    <w:basedOn w:val="Normal"/>
    <w:next w:val="Normal"/>
    <w:autoRedefine/>
    <w:semiHidden/>
    <w:unhideWhenUsed/>
    <w:rsid w:val="005477B8"/>
    <w:pPr>
      <w:ind w:left="960" w:hanging="240"/>
    </w:pPr>
  </w:style>
  <w:style w:type="paragraph" w:styleId="Index5">
    <w:name w:val="index 5"/>
    <w:basedOn w:val="Normal"/>
    <w:next w:val="Normal"/>
    <w:autoRedefine/>
    <w:semiHidden/>
    <w:unhideWhenUsed/>
    <w:rsid w:val="005477B8"/>
    <w:pPr>
      <w:ind w:left="1200" w:hanging="240"/>
    </w:pPr>
  </w:style>
  <w:style w:type="paragraph" w:styleId="Index6">
    <w:name w:val="index 6"/>
    <w:basedOn w:val="Normal"/>
    <w:next w:val="Normal"/>
    <w:autoRedefine/>
    <w:semiHidden/>
    <w:unhideWhenUsed/>
    <w:rsid w:val="005477B8"/>
    <w:pPr>
      <w:ind w:left="1440" w:hanging="240"/>
    </w:pPr>
  </w:style>
  <w:style w:type="paragraph" w:styleId="Index7">
    <w:name w:val="index 7"/>
    <w:basedOn w:val="Normal"/>
    <w:next w:val="Normal"/>
    <w:autoRedefine/>
    <w:semiHidden/>
    <w:unhideWhenUsed/>
    <w:rsid w:val="005477B8"/>
    <w:pPr>
      <w:ind w:left="1680" w:hanging="240"/>
    </w:pPr>
  </w:style>
  <w:style w:type="paragraph" w:styleId="Index8">
    <w:name w:val="index 8"/>
    <w:basedOn w:val="Normal"/>
    <w:next w:val="Normal"/>
    <w:autoRedefine/>
    <w:semiHidden/>
    <w:unhideWhenUsed/>
    <w:rsid w:val="005477B8"/>
    <w:pPr>
      <w:ind w:left="1920" w:hanging="240"/>
    </w:pPr>
  </w:style>
  <w:style w:type="paragraph" w:styleId="Index9">
    <w:name w:val="index 9"/>
    <w:basedOn w:val="Normal"/>
    <w:next w:val="Normal"/>
    <w:autoRedefine/>
    <w:semiHidden/>
    <w:unhideWhenUsed/>
    <w:rsid w:val="005477B8"/>
    <w:pPr>
      <w:ind w:left="2160" w:hanging="240"/>
    </w:pPr>
  </w:style>
  <w:style w:type="paragraph" w:styleId="IndexHeading">
    <w:name w:val="index heading"/>
    <w:basedOn w:val="Normal"/>
    <w:next w:val="Index1"/>
    <w:semiHidden/>
    <w:unhideWhenUsed/>
    <w:rsid w:val="005477B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477B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477B8"/>
    <w:rPr>
      <w:i/>
      <w:iCs/>
      <w:color w:val="4F81BD" w:themeColor="accent1"/>
      <w:sz w:val="24"/>
      <w:szCs w:val="24"/>
    </w:rPr>
  </w:style>
  <w:style w:type="paragraph" w:styleId="List2">
    <w:name w:val="List 2"/>
    <w:basedOn w:val="Normal"/>
    <w:semiHidden/>
    <w:unhideWhenUsed/>
    <w:rsid w:val="005477B8"/>
    <w:pPr>
      <w:ind w:left="720" w:hanging="360"/>
      <w:contextualSpacing/>
    </w:pPr>
  </w:style>
  <w:style w:type="paragraph" w:styleId="List3">
    <w:name w:val="List 3"/>
    <w:basedOn w:val="Normal"/>
    <w:rsid w:val="005477B8"/>
    <w:pPr>
      <w:ind w:left="1080" w:hanging="360"/>
      <w:contextualSpacing/>
    </w:pPr>
  </w:style>
  <w:style w:type="paragraph" w:styleId="List4">
    <w:name w:val="List 4"/>
    <w:basedOn w:val="Normal"/>
    <w:rsid w:val="005477B8"/>
    <w:pPr>
      <w:ind w:left="1440" w:hanging="360"/>
      <w:contextualSpacing/>
    </w:pPr>
  </w:style>
  <w:style w:type="paragraph" w:styleId="List5">
    <w:name w:val="List 5"/>
    <w:basedOn w:val="Normal"/>
    <w:semiHidden/>
    <w:unhideWhenUsed/>
    <w:rsid w:val="005477B8"/>
    <w:pPr>
      <w:ind w:left="1800" w:hanging="360"/>
      <w:contextualSpacing/>
    </w:pPr>
  </w:style>
  <w:style w:type="paragraph" w:styleId="ListBullet2">
    <w:name w:val="List Bullet 2"/>
    <w:basedOn w:val="Normal"/>
    <w:semiHidden/>
    <w:unhideWhenUsed/>
    <w:rsid w:val="005477B8"/>
    <w:pPr>
      <w:numPr>
        <w:numId w:val="6"/>
      </w:numPr>
      <w:contextualSpacing/>
    </w:pPr>
  </w:style>
  <w:style w:type="paragraph" w:styleId="ListBullet3">
    <w:name w:val="List Bullet 3"/>
    <w:basedOn w:val="Normal"/>
    <w:semiHidden/>
    <w:unhideWhenUsed/>
    <w:rsid w:val="005477B8"/>
    <w:pPr>
      <w:numPr>
        <w:numId w:val="7"/>
      </w:numPr>
      <w:contextualSpacing/>
    </w:pPr>
  </w:style>
  <w:style w:type="paragraph" w:styleId="ListBullet5">
    <w:name w:val="List Bullet 5"/>
    <w:basedOn w:val="Normal"/>
    <w:semiHidden/>
    <w:unhideWhenUsed/>
    <w:rsid w:val="005477B8"/>
    <w:pPr>
      <w:numPr>
        <w:numId w:val="8"/>
      </w:numPr>
      <w:contextualSpacing/>
    </w:pPr>
  </w:style>
  <w:style w:type="paragraph" w:styleId="ListContinue2">
    <w:name w:val="List Continue 2"/>
    <w:basedOn w:val="Normal"/>
    <w:semiHidden/>
    <w:unhideWhenUsed/>
    <w:rsid w:val="005477B8"/>
    <w:pPr>
      <w:spacing w:after="120"/>
      <w:ind w:left="720"/>
      <w:contextualSpacing/>
    </w:pPr>
  </w:style>
  <w:style w:type="paragraph" w:styleId="ListContinue3">
    <w:name w:val="List Continue 3"/>
    <w:basedOn w:val="Normal"/>
    <w:semiHidden/>
    <w:unhideWhenUsed/>
    <w:rsid w:val="005477B8"/>
    <w:pPr>
      <w:spacing w:after="120"/>
      <w:ind w:left="1080"/>
      <w:contextualSpacing/>
    </w:pPr>
  </w:style>
  <w:style w:type="paragraph" w:styleId="ListContinue4">
    <w:name w:val="List Continue 4"/>
    <w:basedOn w:val="Normal"/>
    <w:semiHidden/>
    <w:unhideWhenUsed/>
    <w:rsid w:val="005477B8"/>
    <w:pPr>
      <w:spacing w:after="120"/>
      <w:ind w:left="1440"/>
      <w:contextualSpacing/>
    </w:pPr>
  </w:style>
  <w:style w:type="paragraph" w:styleId="ListContinue5">
    <w:name w:val="List Continue 5"/>
    <w:basedOn w:val="Normal"/>
    <w:semiHidden/>
    <w:unhideWhenUsed/>
    <w:rsid w:val="005477B8"/>
    <w:pPr>
      <w:spacing w:after="120"/>
      <w:ind w:left="1800"/>
      <w:contextualSpacing/>
    </w:pPr>
  </w:style>
  <w:style w:type="paragraph" w:styleId="ListNumber">
    <w:name w:val="List Number"/>
    <w:basedOn w:val="Normal"/>
    <w:semiHidden/>
    <w:unhideWhenUsed/>
    <w:rsid w:val="005477B8"/>
    <w:pPr>
      <w:numPr>
        <w:numId w:val="9"/>
      </w:numPr>
      <w:contextualSpacing/>
    </w:pPr>
  </w:style>
  <w:style w:type="paragraph" w:styleId="ListNumber2">
    <w:name w:val="List Number 2"/>
    <w:basedOn w:val="Normal"/>
    <w:semiHidden/>
    <w:unhideWhenUsed/>
    <w:rsid w:val="005477B8"/>
    <w:pPr>
      <w:numPr>
        <w:numId w:val="10"/>
      </w:numPr>
      <w:contextualSpacing/>
    </w:pPr>
  </w:style>
  <w:style w:type="paragraph" w:styleId="ListNumber3">
    <w:name w:val="List Number 3"/>
    <w:basedOn w:val="Normal"/>
    <w:semiHidden/>
    <w:unhideWhenUsed/>
    <w:rsid w:val="005477B8"/>
    <w:pPr>
      <w:numPr>
        <w:numId w:val="11"/>
      </w:numPr>
      <w:contextualSpacing/>
    </w:pPr>
  </w:style>
  <w:style w:type="paragraph" w:styleId="ListNumber4">
    <w:name w:val="List Number 4"/>
    <w:basedOn w:val="Normal"/>
    <w:semiHidden/>
    <w:unhideWhenUsed/>
    <w:rsid w:val="005477B8"/>
    <w:pPr>
      <w:numPr>
        <w:numId w:val="12"/>
      </w:numPr>
      <w:contextualSpacing/>
    </w:pPr>
  </w:style>
  <w:style w:type="paragraph" w:styleId="ListNumber5">
    <w:name w:val="List Number 5"/>
    <w:basedOn w:val="Normal"/>
    <w:semiHidden/>
    <w:unhideWhenUsed/>
    <w:rsid w:val="005477B8"/>
    <w:pPr>
      <w:numPr>
        <w:numId w:val="13"/>
      </w:numPr>
      <w:contextualSpacing/>
    </w:pPr>
  </w:style>
  <w:style w:type="paragraph" w:styleId="MacroText">
    <w:name w:val="macro"/>
    <w:link w:val="MacroTextChar"/>
    <w:semiHidden/>
    <w:unhideWhenUsed/>
    <w:rsid w:val="005477B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5477B8"/>
    <w:rPr>
      <w:rFonts w:ascii="Consolas" w:hAnsi="Consolas"/>
    </w:rPr>
  </w:style>
  <w:style w:type="paragraph" w:styleId="MessageHeader">
    <w:name w:val="Message Header"/>
    <w:basedOn w:val="Normal"/>
    <w:link w:val="MessageHeaderChar"/>
    <w:rsid w:val="005477B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5477B8"/>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5477B8"/>
    <w:pPr>
      <w:ind w:left="720"/>
    </w:pPr>
  </w:style>
  <w:style w:type="paragraph" w:styleId="NoteHeading">
    <w:name w:val="Note Heading"/>
    <w:basedOn w:val="Normal"/>
    <w:next w:val="Normal"/>
    <w:link w:val="NoteHeadingChar"/>
    <w:semiHidden/>
    <w:unhideWhenUsed/>
    <w:rsid w:val="005477B8"/>
  </w:style>
  <w:style w:type="character" w:customStyle="1" w:styleId="NoteHeadingChar">
    <w:name w:val="Note Heading Char"/>
    <w:basedOn w:val="DefaultParagraphFont"/>
    <w:link w:val="NoteHeading"/>
    <w:semiHidden/>
    <w:rsid w:val="005477B8"/>
    <w:rPr>
      <w:sz w:val="24"/>
      <w:szCs w:val="24"/>
    </w:rPr>
  </w:style>
  <w:style w:type="paragraph" w:styleId="PlainText">
    <w:name w:val="Plain Text"/>
    <w:basedOn w:val="Normal"/>
    <w:link w:val="PlainTextChar"/>
    <w:semiHidden/>
    <w:unhideWhenUsed/>
    <w:rsid w:val="005477B8"/>
    <w:rPr>
      <w:rFonts w:ascii="Consolas" w:hAnsi="Consolas"/>
      <w:sz w:val="21"/>
      <w:szCs w:val="21"/>
    </w:rPr>
  </w:style>
  <w:style w:type="character" w:customStyle="1" w:styleId="PlainTextChar">
    <w:name w:val="Plain Text Char"/>
    <w:basedOn w:val="DefaultParagraphFont"/>
    <w:link w:val="PlainText"/>
    <w:semiHidden/>
    <w:rsid w:val="005477B8"/>
    <w:rPr>
      <w:rFonts w:ascii="Consolas" w:hAnsi="Consolas"/>
      <w:sz w:val="21"/>
      <w:szCs w:val="21"/>
    </w:rPr>
  </w:style>
  <w:style w:type="paragraph" w:styleId="Quote">
    <w:name w:val="Quote"/>
    <w:basedOn w:val="Normal"/>
    <w:next w:val="Normal"/>
    <w:link w:val="QuoteChar"/>
    <w:uiPriority w:val="29"/>
    <w:qFormat/>
    <w:rsid w:val="005477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477B8"/>
    <w:rPr>
      <w:i/>
      <w:iCs/>
      <w:color w:val="404040" w:themeColor="text1" w:themeTint="BF"/>
      <w:sz w:val="24"/>
      <w:szCs w:val="24"/>
    </w:rPr>
  </w:style>
  <w:style w:type="paragraph" w:styleId="Salutation">
    <w:name w:val="Salutation"/>
    <w:basedOn w:val="Normal"/>
    <w:next w:val="Normal"/>
    <w:link w:val="SalutationChar"/>
    <w:rsid w:val="005477B8"/>
  </w:style>
  <w:style w:type="character" w:customStyle="1" w:styleId="SalutationChar">
    <w:name w:val="Salutation Char"/>
    <w:basedOn w:val="DefaultParagraphFont"/>
    <w:link w:val="Salutation"/>
    <w:rsid w:val="005477B8"/>
    <w:rPr>
      <w:sz w:val="24"/>
      <w:szCs w:val="24"/>
    </w:rPr>
  </w:style>
  <w:style w:type="paragraph" w:styleId="Signature">
    <w:name w:val="Signature"/>
    <w:basedOn w:val="Normal"/>
    <w:link w:val="SignatureChar"/>
    <w:semiHidden/>
    <w:unhideWhenUsed/>
    <w:rsid w:val="005477B8"/>
    <w:pPr>
      <w:ind w:left="4320"/>
    </w:pPr>
  </w:style>
  <w:style w:type="character" w:customStyle="1" w:styleId="SignatureChar">
    <w:name w:val="Signature Char"/>
    <w:basedOn w:val="DefaultParagraphFont"/>
    <w:link w:val="Signature"/>
    <w:semiHidden/>
    <w:rsid w:val="005477B8"/>
    <w:rPr>
      <w:sz w:val="24"/>
      <w:szCs w:val="24"/>
    </w:rPr>
  </w:style>
  <w:style w:type="paragraph" w:styleId="Subtitle">
    <w:name w:val="Subtitle"/>
    <w:basedOn w:val="Normal"/>
    <w:next w:val="Normal"/>
    <w:link w:val="SubtitleChar"/>
    <w:qFormat/>
    <w:rsid w:val="005477B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5477B8"/>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5477B8"/>
    <w:pPr>
      <w:ind w:left="240" w:hanging="240"/>
    </w:pPr>
  </w:style>
  <w:style w:type="paragraph" w:styleId="TableofFigures">
    <w:name w:val="table of figures"/>
    <w:basedOn w:val="Normal"/>
    <w:next w:val="Normal"/>
    <w:semiHidden/>
    <w:unhideWhenUsed/>
    <w:rsid w:val="005477B8"/>
  </w:style>
  <w:style w:type="paragraph" w:styleId="Title">
    <w:name w:val="Title"/>
    <w:basedOn w:val="Normal"/>
    <w:next w:val="Normal"/>
    <w:link w:val="TitleChar"/>
    <w:qFormat/>
    <w:rsid w:val="005477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477B8"/>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5477B8"/>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5477B8"/>
    <w:pPr>
      <w:spacing w:after="100"/>
    </w:pPr>
  </w:style>
  <w:style w:type="paragraph" w:styleId="TOC2">
    <w:name w:val="toc 2"/>
    <w:basedOn w:val="Normal"/>
    <w:next w:val="Normal"/>
    <w:autoRedefine/>
    <w:semiHidden/>
    <w:unhideWhenUsed/>
    <w:rsid w:val="005477B8"/>
    <w:pPr>
      <w:spacing w:after="100"/>
      <w:ind w:left="240"/>
    </w:pPr>
  </w:style>
  <w:style w:type="paragraph" w:styleId="TOC3">
    <w:name w:val="toc 3"/>
    <w:basedOn w:val="Normal"/>
    <w:next w:val="Normal"/>
    <w:autoRedefine/>
    <w:semiHidden/>
    <w:unhideWhenUsed/>
    <w:rsid w:val="005477B8"/>
    <w:pPr>
      <w:spacing w:after="100"/>
      <w:ind w:left="480"/>
    </w:pPr>
  </w:style>
  <w:style w:type="paragraph" w:styleId="TOC4">
    <w:name w:val="toc 4"/>
    <w:basedOn w:val="Normal"/>
    <w:next w:val="Normal"/>
    <w:autoRedefine/>
    <w:semiHidden/>
    <w:unhideWhenUsed/>
    <w:rsid w:val="005477B8"/>
    <w:pPr>
      <w:spacing w:after="100"/>
      <w:ind w:left="720"/>
    </w:pPr>
  </w:style>
  <w:style w:type="paragraph" w:styleId="TOC5">
    <w:name w:val="toc 5"/>
    <w:basedOn w:val="Normal"/>
    <w:next w:val="Normal"/>
    <w:autoRedefine/>
    <w:semiHidden/>
    <w:unhideWhenUsed/>
    <w:rsid w:val="005477B8"/>
    <w:pPr>
      <w:spacing w:after="100"/>
      <w:ind w:left="960"/>
    </w:pPr>
  </w:style>
  <w:style w:type="paragraph" w:styleId="TOC6">
    <w:name w:val="toc 6"/>
    <w:basedOn w:val="Normal"/>
    <w:next w:val="Normal"/>
    <w:autoRedefine/>
    <w:semiHidden/>
    <w:unhideWhenUsed/>
    <w:rsid w:val="005477B8"/>
    <w:pPr>
      <w:spacing w:after="100"/>
      <w:ind w:left="1200"/>
    </w:pPr>
  </w:style>
  <w:style w:type="paragraph" w:styleId="TOC7">
    <w:name w:val="toc 7"/>
    <w:basedOn w:val="Normal"/>
    <w:next w:val="Normal"/>
    <w:autoRedefine/>
    <w:semiHidden/>
    <w:unhideWhenUsed/>
    <w:rsid w:val="005477B8"/>
    <w:pPr>
      <w:spacing w:after="100"/>
      <w:ind w:left="1440"/>
    </w:pPr>
  </w:style>
  <w:style w:type="paragraph" w:styleId="TOC8">
    <w:name w:val="toc 8"/>
    <w:basedOn w:val="Normal"/>
    <w:next w:val="Normal"/>
    <w:autoRedefine/>
    <w:semiHidden/>
    <w:unhideWhenUsed/>
    <w:rsid w:val="005477B8"/>
    <w:pPr>
      <w:spacing w:after="100"/>
      <w:ind w:left="1680"/>
    </w:pPr>
  </w:style>
  <w:style w:type="paragraph" w:styleId="TOC9">
    <w:name w:val="toc 9"/>
    <w:basedOn w:val="Normal"/>
    <w:next w:val="Normal"/>
    <w:autoRedefine/>
    <w:semiHidden/>
    <w:unhideWhenUsed/>
    <w:rsid w:val="005477B8"/>
    <w:pPr>
      <w:spacing w:after="100"/>
      <w:ind w:left="1920"/>
    </w:pPr>
  </w:style>
  <w:style w:type="paragraph" w:styleId="TOCHeading">
    <w:name w:val="TOC Heading"/>
    <w:basedOn w:val="Heading1"/>
    <w:next w:val="Normal"/>
    <w:uiPriority w:val="39"/>
    <w:semiHidden/>
    <w:unhideWhenUsed/>
    <w:qFormat/>
    <w:rsid w:val="005477B8"/>
    <w:pPr>
      <w:outlineLvl w:val="9"/>
    </w:pPr>
    <w:rPr>
      <w:rFonts w:asciiTheme="majorHAnsi" w:hAnsiTheme="majorHAnsi"/>
      <w:b w:val="0"/>
      <w:color w:val="365F91" w:themeColor="accent1" w:themeShade="BF"/>
      <w:sz w:val="32"/>
    </w:rPr>
  </w:style>
  <w:style w:type="table" w:styleId="LightList">
    <w:name w:val="Light List"/>
    <w:basedOn w:val="TableNormal"/>
    <w:uiPriority w:val="61"/>
    <w:rsid w:val="00AA0D89"/>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qFormat/>
    <w:rsid w:val="00603DE1"/>
    <w:rPr>
      <w:i/>
      <w:iCs/>
    </w:rPr>
  </w:style>
  <w:style w:type="numbering" w:customStyle="1" w:styleId="CurrentList1">
    <w:name w:val="Current List1"/>
    <w:uiPriority w:val="99"/>
    <w:rsid w:val="00BB1C3D"/>
    <w:pPr>
      <w:numPr>
        <w:numId w:val="18"/>
      </w:numPr>
    </w:pPr>
  </w:style>
  <w:style w:type="numbering" w:customStyle="1" w:styleId="CurrentList2">
    <w:name w:val="Current List2"/>
    <w:uiPriority w:val="99"/>
    <w:rsid w:val="00716D28"/>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7369">
      <w:bodyDiv w:val="1"/>
      <w:marLeft w:val="0"/>
      <w:marRight w:val="0"/>
      <w:marTop w:val="0"/>
      <w:marBottom w:val="0"/>
      <w:divBdr>
        <w:top w:val="none" w:sz="0" w:space="0" w:color="auto"/>
        <w:left w:val="none" w:sz="0" w:space="0" w:color="auto"/>
        <w:bottom w:val="none" w:sz="0" w:space="0" w:color="auto"/>
        <w:right w:val="none" w:sz="0" w:space="0" w:color="auto"/>
      </w:divBdr>
    </w:div>
    <w:div w:id="9307774">
      <w:bodyDiv w:val="1"/>
      <w:marLeft w:val="0"/>
      <w:marRight w:val="0"/>
      <w:marTop w:val="0"/>
      <w:marBottom w:val="0"/>
      <w:divBdr>
        <w:top w:val="none" w:sz="0" w:space="0" w:color="auto"/>
        <w:left w:val="none" w:sz="0" w:space="0" w:color="auto"/>
        <w:bottom w:val="none" w:sz="0" w:space="0" w:color="auto"/>
        <w:right w:val="none" w:sz="0" w:space="0" w:color="auto"/>
      </w:divBdr>
    </w:div>
    <w:div w:id="10039066">
      <w:bodyDiv w:val="1"/>
      <w:marLeft w:val="0"/>
      <w:marRight w:val="0"/>
      <w:marTop w:val="0"/>
      <w:marBottom w:val="0"/>
      <w:divBdr>
        <w:top w:val="none" w:sz="0" w:space="0" w:color="auto"/>
        <w:left w:val="none" w:sz="0" w:space="0" w:color="auto"/>
        <w:bottom w:val="none" w:sz="0" w:space="0" w:color="auto"/>
        <w:right w:val="none" w:sz="0" w:space="0" w:color="auto"/>
      </w:divBdr>
    </w:div>
    <w:div w:id="11344164">
      <w:bodyDiv w:val="1"/>
      <w:marLeft w:val="0"/>
      <w:marRight w:val="0"/>
      <w:marTop w:val="0"/>
      <w:marBottom w:val="0"/>
      <w:divBdr>
        <w:top w:val="none" w:sz="0" w:space="0" w:color="auto"/>
        <w:left w:val="none" w:sz="0" w:space="0" w:color="auto"/>
        <w:bottom w:val="none" w:sz="0" w:space="0" w:color="auto"/>
        <w:right w:val="none" w:sz="0" w:space="0" w:color="auto"/>
      </w:divBdr>
    </w:div>
    <w:div w:id="12153120">
      <w:bodyDiv w:val="1"/>
      <w:marLeft w:val="0"/>
      <w:marRight w:val="0"/>
      <w:marTop w:val="0"/>
      <w:marBottom w:val="0"/>
      <w:divBdr>
        <w:top w:val="none" w:sz="0" w:space="0" w:color="auto"/>
        <w:left w:val="none" w:sz="0" w:space="0" w:color="auto"/>
        <w:bottom w:val="none" w:sz="0" w:space="0" w:color="auto"/>
        <w:right w:val="none" w:sz="0" w:space="0" w:color="auto"/>
      </w:divBdr>
    </w:div>
    <w:div w:id="13384510">
      <w:bodyDiv w:val="1"/>
      <w:marLeft w:val="0"/>
      <w:marRight w:val="0"/>
      <w:marTop w:val="0"/>
      <w:marBottom w:val="0"/>
      <w:divBdr>
        <w:top w:val="none" w:sz="0" w:space="0" w:color="auto"/>
        <w:left w:val="none" w:sz="0" w:space="0" w:color="auto"/>
        <w:bottom w:val="none" w:sz="0" w:space="0" w:color="auto"/>
        <w:right w:val="none" w:sz="0" w:space="0" w:color="auto"/>
      </w:divBdr>
    </w:div>
    <w:div w:id="14235737">
      <w:bodyDiv w:val="1"/>
      <w:marLeft w:val="0"/>
      <w:marRight w:val="0"/>
      <w:marTop w:val="0"/>
      <w:marBottom w:val="0"/>
      <w:divBdr>
        <w:top w:val="none" w:sz="0" w:space="0" w:color="auto"/>
        <w:left w:val="none" w:sz="0" w:space="0" w:color="auto"/>
        <w:bottom w:val="none" w:sz="0" w:space="0" w:color="auto"/>
        <w:right w:val="none" w:sz="0" w:space="0" w:color="auto"/>
      </w:divBdr>
    </w:div>
    <w:div w:id="17851904">
      <w:bodyDiv w:val="1"/>
      <w:marLeft w:val="0"/>
      <w:marRight w:val="0"/>
      <w:marTop w:val="0"/>
      <w:marBottom w:val="0"/>
      <w:divBdr>
        <w:top w:val="none" w:sz="0" w:space="0" w:color="auto"/>
        <w:left w:val="none" w:sz="0" w:space="0" w:color="auto"/>
        <w:bottom w:val="none" w:sz="0" w:space="0" w:color="auto"/>
        <w:right w:val="none" w:sz="0" w:space="0" w:color="auto"/>
      </w:divBdr>
    </w:div>
    <w:div w:id="18090353">
      <w:bodyDiv w:val="1"/>
      <w:marLeft w:val="0"/>
      <w:marRight w:val="0"/>
      <w:marTop w:val="0"/>
      <w:marBottom w:val="0"/>
      <w:divBdr>
        <w:top w:val="none" w:sz="0" w:space="0" w:color="auto"/>
        <w:left w:val="none" w:sz="0" w:space="0" w:color="auto"/>
        <w:bottom w:val="none" w:sz="0" w:space="0" w:color="auto"/>
        <w:right w:val="none" w:sz="0" w:space="0" w:color="auto"/>
      </w:divBdr>
    </w:div>
    <w:div w:id="18314487">
      <w:bodyDiv w:val="1"/>
      <w:marLeft w:val="0"/>
      <w:marRight w:val="0"/>
      <w:marTop w:val="0"/>
      <w:marBottom w:val="0"/>
      <w:divBdr>
        <w:top w:val="none" w:sz="0" w:space="0" w:color="auto"/>
        <w:left w:val="none" w:sz="0" w:space="0" w:color="auto"/>
        <w:bottom w:val="none" w:sz="0" w:space="0" w:color="auto"/>
        <w:right w:val="none" w:sz="0" w:space="0" w:color="auto"/>
      </w:divBdr>
    </w:div>
    <w:div w:id="18821314">
      <w:bodyDiv w:val="1"/>
      <w:marLeft w:val="0"/>
      <w:marRight w:val="0"/>
      <w:marTop w:val="0"/>
      <w:marBottom w:val="0"/>
      <w:divBdr>
        <w:top w:val="none" w:sz="0" w:space="0" w:color="auto"/>
        <w:left w:val="none" w:sz="0" w:space="0" w:color="auto"/>
        <w:bottom w:val="none" w:sz="0" w:space="0" w:color="auto"/>
        <w:right w:val="none" w:sz="0" w:space="0" w:color="auto"/>
      </w:divBdr>
    </w:div>
    <w:div w:id="20208808">
      <w:bodyDiv w:val="1"/>
      <w:marLeft w:val="0"/>
      <w:marRight w:val="0"/>
      <w:marTop w:val="0"/>
      <w:marBottom w:val="0"/>
      <w:divBdr>
        <w:top w:val="none" w:sz="0" w:space="0" w:color="auto"/>
        <w:left w:val="none" w:sz="0" w:space="0" w:color="auto"/>
        <w:bottom w:val="none" w:sz="0" w:space="0" w:color="auto"/>
        <w:right w:val="none" w:sz="0" w:space="0" w:color="auto"/>
      </w:divBdr>
    </w:div>
    <w:div w:id="20479462">
      <w:bodyDiv w:val="1"/>
      <w:marLeft w:val="0"/>
      <w:marRight w:val="0"/>
      <w:marTop w:val="0"/>
      <w:marBottom w:val="0"/>
      <w:divBdr>
        <w:top w:val="none" w:sz="0" w:space="0" w:color="auto"/>
        <w:left w:val="none" w:sz="0" w:space="0" w:color="auto"/>
        <w:bottom w:val="none" w:sz="0" w:space="0" w:color="auto"/>
        <w:right w:val="none" w:sz="0" w:space="0" w:color="auto"/>
      </w:divBdr>
    </w:div>
    <w:div w:id="20516921">
      <w:bodyDiv w:val="1"/>
      <w:marLeft w:val="0"/>
      <w:marRight w:val="0"/>
      <w:marTop w:val="0"/>
      <w:marBottom w:val="0"/>
      <w:divBdr>
        <w:top w:val="none" w:sz="0" w:space="0" w:color="auto"/>
        <w:left w:val="none" w:sz="0" w:space="0" w:color="auto"/>
        <w:bottom w:val="none" w:sz="0" w:space="0" w:color="auto"/>
        <w:right w:val="none" w:sz="0" w:space="0" w:color="auto"/>
      </w:divBdr>
    </w:div>
    <w:div w:id="26224667">
      <w:bodyDiv w:val="1"/>
      <w:marLeft w:val="0"/>
      <w:marRight w:val="0"/>
      <w:marTop w:val="0"/>
      <w:marBottom w:val="0"/>
      <w:divBdr>
        <w:top w:val="none" w:sz="0" w:space="0" w:color="auto"/>
        <w:left w:val="none" w:sz="0" w:space="0" w:color="auto"/>
        <w:bottom w:val="none" w:sz="0" w:space="0" w:color="auto"/>
        <w:right w:val="none" w:sz="0" w:space="0" w:color="auto"/>
      </w:divBdr>
    </w:div>
    <w:div w:id="28577605">
      <w:bodyDiv w:val="1"/>
      <w:marLeft w:val="0"/>
      <w:marRight w:val="0"/>
      <w:marTop w:val="0"/>
      <w:marBottom w:val="0"/>
      <w:divBdr>
        <w:top w:val="none" w:sz="0" w:space="0" w:color="auto"/>
        <w:left w:val="none" w:sz="0" w:space="0" w:color="auto"/>
        <w:bottom w:val="none" w:sz="0" w:space="0" w:color="auto"/>
        <w:right w:val="none" w:sz="0" w:space="0" w:color="auto"/>
      </w:divBdr>
    </w:div>
    <w:div w:id="32463067">
      <w:bodyDiv w:val="1"/>
      <w:marLeft w:val="0"/>
      <w:marRight w:val="0"/>
      <w:marTop w:val="0"/>
      <w:marBottom w:val="0"/>
      <w:divBdr>
        <w:top w:val="none" w:sz="0" w:space="0" w:color="auto"/>
        <w:left w:val="none" w:sz="0" w:space="0" w:color="auto"/>
        <w:bottom w:val="none" w:sz="0" w:space="0" w:color="auto"/>
        <w:right w:val="none" w:sz="0" w:space="0" w:color="auto"/>
      </w:divBdr>
    </w:div>
    <w:div w:id="34820270">
      <w:bodyDiv w:val="1"/>
      <w:marLeft w:val="0"/>
      <w:marRight w:val="0"/>
      <w:marTop w:val="0"/>
      <w:marBottom w:val="0"/>
      <w:divBdr>
        <w:top w:val="none" w:sz="0" w:space="0" w:color="auto"/>
        <w:left w:val="none" w:sz="0" w:space="0" w:color="auto"/>
        <w:bottom w:val="none" w:sz="0" w:space="0" w:color="auto"/>
        <w:right w:val="none" w:sz="0" w:space="0" w:color="auto"/>
      </w:divBdr>
    </w:div>
    <w:div w:id="40252110">
      <w:bodyDiv w:val="1"/>
      <w:marLeft w:val="0"/>
      <w:marRight w:val="0"/>
      <w:marTop w:val="0"/>
      <w:marBottom w:val="0"/>
      <w:divBdr>
        <w:top w:val="none" w:sz="0" w:space="0" w:color="auto"/>
        <w:left w:val="none" w:sz="0" w:space="0" w:color="auto"/>
        <w:bottom w:val="none" w:sz="0" w:space="0" w:color="auto"/>
        <w:right w:val="none" w:sz="0" w:space="0" w:color="auto"/>
      </w:divBdr>
    </w:div>
    <w:div w:id="45416490">
      <w:bodyDiv w:val="1"/>
      <w:marLeft w:val="0"/>
      <w:marRight w:val="0"/>
      <w:marTop w:val="0"/>
      <w:marBottom w:val="0"/>
      <w:divBdr>
        <w:top w:val="none" w:sz="0" w:space="0" w:color="auto"/>
        <w:left w:val="none" w:sz="0" w:space="0" w:color="auto"/>
        <w:bottom w:val="none" w:sz="0" w:space="0" w:color="auto"/>
        <w:right w:val="none" w:sz="0" w:space="0" w:color="auto"/>
      </w:divBdr>
    </w:div>
    <w:div w:id="46809057">
      <w:bodyDiv w:val="1"/>
      <w:marLeft w:val="0"/>
      <w:marRight w:val="0"/>
      <w:marTop w:val="0"/>
      <w:marBottom w:val="0"/>
      <w:divBdr>
        <w:top w:val="none" w:sz="0" w:space="0" w:color="auto"/>
        <w:left w:val="none" w:sz="0" w:space="0" w:color="auto"/>
        <w:bottom w:val="none" w:sz="0" w:space="0" w:color="auto"/>
        <w:right w:val="none" w:sz="0" w:space="0" w:color="auto"/>
      </w:divBdr>
    </w:div>
    <w:div w:id="59715814">
      <w:bodyDiv w:val="1"/>
      <w:marLeft w:val="0"/>
      <w:marRight w:val="0"/>
      <w:marTop w:val="0"/>
      <w:marBottom w:val="0"/>
      <w:divBdr>
        <w:top w:val="none" w:sz="0" w:space="0" w:color="auto"/>
        <w:left w:val="none" w:sz="0" w:space="0" w:color="auto"/>
        <w:bottom w:val="none" w:sz="0" w:space="0" w:color="auto"/>
        <w:right w:val="none" w:sz="0" w:space="0" w:color="auto"/>
      </w:divBdr>
    </w:div>
    <w:div w:id="60643611">
      <w:bodyDiv w:val="1"/>
      <w:marLeft w:val="0"/>
      <w:marRight w:val="0"/>
      <w:marTop w:val="0"/>
      <w:marBottom w:val="0"/>
      <w:divBdr>
        <w:top w:val="none" w:sz="0" w:space="0" w:color="auto"/>
        <w:left w:val="none" w:sz="0" w:space="0" w:color="auto"/>
        <w:bottom w:val="none" w:sz="0" w:space="0" w:color="auto"/>
        <w:right w:val="none" w:sz="0" w:space="0" w:color="auto"/>
      </w:divBdr>
    </w:div>
    <w:div w:id="63918779">
      <w:bodyDiv w:val="1"/>
      <w:marLeft w:val="0"/>
      <w:marRight w:val="0"/>
      <w:marTop w:val="0"/>
      <w:marBottom w:val="0"/>
      <w:divBdr>
        <w:top w:val="none" w:sz="0" w:space="0" w:color="auto"/>
        <w:left w:val="none" w:sz="0" w:space="0" w:color="auto"/>
        <w:bottom w:val="none" w:sz="0" w:space="0" w:color="auto"/>
        <w:right w:val="none" w:sz="0" w:space="0" w:color="auto"/>
      </w:divBdr>
    </w:div>
    <w:div w:id="67504511">
      <w:bodyDiv w:val="1"/>
      <w:marLeft w:val="0"/>
      <w:marRight w:val="0"/>
      <w:marTop w:val="0"/>
      <w:marBottom w:val="0"/>
      <w:divBdr>
        <w:top w:val="none" w:sz="0" w:space="0" w:color="auto"/>
        <w:left w:val="none" w:sz="0" w:space="0" w:color="auto"/>
        <w:bottom w:val="none" w:sz="0" w:space="0" w:color="auto"/>
        <w:right w:val="none" w:sz="0" w:space="0" w:color="auto"/>
      </w:divBdr>
    </w:div>
    <w:div w:id="67654702">
      <w:bodyDiv w:val="1"/>
      <w:marLeft w:val="0"/>
      <w:marRight w:val="0"/>
      <w:marTop w:val="0"/>
      <w:marBottom w:val="0"/>
      <w:divBdr>
        <w:top w:val="none" w:sz="0" w:space="0" w:color="auto"/>
        <w:left w:val="none" w:sz="0" w:space="0" w:color="auto"/>
        <w:bottom w:val="none" w:sz="0" w:space="0" w:color="auto"/>
        <w:right w:val="none" w:sz="0" w:space="0" w:color="auto"/>
      </w:divBdr>
    </w:div>
    <w:div w:id="69816095">
      <w:bodyDiv w:val="1"/>
      <w:marLeft w:val="0"/>
      <w:marRight w:val="0"/>
      <w:marTop w:val="0"/>
      <w:marBottom w:val="0"/>
      <w:divBdr>
        <w:top w:val="none" w:sz="0" w:space="0" w:color="auto"/>
        <w:left w:val="none" w:sz="0" w:space="0" w:color="auto"/>
        <w:bottom w:val="none" w:sz="0" w:space="0" w:color="auto"/>
        <w:right w:val="none" w:sz="0" w:space="0" w:color="auto"/>
      </w:divBdr>
    </w:div>
    <w:div w:id="70589901">
      <w:bodyDiv w:val="1"/>
      <w:marLeft w:val="0"/>
      <w:marRight w:val="0"/>
      <w:marTop w:val="0"/>
      <w:marBottom w:val="0"/>
      <w:divBdr>
        <w:top w:val="none" w:sz="0" w:space="0" w:color="auto"/>
        <w:left w:val="none" w:sz="0" w:space="0" w:color="auto"/>
        <w:bottom w:val="none" w:sz="0" w:space="0" w:color="auto"/>
        <w:right w:val="none" w:sz="0" w:space="0" w:color="auto"/>
      </w:divBdr>
    </w:div>
    <w:div w:id="74209634">
      <w:bodyDiv w:val="1"/>
      <w:marLeft w:val="0"/>
      <w:marRight w:val="0"/>
      <w:marTop w:val="0"/>
      <w:marBottom w:val="0"/>
      <w:divBdr>
        <w:top w:val="none" w:sz="0" w:space="0" w:color="auto"/>
        <w:left w:val="none" w:sz="0" w:space="0" w:color="auto"/>
        <w:bottom w:val="none" w:sz="0" w:space="0" w:color="auto"/>
        <w:right w:val="none" w:sz="0" w:space="0" w:color="auto"/>
      </w:divBdr>
    </w:div>
    <w:div w:id="78597549">
      <w:bodyDiv w:val="1"/>
      <w:marLeft w:val="0"/>
      <w:marRight w:val="0"/>
      <w:marTop w:val="0"/>
      <w:marBottom w:val="0"/>
      <w:divBdr>
        <w:top w:val="none" w:sz="0" w:space="0" w:color="auto"/>
        <w:left w:val="none" w:sz="0" w:space="0" w:color="auto"/>
        <w:bottom w:val="none" w:sz="0" w:space="0" w:color="auto"/>
        <w:right w:val="none" w:sz="0" w:space="0" w:color="auto"/>
      </w:divBdr>
    </w:div>
    <w:div w:id="81489378">
      <w:bodyDiv w:val="1"/>
      <w:marLeft w:val="0"/>
      <w:marRight w:val="0"/>
      <w:marTop w:val="0"/>
      <w:marBottom w:val="0"/>
      <w:divBdr>
        <w:top w:val="none" w:sz="0" w:space="0" w:color="auto"/>
        <w:left w:val="none" w:sz="0" w:space="0" w:color="auto"/>
        <w:bottom w:val="none" w:sz="0" w:space="0" w:color="auto"/>
        <w:right w:val="none" w:sz="0" w:space="0" w:color="auto"/>
      </w:divBdr>
    </w:div>
    <w:div w:id="84421258">
      <w:bodyDiv w:val="1"/>
      <w:marLeft w:val="0"/>
      <w:marRight w:val="0"/>
      <w:marTop w:val="0"/>
      <w:marBottom w:val="0"/>
      <w:divBdr>
        <w:top w:val="none" w:sz="0" w:space="0" w:color="auto"/>
        <w:left w:val="none" w:sz="0" w:space="0" w:color="auto"/>
        <w:bottom w:val="none" w:sz="0" w:space="0" w:color="auto"/>
        <w:right w:val="none" w:sz="0" w:space="0" w:color="auto"/>
      </w:divBdr>
    </w:div>
    <w:div w:id="85423345">
      <w:bodyDiv w:val="1"/>
      <w:marLeft w:val="0"/>
      <w:marRight w:val="0"/>
      <w:marTop w:val="0"/>
      <w:marBottom w:val="0"/>
      <w:divBdr>
        <w:top w:val="none" w:sz="0" w:space="0" w:color="auto"/>
        <w:left w:val="none" w:sz="0" w:space="0" w:color="auto"/>
        <w:bottom w:val="none" w:sz="0" w:space="0" w:color="auto"/>
        <w:right w:val="none" w:sz="0" w:space="0" w:color="auto"/>
      </w:divBdr>
    </w:div>
    <w:div w:id="86734560">
      <w:bodyDiv w:val="1"/>
      <w:marLeft w:val="0"/>
      <w:marRight w:val="0"/>
      <w:marTop w:val="0"/>
      <w:marBottom w:val="0"/>
      <w:divBdr>
        <w:top w:val="none" w:sz="0" w:space="0" w:color="auto"/>
        <w:left w:val="none" w:sz="0" w:space="0" w:color="auto"/>
        <w:bottom w:val="none" w:sz="0" w:space="0" w:color="auto"/>
        <w:right w:val="none" w:sz="0" w:space="0" w:color="auto"/>
      </w:divBdr>
    </w:div>
    <w:div w:id="90900366">
      <w:bodyDiv w:val="1"/>
      <w:marLeft w:val="0"/>
      <w:marRight w:val="0"/>
      <w:marTop w:val="0"/>
      <w:marBottom w:val="0"/>
      <w:divBdr>
        <w:top w:val="none" w:sz="0" w:space="0" w:color="auto"/>
        <w:left w:val="none" w:sz="0" w:space="0" w:color="auto"/>
        <w:bottom w:val="none" w:sz="0" w:space="0" w:color="auto"/>
        <w:right w:val="none" w:sz="0" w:space="0" w:color="auto"/>
      </w:divBdr>
    </w:div>
    <w:div w:id="91511377">
      <w:bodyDiv w:val="1"/>
      <w:marLeft w:val="0"/>
      <w:marRight w:val="0"/>
      <w:marTop w:val="0"/>
      <w:marBottom w:val="0"/>
      <w:divBdr>
        <w:top w:val="none" w:sz="0" w:space="0" w:color="auto"/>
        <w:left w:val="none" w:sz="0" w:space="0" w:color="auto"/>
        <w:bottom w:val="none" w:sz="0" w:space="0" w:color="auto"/>
        <w:right w:val="none" w:sz="0" w:space="0" w:color="auto"/>
      </w:divBdr>
    </w:div>
    <w:div w:id="100732449">
      <w:bodyDiv w:val="1"/>
      <w:marLeft w:val="0"/>
      <w:marRight w:val="0"/>
      <w:marTop w:val="0"/>
      <w:marBottom w:val="0"/>
      <w:divBdr>
        <w:top w:val="none" w:sz="0" w:space="0" w:color="auto"/>
        <w:left w:val="none" w:sz="0" w:space="0" w:color="auto"/>
        <w:bottom w:val="none" w:sz="0" w:space="0" w:color="auto"/>
        <w:right w:val="none" w:sz="0" w:space="0" w:color="auto"/>
      </w:divBdr>
    </w:div>
    <w:div w:id="112143053">
      <w:bodyDiv w:val="1"/>
      <w:marLeft w:val="0"/>
      <w:marRight w:val="0"/>
      <w:marTop w:val="0"/>
      <w:marBottom w:val="0"/>
      <w:divBdr>
        <w:top w:val="none" w:sz="0" w:space="0" w:color="auto"/>
        <w:left w:val="none" w:sz="0" w:space="0" w:color="auto"/>
        <w:bottom w:val="none" w:sz="0" w:space="0" w:color="auto"/>
        <w:right w:val="none" w:sz="0" w:space="0" w:color="auto"/>
      </w:divBdr>
    </w:div>
    <w:div w:id="114718039">
      <w:bodyDiv w:val="1"/>
      <w:marLeft w:val="0"/>
      <w:marRight w:val="0"/>
      <w:marTop w:val="0"/>
      <w:marBottom w:val="0"/>
      <w:divBdr>
        <w:top w:val="none" w:sz="0" w:space="0" w:color="auto"/>
        <w:left w:val="none" w:sz="0" w:space="0" w:color="auto"/>
        <w:bottom w:val="none" w:sz="0" w:space="0" w:color="auto"/>
        <w:right w:val="none" w:sz="0" w:space="0" w:color="auto"/>
      </w:divBdr>
    </w:div>
    <w:div w:id="117140377">
      <w:bodyDiv w:val="1"/>
      <w:marLeft w:val="0"/>
      <w:marRight w:val="0"/>
      <w:marTop w:val="0"/>
      <w:marBottom w:val="0"/>
      <w:divBdr>
        <w:top w:val="none" w:sz="0" w:space="0" w:color="auto"/>
        <w:left w:val="none" w:sz="0" w:space="0" w:color="auto"/>
        <w:bottom w:val="none" w:sz="0" w:space="0" w:color="auto"/>
        <w:right w:val="none" w:sz="0" w:space="0" w:color="auto"/>
      </w:divBdr>
    </w:div>
    <w:div w:id="121921070">
      <w:bodyDiv w:val="1"/>
      <w:marLeft w:val="0"/>
      <w:marRight w:val="0"/>
      <w:marTop w:val="0"/>
      <w:marBottom w:val="0"/>
      <w:divBdr>
        <w:top w:val="none" w:sz="0" w:space="0" w:color="auto"/>
        <w:left w:val="none" w:sz="0" w:space="0" w:color="auto"/>
        <w:bottom w:val="none" w:sz="0" w:space="0" w:color="auto"/>
        <w:right w:val="none" w:sz="0" w:space="0" w:color="auto"/>
      </w:divBdr>
    </w:div>
    <w:div w:id="128786354">
      <w:bodyDiv w:val="1"/>
      <w:marLeft w:val="0"/>
      <w:marRight w:val="0"/>
      <w:marTop w:val="0"/>
      <w:marBottom w:val="0"/>
      <w:divBdr>
        <w:top w:val="none" w:sz="0" w:space="0" w:color="auto"/>
        <w:left w:val="none" w:sz="0" w:space="0" w:color="auto"/>
        <w:bottom w:val="none" w:sz="0" w:space="0" w:color="auto"/>
        <w:right w:val="none" w:sz="0" w:space="0" w:color="auto"/>
      </w:divBdr>
    </w:div>
    <w:div w:id="131094997">
      <w:bodyDiv w:val="1"/>
      <w:marLeft w:val="0"/>
      <w:marRight w:val="0"/>
      <w:marTop w:val="0"/>
      <w:marBottom w:val="0"/>
      <w:divBdr>
        <w:top w:val="none" w:sz="0" w:space="0" w:color="auto"/>
        <w:left w:val="none" w:sz="0" w:space="0" w:color="auto"/>
        <w:bottom w:val="none" w:sz="0" w:space="0" w:color="auto"/>
        <w:right w:val="none" w:sz="0" w:space="0" w:color="auto"/>
      </w:divBdr>
    </w:div>
    <w:div w:id="137383758">
      <w:bodyDiv w:val="1"/>
      <w:marLeft w:val="0"/>
      <w:marRight w:val="0"/>
      <w:marTop w:val="0"/>
      <w:marBottom w:val="0"/>
      <w:divBdr>
        <w:top w:val="none" w:sz="0" w:space="0" w:color="auto"/>
        <w:left w:val="none" w:sz="0" w:space="0" w:color="auto"/>
        <w:bottom w:val="none" w:sz="0" w:space="0" w:color="auto"/>
        <w:right w:val="none" w:sz="0" w:space="0" w:color="auto"/>
      </w:divBdr>
    </w:div>
    <w:div w:id="137891616">
      <w:bodyDiv w:val="1"/>
      <w:marLeft w:val="0"/>
      <w:marRight w:val="0"/>
      <w:marTop w:val="0"/>
      <w:marBottom w:val="0"/>
      <w:divBdr>
        <w:top w:val="none" w:sz="0" w:space="0" w:color="auto"/>
        <w:left w:val="none" w:sz="0" w:space="0" w:color="auto"/>
        <w:bottom w:val="none" w:sz="0" w:space="0" w:color="auto"/>
        <w:right w:val="none" w:sz="0" w:space="0" w:color="auto"/>
      </w:divBdr>
    </w:div>
    <w:div w:id="140467186">
      <w:bodyDiv w:val="1"/>
      <w:marLeft w:val="0"/>
      <w:marRight w:val="0"/>
      <w:marTop w:val="0"/>
      <w:marBottom w:val="0"/>
      <w:divBdr>
        <w:top w:val="none" w:sz="0" w:space="0" w:color="auto"/>
        <w:left w:val="none" w:sz="0" w:space="0" w:color="auto"/>
        <w:bottom w:val="none" w:sz="0" w:space="0" w:color="auto"/>
        <w:right w:val="none" w:sz="0" w:space="0" w:color="auto"/>
      </w:divBdr>
    </w:div>
    <w:div w:id="142897684">
      <w:bodyDiv w:val="1"/>
      <w:marLeft w:val="0"/>
      <w:marRight w:val="0"/>
      <w:marTop w:val="0"/>
      <w:marBottom w:val="0"/>
      <w:divBdr>
        <w:top w:val="none" w:sz="0" w:space="0" w:color="auto"/>
        <w:left w:val="none" w:sz="0" w:space="0" w:color="auto"/>
        <w:bottom w:val="none" w:sz="0" w:space="0" w:color="auto"/>
        <w:right w:val="none" w:sz="0" w:space="0" w:color="auto"/>
      </w:divBdr>
    </w:div>
    <w:div w:id="146094545">
      <w:bodyDiv w:val="1"/>
      <w:marLeft w:val="0"/>
      <w:marRight w:val="0"/>
      <w:marTop w:val="0"/>
      <w:marBottom w:val="0"/>
      <w:divBdr>
        <w:top w:val="none" w:sz="0" w:space="0" w:color="auto"/>
        <w:left w:val="none" w:sz="0" w:space="0" w:color="auto"/>
        <w:bottom w:val="none" w:sz="0" w:space="0" w:color="auto"/>
        <w:right w:val="none" w:sz="0" w:space="0" w:color="auto"/>
      </w:divBdr>
    </w:div>
    <w:div w:id="152993493">
      <w:bodyDiv w:val="1"/>
      <w:marLeft w:val="0"/>
      <w:marRight w:val="0"/>
      <w:marTop w:val="0"/>
      <w:marBottom w:val="0"/>
      <w:divBdr>
        <w:top w:val="none" w:sz="0" w:space="0" w:color="auto"/>
        <w:left w:val="none" w:sz="0" w:space="0" w:color="auto"/>
        <w:bottom w:val="none" w:sz="0" w:space="0" w:color="auto"/>
        <w:right w:val="none" w:sz="0" w:space="0" w:color="auto"/>
      </w:divBdr>
    </w:div>
    <w:div w:id="156574311">
      <w:bodyDiv w:val="1"/>
      <w:marLeft w:val="0"/>
      <w:marRight w:val="0"/>
      <w:marTop w:val="0"/>
      <w:marBottom w:val="0"/>
      <w:divBdr>
        <w:top w:val="none" w:sz="0" w:space="0" w:color="auto"/>
        <w:left w:val="none" w:sz="0" w:space="0" w:color="auto"/>
        <w:bottom w:val="none" w:sz="0" w:space="0" w:color="auto"/>
        <w:right w:val="none" w:sz="0" w:space="0" w:color="auto"/>
      </w:divBdr>
    </w:div>
    <w:div w:id="163472255">
      <w:bodyDiv w:val="1"/>
      <w:marLeft w:val="0"/>
      <w:marRight w:val="0"/>
      <w:marTop w:val="0"/>
      <w:marBottom w:val="0"/>
      <w:divBdr>
        <w:top w:val="none" w:sz="0" w:space="0" w:color="auto"/>
        <w:left w:val="none" w:sz="0" w:space="0" w:color="auto"/>
        <w:bottom w:val="none" w:sz="0" w:space="0" w:color="auto"/>
        <w:right w:val="none" w:sz="0" w:space="0" w:color="auto"/>
      </w:divBdr>
    </w:div>
    <w:div w:id="165099271">
      <w:bodyDiv w:val="1"/>
      <w:marLeft w:val="0"/>
      <w:marRight w:val="0"/>
      <w:marTop w:val="0"/>
      <w:marBottom w:val="0"/>
      <w:divBdr>
        <w:top w:val="none" w:sz="0" w:space="0" w:color="auto"/>
        <w:left w:val="none" w:sz="0" w:space="0" w:color="auto"/>
        <w:bottom w:val="none" w:sz="0" w:space="0" w:color="auto"/>
        <w:right w:val="none" w:sz="0" w:space="0" w:color="auto"/>
      </w:divBdr>
    </w:div>
    <w:div w:id="167604489">
      <w:bodyDiv w:val="1"/>
      <w:marLeft w:val="0"/>
      <w:marRight w:val="0"/>
      <w:marTop w:val="0"/>
      <w:marBottom w:val="0"/>
      <w:divBdr>
        <w:top w:val="none" w:sz="0" w:space="0" w:color="auto"/>
        <w:left w:val="none" w:sz="0" w:space="0" w:color="auto"/>
        <w:bottom w:val="none" w:sz="0" w:space="0" w:color="auto"/>
        <w:right w:val="none" w:sz="0" w:space="0" w:color="auto"/>
      </w:divBdr>
    </w:div>
    <w:div w:id="182672701">
      <w:bodyDiv w:val="1"/>
      <w:marLeft w:val="0"/>
      <w:marRight w:val="0"/>
      <w:marTop w:val="0"/>
      <w:marBottom w:val="0"/>
      <w:divBdr>
        <w:top w:val="none" w:sz="0" w:space="0" w:color="auto"/>
        <w:left w:val="none" w:sz="0" w:space="0" w:color="auto"/>
        <w:bottom w:val="none" w:sz="0" w:space="0" w:color="auto"/>
        <w:right w:val="none" w:sz="0" w:space="0" w:color="auto"/>
      </w:divBdr>
    </w:div>
    <w:div w:id="183787322">
      <w:bodyDiv w:val="1"/>
      <w:marLeft w:val="0"/>
      <w:marRight w:val="0"/>
      <w:marTop w:val="0"/>
      <w:marBottom w:val="0"/>
      <w:divBdr>
        <w:top w:val="none" w:sz="0" w:space="0" w:color="auto"/>
        <w:left w:val="none" w:sz="0" w:space="0" w:color="auto"/>
        <w:bottom w:val="none" w:sz="0" w:space="0" w:color="auto"/>
        <w:right w:val="none" w:sz="0" w:space="0" w:color="auto"/>
      </w:divBdr>
    </w:div>
    <w:div w:id="187645981">
      <w:bodyDiv w:val="1"/>
      <w:marLeft w:val="0"/>
      <w:marRight w:val="0"/>
      <w:marTop w:val="0"/>
      <w:marBottom w:val="0"/>
      <w:divBdr>
        <w:top w:val="none" w:sz="0" w:space="0" w:color="auto"/>
        <w:left w:val="none" w:sz="0" w:space="0" w:color="auto"/>
        <w:bottom w:val="none" w:sz="0" w:space="0" w:color="auto"/>
        <w:right w:val="none" w:sz="0" w:space="0" w:color="auto"/>
      </w:divBdr>
    </w:div>
    <w:div w:id="187836840">
      <w:bodyDiv w:val="1"/>
      <w:marLeft w:val="0"/>
      <w:marRight w:val="0"/>
      <w:marTop w:val="0"/>
      <w:marBottom w:val="0"/>
      <w:divBdr>
        <w:top w:val="none" w:sz="0" w:space="0" w:color="auto"/>
        <w:left w:val="none" w:sz="0" w:space="0" w:color="auto"/>
        <w:bottom w:val="none" w:sz="0" w:space="0" w:color="auto"/>
        <w:right w:val="none" w:sz="0" w:space="0" w:color="auto"/>
      </w:divBdr>
    </w:div>
    <w:div w:id="193228918">
      <w:bodyDiv w:val="1"/>
      <w:marLeft w:val="0"/>
      <w:marRight w:val="0"/>
      <w:marTop w:val="0"/>
      <w:marBottom w:val="0"/>
      <w:divBdr>
        <w:top w:val="none" w:sz="0" w:space="0" w:color="auto"/>
        <w:left w:val="none" w:sz="0" w:space="0" w:color="auto"/>
        <w:bottom w:val="none" w:sz="0" w:space="0" w:color="auto"/>
        <w:right w:val="none" w:sz="0" w:space="0" w:color="auto"/>
      </w:divBdr>
    </w:div>
    <w:div w:id="197547010">
      <w:bodyDiv w:val="1"/>
      <w:marLeft w:val="0"/>
      <w:marRight w:val="0"/>
      <w:marTop w:val="0"/>
      <w:marBottom w:val="0"/>
      <w:divBdr>
        <w:top w:val="none" w:sz="0" w:space="0" w:color="auto"/>
        <w:left w:val="none" w:sz="0" w:space="0" w:color="auto"/>
        <w:bottom w:val="none" w:sz="0" w:space="0" w:color="auto"/>
        <w:right w:val="none" w:sz="0" w:space="0" w:color="auto"/>
      </w:divBdr>
    </w:div>
    <w:div w:id="203173356">
      <w:bodyDiv w:val="1"/>
      <w:marLeft w:val="0"/>
      <w:marRight w:val="0"/>
      <w:marTop w:val="0"/>
      <w:marBottom w:val="0"/>
      <w:divBdr>
        <w:top w:val="none" w:sz="0" w:space="0" w:color="auto"/>
        <w:left w:val="none" w:sz="0" w:space="0" w:color="auto"/>
        <w:bottom w:val="none" w:sz="0" w:space="0" w:color="auto"/>
        <w:right w:val="none" w:sz="0" w:space="0" w:color="auto"/>
      </w:divBdr>
    </w:div>
    <w:div w:id="203757694">
      <w:bodyDiv w:val="1"/>
      <w:marLeft w:val="0"/>
      <w:marRight w:val="0"/>
      <w:marTop w:val="0"/>
      <w:marBottom w:val="0"/>
      <w:divBdr>
        <w:top w:val="none" w:sz="0" w:space="0" w:color="auto"/>
        <w:left w:val="none" w:sz="0" w:space="0" w:color="auto"/>
        <w:bottom w:val="none" w:sz="0" w:space="0" w:color="auto"/>
        <w:right w:val="none" w:sz="0" w:space="0" w:color="auto"/>
      </w:divBdr>
    </w:div>
    <w:div w:id="212616720">
      <w:bodyDiv w:val="1"/>
      <w:marLeft w:val="0"/>
      <w:marRight w:val="0"/>
      <w:marTop w:val="0"/>
      <w:marBottom w:val="0"/>
      <w:divBdr>
        <w:top w:val="none" w:sz="0" w:space="0" w:color="auto"/>
        <w:left w:val="none" w:sz="0" w:space="0" w:color="auto"/>
        <w:bottom w:val="none" w:sz="0" w:space="0" w:color="auto"/>
        <w:right w:val="none" w:sz="0" w:space="0" w:color="auto"/>
      </w:divBdr>
    </w:div>
    <w:div w:id="213784746">
      <w:bodyDiv w:val="1"/>
      <w:marLeft w:val="0"/>
      <w:marRight w:val="0"/>
      <w:marTop w:val="0"/>
      <w:marBottom w:val="0"/>
      <w:divBdr>
        <w:top w:val="none" w:sz="0" w:space="0" w:color="auto"/>
        <w:left w:val="none" w:sz="0" w:space="0" w:color="auto"/>
        <w:bottom w:val="none" w:sz="0" w:space="0" w:color="auto"/>
        <w:right w:val="none" w:sz="0" w:space="0" w:color="auto"/>
      </w:divBdr>
    </w:div>
    <w:div w:id="218562609">
      <w:bodyDiv w:val="1"/>
      <w:marLeft w:val="0"/>
      <w:marRight w:val="0"/>
      <w:marTop w:val="0"/>
      <w:marBottom w:val="0"/>
      <w:divBdr>
        <w:top w:val="none" w:sz="0" w:space="0" w:color="auto"/>
        <w:left w:val="none" w:sz="0" w:space="0" w:color="auto"/>
        <w:bottom w:val="none" w:sz="0" w:space="0" w:color="auto"/>
        <w:right w:val="none" w:sz="0" w:space="0" w:color="auto"/>
      </w:divBdr>
    </w:div>
    <w:div w:id="221984800">
      <w:bodyDiv w:val="1"/>
      <w:marLeft w:val="0"/>
      <w:marRight w:val="0"/>
      <w:marTop w:val="0"/>
      <w:marBottom w:val="0"/>
      <w:divBdr>
        <w:top w:val="none" w:sz="0" w:space="0" w:color="auto"/>
        <w:left w:val="none" w:sz="0" w:space="0" w:color="auto"/>
        <w:bottom w:val="none" w:sz="0" w:space="0" w:color="auto"/>
        <w:right w:val="none" w:sz="0" w:space="0" w:color="auto"/>
      </w:divBdr>
    </w:div>
    <w:div w:id="230046439">
      <w:bodyDiv w:val="1"/>
      <w:marLeft w:val="0"/>
      <w:marRight w:val="0"/>
      <w:marTop w:val="0"/>
      <w:marBottom w:val="0"/>
      <w:divBdr>
        <w:top w:val="none" w:sz="0" w:space="0" w:color="auto"/>
        <w:left w:val="none" w:sz="0" w:space="0" w:color="auto"/>
        <w:bottom w:val="none" w:sz="0" w:space="0" w:color="auto"/>
        <w:right w:val="none" w:sz="0" w:space="0" w:color="auto"/>
      </w:divBdr>
    </w:div>
    <w:div w:id="235629738">
      <w:bodyDiv w:val="1"/>
      <w:marLeft w:val="0"/>
      <w:marRight w:val="0"/>
      <w:marTop w:val="0"/>
      <w:marBottom w:val="0"/>
      <w:divBdr>
        <w:top w:val="none" w:sz="0" w:space="0" w:color="auto"/>
        <w:left w:val="none" w:sz="0" w:space="0" w:color="auto"/>
        <w:bottom w:val="none" w:sz="0" w:space="0" w:color="auto"/>
        <w:right w:val="none" w:sz="0" w:space="0" w:color="auto"/>
      </w:divBdr>
    </w:div>
    <w:div w:id="238056076">
      <w:bodyDiv w:val="1"/>
      <w:marLeft w:val="0"/>
      <w:marRight w:val="0"/>
      <w:marTop w:val="0"/>
      <w:marBottom w:val="0"/>
      <w:divBdr>
        <w:top w:val="none" w:sz="0" w:space="0" w:color="auto"/>
        <w:left w:val="none" w:sz="0" w:space="0" w:color="auto"/>
        <w:bottom w:val="none" w:sz="0" w:space="0" w:color="auto"/>
        <w:right w:val="none" w:sz="0" w:space="0" w:color="auto"/>
      </w:divBdr>
    </w:div>
    <w:div w:id="238756991">
      <w:bodyDiv w:val="1"/>
      <w:marLeft w:val="0"/>
      <w:marRight w:val="0"/>
      <w:marTop w:val="0"/>
      <w:marBottom w:val="0"/>
      <w:divBdr>
        <w:top w:val="none" w:sz="0" w:space="0" w:color="auto"/>
        <w:left w:val="none" w:sz="0" w:space="0" w:color="auto"/>
        <w:bottom w:val="none" w:sz="0" w:space="0" w:color="auto"/>
        <w:right w:val="none" w:sz="0" w:space="0" w:color="auto"/>
      </w:divBdr>
    </w:div>
    <w:div w:id="240138931">
      <w:bodyDiv w:val="1"/>
      <w:marLeft w:val="0"/>
      <w:marRight w:val="0"/>
      <w:marTop w:val="0"/>
      <w:marBottom w:val="0"/>
      <w:divBdr>
        <w:top w:val="none" w:sz="0" w:space="0" w:color="auto"/>
        <w:left w:val="none" w:sz="0" w:space="0" w:color="auto"/>
        <w:bottom w:val="none" w:sz="0" w:space="0" w:color="auto"/>
        <w:right w:val="none" w:sz="0" w:space="0" w:color="auto"/>
      </w:divBdr>
    </w:div>
    <w:div w:id="240600754">
      <w:bodyDiv w:val="1"/>
      <w:marLeft w:val="0"/>
      <w:marRight w:val="0"/>
      <w:marTop w:val="0"/>
      <w:marBottom w:val="0"/>
      <w:divBdr>
        <w:top w:val="none" w:sz="0" w:space="0" w:color="auto"/>
        <w:left w:val="none" w:sz="0" w:space="0" w:color="auto"/>
        <w:bottom w:val="none" w:sz="0" w:space="0" w:color="auto"/>
        <w:right w:val="none" w:sz="0" w:space="0" w:color="auto"/>
      </w:divBdr>
    </w:div>
    <w:div w:id="245192329">
      <w:bodyDiv w:val="1"/>
      <w:marLeft w:val="0"/>
      <w:marRight w:val="0"/>
      <w:marTop w:val="0"/>
      <w:marBottom w:val="0"/>
      <w:divBdr>
        <w:top w:val="none" w:sz="0" w:space="0" w:color="auto"/>
        <w:left w:val="none" w:sz="0" w:space="0" w:color="auto"/>
        <w:bottom w:val="none" w:sz="0" w:space="0" w:color="auto"/>
        <w:right w:val="none" w:sz="0" w:space="0" w:color="auto"/>
      </w:divBdr>
    </w:div>
    <w:div w:id="246504041">
      <w:bodyDiv w:val="1"/>
      <w:marLeft w:val="0"/>
      <w:marRight w:val="0"/>
      <w:marTop w:val="0"/>
      <w:marBottom w:val="0"/>
      <w:divBdr>
        <w:top w:val="none" w:sz="0" w:space="0" w:color="auto"/>
        <w:left w:val="none" w:sz="0" w:space="0" w:color="auto"/>
        <w:bottom w:val="none" w:sz="0" w:space="0" w:color="auto"/>
        <w:right w:val="none" w:sz="0" w:space="0" w:color="auto"/>
      </w:divBdr>
    </w:div>
    <w:div w:id="247233544">
      <w:bodyDiv w:val="1"/>
      <w:marLeft w:val="0"/>
      <w:marRight w:val="0"/>
      <w:marTop w:val="0"/>
      <w:marBottom w:val="0"/>
      <w:divBdr>
        <w:top w:val="none" w:sz="0" w:space="0" w:color="auto"/>
        <w:left w:val="none" w:sz="0" w:space="0" w:color="auto"/>
        <w:bottom w:val="none" w:sz="0" w:space="0" w:color="auto"/>
        <w:right w:val="none" w:sz="0" w:space="0" w:color="auto"/>
      </w:divBdr>
    </w:div>
    <w:div w:id="262422850">
      <w:bodyDiv w:val="1"/>
      <w:marLeft w:val="0"/>
      <w:marRight w:val="0"/>
      <w:marTop w:val="0"/>
      <w:marBottom w:val="0"/>
      <w:divBdr>
        <w:top w:val="none" w:sz="0" w:space="0" w:color="auto"/>
        <w:left w:val="none" w:sz="0" w:space="0" w:color="auto"/>
        <w:bottom w:val="none" w:sz="0" w:space="0" w:color="auto"/>
        <w:right w:val="none" w:sz="0" w:space="0" w:color="auto"/>
      </w:divBdr>
    </w:div>
    <w:div w:id="266273413">
      <w:bodyDiv w:val="1"/>
      <w:marLeft w:val="0"/>
      <w:marRight w:val="0"/>
      <w:marTop w:val="0"/>
      <w:marBottom w:val="0"/>
      <w:divBdr>
        <w:top w:val="none" w:sz="0" w:space="0" w:color="auto"/>
        <w:left w:val="none" w:sz="0" w:space="0" w:color="auto"/>
        <w:bottom w:val="none" w:sz="0" w:space="0" w:color="auto"/>
        <w:right w:val="none" w:sz="0" w:space="0" w:color="auto"/>
      </w:divBdr>
    </w:div>
    <w:div w:id="266810398">
      <w:bodyDiv w:val="1"/>
      <w:marLeft w:val="0"/>
      <w:marRight w:val="0"/>
      <w:marTop w:val="0"/>
      <w:marBottom w:val="0"/>
      <w:divBdr>
        <w:top w:val="none" w:sz="0" w:space="0" w:color="auto"/>
        <w:left w:val="none" w:sz="0" w:space="0" w:color="auto"/>
        <w:bottom w:val="none" w:sz="0" w:space="0" w:color="auto"/>
        <w:right w:val="none" w:sz="0" w:space="0" w:color="auto"/>
      </w:divBdr>
    </w:div>
    <w:div w:id="273709001">
      <w:bodyDiv w:val="1"/>
      <w:marLeft w:val="0"/>
      <w:marRight w:val="0"/>
      <w:marTop w:val="0"/>
      <w:marBottom w:val="0"/>
      <w:divBdr>
        <w:top w:val="none" w:sz="0" w:space="0" w:color="auto"/>
        <w:left w:val="none" w:sz="0" w:space="0" w:color="auto"/>
        <w:bottom w:val="none" w:sz="0" w:space="0" w:color="auto"/>
        <w:right w:val="none" w:sz="0" w:space="0" w:color="auto"/>
      </w:divBdr>
    </w:div>
    <w:div w:id="280918659">
      <w:bodyDiv w:val="1"/>
      <w:marLeft w:val="0"/>
      <w:marRight w:val="0"/>
      <w:marTop w:val="0"/>
      <w:marBottom w:val="0"/>
      <w:divBdr>
        <w:top w:val="none" w:sz="0" w:space="0" w:color="auto"/>
        <w:left w:val="none" w:sz="0" w:space="0" w:color="auto"/>
        <w:bottom w:val="none" w:sz="0" w:space="0" w:color="auto"/>
        <w:right w:val="none" w:sz="0" w:space="0" w:color="auto"/>
      </w:divBdr>
    </w:div>
    <w:div w:id="286814952">
      <w:bodyDiv w:val="1"/>
      <w:marLeft w:val="0"/>
      <w:marRight w:val="0"/>
      <w:marTop w:val="0"/>
      <w:marBottom w:val="0"/>
      <w:divBdr>
        <w:top w:val="none" w:sz="0" w:space="0" w:color="auto"/>
        <w:left w:val="none" w:sz="0" w:space="0" w:color="auto"/>
        <w:bottom w:val="none" w:sz="0" w:space="0" w:color="auto"/>
        <w:right w:val="none" w:sz="0" w:space="0" w:color="auto"/>
      </w:divBdr>
    </w:div>
    <w:div w:id="286858894">
      <w:bodyDiv w:val="1"/>
      <w:marLeft w:val="0"/>
      <w:marRight w:val="0"/>
      <w:marTop w:val="0"/>
      <w:marBottom w:val="0"/>
      <w:divBdr>
        <w:top w:val="none" w:sz="0" w:space="0" w:color="auto"/>
        <w:left w:val="none" w:sz="0" w:space="0" w:color="auto"/>
        <w:bottom w:val="none" w:sz="0" w:space="0" w:color="auto"/>
        <w:right w:val="none" w:sz="0" w:space="0" w:color="auto"/>
      </w:divBdr>
    </w:div>
    <w:div w:id="301152738">
      <w:bodyDiv w:val="1"/>
      <w:marLeft w:val="0"/>
      <w:marRight w:val="0"/>
      <w:marTop w:val="0"/>
      <w:marBottom w:val="0"/>
      <w:divBdr>
        <w:top w:val="none" w:sz="0" w:space="0" w:color="auto"/>
        <w:left w:val="none" w:sz="0" w:space="0" w:color="auto"/>
        <w:bottom w:val="none" w:sz="0" w:space="0" w:color="auto"/>
        <w:right w:val="none" w:sz="0" w:space="0" w:color="auto"/>
      </w:divBdr>
    </w:div>
    <w:div w:id="317611632">
      <w:bodyDiv w:val="1"/>
      <w:marLeft w:val="0"/>
      <w:marRight w:val="0"/>
      <w:marTop w:val="0"/>
      <w:marBottom w:val="0"/>
      <w:divBdr>
        <w:top w:val="none" w:sz="0" w:space="0" w:color="auto"/>
        <w:left w:val="none" w:sz="0" w:space="0" w:color="auto"/>
        <w:bottom w:val="none" w:sz="0" w:space="0" w:color="auto"/>
        <w:right w:val="none" w:sz="0" w:space="0" w:color="auto"/>
      </w:divBdr>
    </w:div>
    <w:div w:id="322928477">
      <w:bodyDiv w:val="1"/>
      <w:marLeft w:val="0"/>
      <w:marRight w:val="0"/>
      <w:marTop w:val="0"/>
      <w:marBottom w:val="0"/>
      <w:divBdr>
        <w:top w:val="none" w:sz="0" w:space="0" w:color="auto"/>
        <w:left w:val="none" w:sz="0" w:space="0" w:color="auto"/>
        <w:bottom w:val="none" w:sz="0" w:space="0" w:color="auto"/>
        <w:right w:val="none" w:sz="0" w:space="0" w:color="auto"/>
      </w:divBdr>
    </w:div>
    <w:div w:id="324479314">
      <w:bodyDiv w:val="1"/>
      <w:marLeft w:val="0"/>
      <w:marRight w:val="0"/>
      <w:marTop w:val="0"/>
      <w:marBottom w:val="0"/>
      <w:divBdr>
        <w:top w:val="none" w:sz="0" w:space="0" w:color="auto"/>
        <w:left w:val="none" w:sz="0" w:space="0" w:color="auto"/>
        <w:bottom w:val="none" w:sz="0" w:space="0" w:color="auto"/>
        <w:right w:val="none" w:sz="0" w:space="0" w:color="auto"/>
      </w:divBdr>
    </w:div>
    <w:div w:id="330915201">
      <w:bodyDiv w:val="1"/>
      <w:marLeft w:val="0"/>
      <w:marRight w:val="0"/>
      <w:marTop w:val="0"/>
      <w:marBottom w:val="0"/>
      <w:divBdr>
        <w:top w:val="none" w:sz="0" w:space="0" w:color="auto"/>
        <w:left w:val="none" w:sz="0" w:space="0" w:color="auto"/>
        <w:bottom w:val="none" w:sz="0" w:space="0" w:color="auto"/>
        <w:right w:val="none" w:sz="0" w:space="0" w:color="auto"/>
      </w:divBdr>
    </w:div>
    <w:div w:id="331565995">
      <w:bodyDiv w:val="1"/>
      <w:marLeft w:val="0"/>
      <w:marRight w:val="0"/>
      <w:marTop w:val="0"/>
      <w:marBottom w:val="0"/>
      <w:divBdr>
        <w:top w:val="none" w:sz="0" w:space="0" w:color="auto"/>
        <w:left w:val="none" w:sz="0" w:space="0" w:color="auto"/>
        <w:bottom w:val="none" w:sz="0" w:space="0" w:color="auto"/>
        <w:right w:val="none" w:sz="0" w:space="0" w:color="auto"/>
      </w:divBdr>
    </w:div>
    <w:div w:id="332033160">
      <w:bodyDiv w:val="1"/>
      <w:marLeft w:val="0"/>
      <w:marRight w:val="0"/>
      <w:marTop w:val="0"/>
      <w:marBottom w:val="0"/>
      <w:divBdr>
        <w:top w:val="none" w:sz="0" w:space="0" w:color="auto"/>
        <w:left w:val="none" w:sz="0" w:space="0" w:color="auto"/>
        <w:bottom w:val="none" w:sz="0" w:space="0" w:color="auto"/>
        <w:right w:val="none" w:sz="0" w:space="0" w:color="auto"/>
      </w:divBdr>
    </w:div>
    <w:div w:id="337733526">
      <w:bodyDiv w:val="1"/>
      <w:marLeft w:val="0"/>
      <w:marRight w:val="0"/>
      <w:marTop w:val="0"/>
      <w:marBottom w:val="0"/>
      <w:divBdr>
        <w:top w:val="none" w:sz="0" w:space="0" w:color="auto"/>
        <w:left w:val="none" w:sz="0" w:space="0" w:color="auto"/>
        <w:bottom w:val="none" w:sz="0" w:space="0" w:color="auto"/>
        <w:right w:val="none" w:sz="0" w:space="0" w:color="auto"/>
      </w:divBdr>
    </w:div>
    <w:div w:id="346373946">
      <w:bodyDiv w:val="1"/>
      <w:marLeft w:val="0"/>
      <w:marRight w:val="0"/>
      <w:marTop w:val="0"/>
      <w:marBottom w:val="0"/>
      <w:divBdr>
        <w:top w:val="none" w:sz="0" w:space="0" w:color="auto"/>
        <w:left w:val="none" w:sz="0" w:space="0" w:color="auto"/>
        <w:bottom w:val="none" w:sz="0" w:space="0" w:color="auto"/>
        <w:right w:val="none" w:sz="0" w:space="0" w:color="auto"/>
      </w:divBdr>
    </w:div>
    <w:div w:id="346450599">
      <w:bodyDiv w:val="1"/>
      <w:marLeft w:val="0"/>
      <w:marRight w:val="0"/>
      <w:marTop w:val="0"/>
      <w:marBottom w:val="0"/>
      <w:divBdr>
        <w:top w:val="none" w:sz="0" w:space="0" w:color="auto"/>
        <w:left w:val="none" w:sz="0" w:space="0" w:color="auto"/>
        <w:bottom w:val="none" w:sz="0" w:space="0" w:color="auto"/>
        <w:right w:val="none" w:sz="0" w:space="0" w:color="auto"/>
      </w:divBdr>
    </w:div>
    <w:div w:id="346561505">
      <w:bodyDiv w:val="1"/>
      <w:marLeft w:val="0"/>
      <w:marRight w:val="0"/>
      <w:marTop w:val="0"/>
      <w:marBottom w:val="0"/>
      <w:divBdr>
        <w:top w:val="none" w:sz="0" w:space="0" w:color="auto"/>
        <w:left w:val="none" w:sz="0" w:space="0" w:color="auto"/>
        <w:bottom w:val="none" w:sz="0" w:space="0" w:color="auto"/>
        <w:right w:val="none" w:sz="0" w:space="0" w:color="auto"/>
      </w:divBdr>
    </w:div>
    <w:div w:id="351347691">
      <w:bodyDiv w:val="1"/>
      <w:marLeft w:val="0"/>
      <w:marRight w:val="0"/>
      <w:marTop w:val="0"/>
      <w:marBottom w:val="0"/>
      <w:divBdr>
        <w:top w:val="none" w:sz="0" w:space="0" w:color="auto"/>
        <w:left w:val="none" w:sz="0" w:space="0" w:color="auto"/>
        <w:bottom w:val="none" w:sz="0" w:space="0" w:color="auto"/>
        <w:right w:val="none" w:sz="0" w:space="0" w:color="auto"/>
      </w:divBdr>
    </w:div>
    <w:div w:id="354507173">
      <w:bodyDiv w:val="1"/>
      <w:marLeft w:val="0"/>
      <w:marRight w:val="0"/>
      <w:marTop w:val="0"/>
      <w:marBottom w:val="0"/>
      <w:divBdr>
        <w:top w:val="none" w:sz="0" w:space="0" w:color="auto"/>
        <w:left w:val="none" w:sz="0" w:space="0" w:color="auto"/>
        <w:bottom w:val="none" w:sz="0" w:space="0" w:color="auto"/>
        <w:right w:val="none" w:sz="0" w:space="0" w:color="auto"/>
      </w:divBdr>
    </w:div>
    <w:div w:id="362249498">
      <w:bodyDiv w:val="1"/>
      <w:marLeft w:val="0"/>
      <w:marRight w:val="0"/>
      <w:marTop w:val="0"/>
      <w:marBottom w:val="0"/>
      <w:divBdr>
        <w:top w:val="none" w:sz="0" w:space="0" w:color="auto"/>
        <w:left w:val="none" w:sz="0" w:space="0" w:color="auto"/>
        <w:bottom w:val="none" w:sz="0" w:space="0" w:color="auto"/>
        <w:right w:val="none" w:sz="0" w:space="0" w:color="auto"/>
      </w:divBdr>
    </w:div>
    <w:div w:id="367492182">
      <w:bodyDiv w:val="1"/>
      <w:marLeft w:val="0"/>
      <w:marRight w:val="0"/>
      <w:marTop w:val="0"/>
      <w:marBottom w:val="0"/>
      <w:divBdr>
        <w:top w:val="none" w:sz="0" w:space="0" w:color="auto"/>
        <w:left w:val="none" w:sz="0" w:space="0" w:color="auto"/>
        <w:bottom w:val="none" w:sz="0" w:space="0" w:color="auto"/>
        <w:right w:val="none" w:sz="0" w:space="0" w:color="auto"/>
      </w:divBdr>
    </w:div>
    <w:div w:id="373775050">
      <w:bodyDiv w:val="1"/>
      <w:marLeft w:val="0"/>
      <w:marRight w:val="0"/>
      <w:marTop w:val="0"/>
      <w:marBottom w:val="0"/>
      <w:divBdr>
        <w:top w:val="none" w:sz="0" w:space="0" w:color="auto"/>
        <w:left w:val="none" w:sz="0" w:space="0" w:color="auto"/>
        <w:bottom w:val="none" w:sz="0" w:space="0" w:color="auto"/>
        <w:right w:val="none" w:sz="0" w:space="0" w:color="auto"/>
      </w:divBdr>
    </w:div>
    <w:div w:id="393819199">
      <w:bodyDiv w:val="1"/>
      <w:marLeft w:val="0"/>
      <w:marRight w:val="0"/>
      <w:marTop w:val="0"/>
      <w:marBottom w:val="0"/>
      <w:divBdr>
        <w:top w:val="none" w:sz="0" w:space="0" w:color="auto"/>
        <w:left w:val="none" w:sz="0" w:space="0" w:color="auto"/>
        <w:bottom w:val="none" w:sz="0" w:space="0" w:color="auto"/>
        <w:right w:val="none" w:sz="0" w:space="0" w:color="auto"/>
      </w:divBdr>
    </w:div>
    <w:div w:id="394815962">
      <w:bodyDiv w:val="1"/>
      <w:marLeft w:val="0"/>
      <w:marRight w:val="0"/>
      <w:marTop w:val="0"/>
      <w:marBottom w:val="0"/>
      <w:divBdr>
        <w:top w:val="none" w:sz="0" w:space="0" w:color="auto"/>
        <w:left w:val="none" w:sz="0" w:space="0" w:color="auto"/>
        <w:bottom w:val="none" w:sz="0" w:space="0" w:color="auto"/>
        <w:right w:val="none" w:sz="0" w:space="0" w:color="auto"/>
      </w:divBdr>
    </w:div>
    <w:div w:id="395251005">
      <w:bodyDiv w:val="1"/>
      <w:marLeft w:val="0"/>
      <w:marRight w:val="0"/>
      <w:marTop w:val="0"/>
      <w:marBottom w:val="0"/>
      <w:divBdr>
        <w:top w:val="none" w:sz="0" w:space="0" w:color="auto"/>
        <w:left w:val="none" w:sz="0" w:space="0" w:color="auto"/>
        <w:bottom w:val="none" w:sz="0" w:space="0" w:color="auto"/>
        <w:right w:val="none" w:sz="0" w:space="0" w:color="auto"/>
      </w:divBdr>
    </w:div>
    <w:div w:id="398210499">
      <w:bodyDiv w:val="1"/>
      <w:marLeft w:val="0"/>
      <w:marRight w:val="0"/>
      <w:marTop w:val="0"/>
      <w:marBottom w:val="0"/>
      <w:divBdr>
        <w:top w:val="none" w:sz="0" w:space="0" w:color="auto"/>
        <w:left w:val="none" w:sz="0" w:space="0" w:color="auto"/>
        <w:bottom w:val="none" w:sz="0" w:space="0" w:color="auto"/>
        <w:right w:val="none" w:sz="0" w:space="0" w:color="auto"/>
      </w:divBdr>
    </w:div>
    <w:div w:id="407266124">
      <w:bodyDiv w:val="1"/>
      <w:marLeft w:val="0"/>
      <w:marRight w:val="0"/>
      <w:marTop w:val="0"/>
      <w:marBottom w:val="0"/>
      <w:divBdr>
        <w:top w:val="none" w:sz="0" w:space="0" w:color="auto"/>
        <w:left w:val="none" w:sz="0" w:space="0" w:color="auto"/>
        <w:bottom w:val="none" w:sz="0" w:space="0" w:color="auto"/>
        <w:right w:val="none" w:sz="0" w:space="0" w:color="auto"/>
      </w:divBdr>
    </w:div>
    <w:div w:id="407503640">
      <w:bodyDiv w:val="1"/>
      <w:marLeft w:val="0"/>
      <w:marRight w:val="0"/>
      <w:marTop w:val="0"/>
      <w:marBottom w:val="0"/>
      <w:divBdr>
        <w:top w:val="none" w:sz="0" w:space="0" w:color="auto"/>
        <w:left w:val="none" w:sz="0" w:space="0" w:color="auto"/>
        <w:bottom w:val="none" w:sz="0" w:space="0" w:color="auto"/>
        <w:right w:val="none" w:sz="0" w:space="0" w:color="auto"/>
      </w:divBdr>
    </w:div>
    <w:div w:id="408038782">
      <w:bodyDiv w:val="1"/>
      <w:marLeft w:val="0"/>
      <w:marRight w:val="0"/>
      <w:marTop w:val="0"/>
      <w:marBottom w:val="0"/>
      <w:divBdr>
        <w:top w:val="none" w:sz="0" w:space="0" w:color="auto"/>
        <w:left w:val="none" w:sz="0" w:space="0" w:color="auto"/>
        <w:bottom w:val="none" w:sz="0" w:space="0" w:color="auto"/>
        <w:right w:val="none" w:sz="0" w:space="0" w:color="auto"/>
      </w:divBdr>
    </w:div>
    <w:div w:id="409157098">
      <w:bodyDiv w:val="1"/>
      <w:marLeft w:val="0"/>
      <w:marRight w:val="0"/>
      <w:marTop w:val="0"/>
      <w:marBottom w:val="0"/>
      <w:divBdr>
        <w:top w:val="none" w:sz="0" w:space="0" w:color="auto"/>
        <w:left w:val="none" w:sz="0" w:space="0" w:color="auto"/>
        <w:bottom w:val="none" w:sz="0" w:space="0" w:color="auto"/>
        <w:right w:val="none" w:sz="0" w:space="0" w:color="auto"/>
      </w:divBdr>
    </w:div>
    <w:div w:id="410662868">
      <w:bodyDiv w:val="1"/>
      <w:marLeft w:val="0"/>
      <w:marRight w:val="0"/>
      <w:marTop w:val="0"/>
      <w:marBottom w:val="0"/>
      <w:divBdr>
        <w:top w:val="none" w:sz="0" w:space="0" w:color="auto"/>
        <w:left w:val="none" w:sz="0" w:space="0" w:color="auto"/>
        <w:bottom w:val="none" w:sz="0" w:space="0" w:color="auto"/>
        <w:right w:val="none" w:sz="0" w:space="0" w:color="auto"/>
      </w:divBdr>
    </w:div>
    <w:div w:id="414132789">
      <w:bodyDiv w:val="1"/>
      <w:marLeft w:val="0"/>
      <w:marRight w:val="0"/>
      <w:marTop w:val="0"/>
      <w:marBottom w:val="0"/>
      <w:divBdr>
        <w:top w:val="none" w:sz="0" w:space="0" w:color="auto"/>
        <w:left w:val="none" w:sz="0" w:space="0" w:color="auto"/>
        <w:bottom w:val="none" w:sz="0" w:space="0" w:color="auto"/>
        <w:right w:val="none" w:sz="0" w:space="0" w:color="auto"/>
      </w:divBdr>
    </w:div>
    <w:div w:id="420680234">
      <w:bodyDiv w:val="1"/>
      <w:marLeft w:val="0"/>
      <w:marRight w:val="0"/>
      <w:marTop w:val="0"/>
      <w:marBottom w:val="0"/>
      <w:divBdr>
        <w:top w:val="none" w:sz="0" w:space="0" w:color="auto"/>
        <w:left w:val="none" w:sz="0" w:space="0" w:color="auto"/>
        <w:bottom w:val="none" w:sz="0" w:space="0" w:color="auto"/>
        <w:right w:val="none" w:sz="0" w:space="0" w:color="auto"/>
      </w:divBdr>
    </w:div>
    <w:div w:id="421491050">
      <w:bodyDiv w:val="1"/>
      <w:marLeft w:val="0"/>
      <w:marRight w:val="0"/>
      <w:marTop w:val="0"/>
      <w:marBottom w:val="0"/>
      <w:divBdr>
        <w:top w:val="none" w:sz="0" w:space="0" w:color="auto"/>
        <w:left w:val="none" w:sz="0" w:space="0" w:color="auto"/>
        <w:bottom w:val="none" w:sz="0" w:space="0" w:color="auto"/>
        <w:right w:val="none" w:sz="0" w:space="0" w:color="auto"/>
      </w:divBdr>
    </w:div>
    <w:div w:id="425151697">
      <w:bodyDiv w:val="1"/>
      <w:marLeft w:val="0"/>
      <w:marRight w:val="0"/>
      <w:marTop w:val="0"/>
      <w:marBottom w:val="0"/>
      <w:divBdr>
        <w:top w:val="none" w:sz="0" w:space="0" w:color="auto"/>
        <w:left w:val="none" w:sz="0" w:space="0" w:color="auto"/>
        <w:bottom w:val="none" w:sz="0" w:space="0" w:color="auto"/>
        <w:right w:val="none" w:sz="0" w:space="0" w:color="auto"/>
      </w:divBdr>
    </w:div>
    <w:div w:id="425810888">
      <w:bodyDiv w:val="1"/>
      <w:marLeft w:val="0"/>
      <w:marRight w:val="0"/>
      <w:marTop w:val="0"/>
      <w:marBottom w:val="0"/>
      <w:divBdr>
        <w:top w:val="none" w:sz="0" w:space="0" w:color="auto"/>
        <w:left w:val="none" w:sz="0" w:space="0" w:color="auto"/>
        <w:bottom w:val="none" w:sz="0" w:space="0" w:color="auto"/>
        <w:right w:val="none" w:sz="0" w:space="0" w:color="auto"/>
      </w:divBdr>
    </w:div>
    <w:div w:id="426316295">
      <w:bodyDiv w:val="1"/>
      <w:marLeft w:val="0"/>
      <w:marRight w:val="0"/>
      <w:marTop w:val="0"/>
      <w:marBottom w:val="0"/>
      <w:divBdr>
        <w:top w:val="none" w:sz="0" w:space="0" w:color="auto"/>
        <w:left w:val="none" w:sz="0" w:space="0" w:color="auto"/>
        <w:bottom w:val="none" w:sz="0" w:space="0" w:color="auto"/>
        <w:right w:val="none" w:sz="0" w:space="0" w:color="auto"/>
      </w:divBdr>
    </w:div>
    <w:div w:id="430784574">
      <w:bodyDiv w:val="1"/>
      <w:marLeft w:val="0"/>
      <w:marRight w:val="0"/>
      <w:marTop w:val="0"/>
      <w:marBottom w:val="0"/>
      <w:divBdr>
        <w:top w:val="none" w:sz="0" w:space="0" w:color="auto"/>
        <w:left w:val="none" w:sz="0" w:space="0" w:color="auto"/>
        <w:bottom w:val="none" w:sz="0" w:space="0" w:color="auto"/>
        <w:right w:val="none" w:sz="0" w:space="0" w:color="auto"/>
      </w:divBdr>
    </w:div>
    <w:div w:id="431322916">
      <w:bodyDiv w:val="1"/>
      <w:marLeft w:val="0"/>
      <w:marRight w:val="0"/>
      <w:marTop w:val="0"/>
      <w:marBottom w:val="0"/>
      <w:divBdr>
        <w:top w:val="none" w:sz="0" w:space="0" w:color="auto"/>
        <w:left w:val="none" w:sz="0" w:space="0" w:color="auto"/>
        <w:bottom w:val="none" w:sz="0" w:space="0" w:color="auto"/>
        <w:right w:val="none" w:sz="0" w:space="0" w:color="auto"/>
      </w:divBdr>
    </w:div>
    <w:div w:id="435249914">
      <w:bodyDiv w:val="1"/>
      <w:marLeft w:val="0"/>
      <w:marRight w:val="0"/>
      <w:marTop w:val="0"/>
      <w:marBottom w:val="0"/>
      <w:divBdr>
        <w:top w:val="none" w:sz="0" w:space="0" w:color="auto"/>
        <w:left w:val="none" w:sz="0" w:space="0" w:color="auto"/>
        <w:bottom w:val="none" w:sz="0" w:space="0" w:color="auto"/>
        <w:right w:val="none" w:sz="0" w:space="0" w:color="auto"/>
      </w:divBdr>
    </w:div>
    <w:div w:id="436876649">
      <w:bodyDiv w:val="1"/>
      <w:marLeft w:val="0"/>
      <w:marRight w:val="0"/>
      <w:marTop w:val="0"/>
      <w:marBottom w:val="0"/>
      <w:divBdr>
        <w:top w:val="none" w:sz="0" w:space="0" w:color="auto"/>
        <w:left w:val="none" w:sz="0" w:space="0" w:color="auto"/>
        <w:bottom w:val="none" w:sz="0" w:space="0" w:color="auto"/>
        <w:right w:val="none" w:sz="0" w:space="0" w:color="auto"/>
      </w:divBdr>
    </w:div>
    <w:div w:id="443116676">
      <w:bodyDiv w:val="1"/>
      <w:marLeft w:val="0"/>
      <w:marRight w:val="0"/>
      <w:marTop w:val="0"/>
      <w:marBottom w:val="0"/>
      <w:divBdr>
        <w:top w:val="none" w:sz="0" w:space="0" w:color="auto"/>
        <w:left w:val="none" w:sz="0" w:space="0" w:color="auto"/>
        <w:bottom w:val="none" w:sz="0" w:space="0" w:color="auto"/>
        <w:right w:val="none" w:sz="0" w:space="0" w:color="auto"/>
      </w:divBdr>
    </w:div>
    <w:div w:id="443621320">
      <w:bodyDiv w:val="1"/>
      <w:marLeft w:val="0"/>
      <w:marRight w:val="0"/>
      <w:marTop w:val="0"/>
      <w:marBottom w:val="0"/>
      <w:divBdr>
        <w:top w:val="none" w:sz="0" w:space="0" w:color="auto"/>
        <w:left w:val="none" w:sz="0" w:space="0" w:color="auto"/>
        <w:bottom w:val="none" w:sz="0" w:space="0" w:color="auto"/>
        <w:right w:val="none" w:sz="0" w:space="0" w:color="auto"/>
      </w:divBdr>
    </w:div>
    <w:div w:id="449978280">
      <w:bodyDiv w:val="1"/>
      <w:marLeft w:val="0"/>
      <w:marRight w:val="0"/>
      <w:marTop w:val="0"/>
      <w:marBottom w:val="0"/>
      <w:divBdr>
        <w:top w:val="none" w:sz="0" w:space="0" w:color="auto"/>
        <w:left w:val="none" w:sz="0" w:space="0" w:color="auto"/>
        <w:bottom w:val="none" w:sz="0" w:space="0" w:color="auto"/>
        <w:right w:val="none" w:sz="0" w:space="0" w:color="auto"/>
      </w:divBdr>
    </w:div>
    <w:div w:id="467209889">
      <w:bodyDiv w:val="1"/>
      <w:marLeft w:val="0"/>
      <w:marRight w:val="0"/>
      <w:marTop w:val="0"/>
      <w:marBottom w:val="0"/>
      <w:divBdr>
        <w:top w:val="none" w:sz="0" w:space="0" w:color="auto"/>
        <w:left w:val="none" w:sz="0" w:space="0" w:color="auto"/>
        <w:bottom w:val="none" w:sz="0" w:space="0" w:color="auto"/>
        <w:right w:val="none" w:sz="0" w:space="0" w:color="auto"/>
      </w:divBdr>
    </w:div>
    <w:div w:id="478303641">
      <w:bodyDiv w:val="1"/>
      <w:marLeft w:val="0"/>
      <w:marRight w:val="0"/>
      <w:marTop w:val="0"/>
      <w:marBottom w:val="0"/>
      <w:divBdr>
        <w:top w:val="none" w:sz="0" w:space="0" w:color="auto"/>
        <w:left w:val="none" w:sz="0" w:space="0" w:color="auto"/>
        <w:bottom w:val="none" w:sz="0" w:space="0" w:color="auto"/>
        <w:right w:val="none" w:sz="0" w:space="0" w:color="auto"/>
      </w:divBdr>
    </w:div>
    <w:div w:id="490411543">
      <w:bodyDiv w:val="1"/>
      <w:marLeft w:val="0"/>
      <w:marRight w:val="0"/>
      <w:marTop w:val="0"/>
      <w:marBottom w:val="0"/>
      <w:divBdr>
        <w:top w:val="none" w:sz="0" w:space="0" w:color="auto"/>
        <w:left w:val="none" w:sz="0" w:space="0" w:color="auto"/>
        <w:bottom w:val="none" w:sz="0" w:space="0" w:color="auto"/>
        <w:right w:val="none" w:sz="0" w:space="0" w:color="auto"/>
      </w:divBdr>
    </w:div>
    <w:div w:id="499470186">
      <w:bodyDiv w:val="1"/>
      <w:marLeft w:val="0"/>
      <w:marRight w:val="0"/>
      <w:marTop w:val="0"/>
      <w:marBottom w:val="0"/>
      <w:divBdr>
        <w:top w:val="none" w:sz="0" w:space="0" w:color="auto"/>
        <w:left w:val="none" w:sz="0" w:space="0" w:color="auto"/>
        <w:bottom w:val="none" w:sz="0" w:space="0" w:color="auto"/>
        <w:right w:val="none" w:sz="0" w:space="0" w:color="auto"/>
      </w:divBdr>
    </w:div>
    <w:div w:id="499539856">
      <w:bodyDiv w:val="1"/>
      <w:marLeft w:val="0"/>
      <w:marRight w:val="0"/>
      <w:marTop w:val="0"/>
      <w:marBottom w:val="0"/>
      <w:divBdr>
        <w:top w:val="none" w:sz="0" w:space="0" w:color="auto"/>
        <w:left w:val="none" w:sz="0" w:space="0" w:color="auto"/>
        <w:bottom w:val="none" w:sz="0" w:space="0" w:color="auto"/>
        <w:right w:val="none" w:sz="0" w:space="0" w:color="auto"/>
      </w:divBdr>
    </w:div>
    <w:div w:id="504051578">
      <w:bodyDiv w:val="1"/>
      <w:marLeft w:val="0"/>
      <w:marRight w:val="0"/>
      <w:marTop w:val="0"/>
      <w:marBottom w:val="0"/>
      <w:divBdr>
        <w:top w:val="none" w:sz="0" w:space="0" w:color="auto"/>
        <w:left w:val="none" w:sz="0" w:space="0" w:color="auto"/>
        <w:bottom w:val="none" w:sz="0" w:space="0" w:color="auto"/>
        <w:right w:val="none" w:sz="0" w:space="0" w:color="auto"/>
      </w:divBdr>
    </w:div>
    <w:div w:id="504520914">
      <w:bodyDiv w:val="1"/>
      <w:marLeft w:val="0"/>
      <w:marRight w:val="0"/>
      <w:marTop w:val="0"/>
      <w:marBottom w:val="0"/>
      <w:divBdr>
        <w:top w:val="none" w:sz="0" w:space="0" w:color="auto"/>
        <w:left w:val="none" w:sz="0" w:space="0" w:color="auto"/>
        <w:bottom w:val="none" w:sz="0" w:space="0" w:color="auto"/>
        <w:right w:val="none" w:sz="0" w:space="0" w:color="auto"/>
      </w:divBdr>
    </w:div>
    <w:div w:id="510530034">
      <w:bodyDiv w:val="1"/>
      <w:marLeft w:val="0"/>
      <w:marRight w:val="0"/>
      <w:marTop w:val="0"/>
      <w:marBottom w:val="0"/>
      <w:divBdr>
        <w:top w:val="none" w:sz="0" w:space="0" w:color="auto"/>
        <w:left w:val="none" w:sz="0" w:space="0" w:color="auto"/>
        <w:bottom w:val="none" w:sz="0" w:space="0" w:color="auto"/>
        <w:right w:val="none" w:sz="0" w:space="0" w:color="auto"/>
      </w:divBdr>
    </w:div>
    <w:div w:id="514661697">
      <w:bodyDiv w:val="1"/>
      <w:marLeft w:val="0"/>
      <w:marRight w:val="0"/>
      <w:marTop w:val="0"/>
      <w:marBottom w:val="0"/>
      <w:divBdr>
        <w:top w:val="none" w:sz="0" w:space="0" w:color="auto"/>
        <w:left w:val="none" w:sz="0" w:space="0" w:color="auto"/>
        <w:bottom w:val="none" w:sz="0" w:space="0" w:color="auto"/>
        <w:right w:val="none" w:sz="0" w:space="0" w:color="auto"/>
      </w:divBdr>
    </w:div>
    <w:div w:id="530143150">
      <w:bodyDiv w:val="1"/>
      <w:marLeft w:val="0"/>
      <w:marRight w:val="0"/>
      <w:marTop w:val="0"/>
      <w:marBottom w:val="0"/>
      <w:divBdr>
        <w:top w:val="none" w:sz="0" w:space="0" w:color="auto"/>
        <w:left w:val="none" w:sz="0" w:space="0" w:color="auto"/>
        <w:bottom w:val="none" w:sz="0" w:space="0" w:color="auto"/>
        <w:right w:val="none" w:sz="0" w:space="0" w:color="auto"/>
      </w:divBdr>
    </w:div>
    <w:div w:id="531922646">
      <w:bodyDiv w:val="1"/>
      <w:marLeft w:val="0"/>
      <w:marRight w:val="0"/>
      <w:marTop w:val="0"/>
      <w:marBottom w:val="0"/>
      <w:divBdr>
        <w:top w:val="none" w:sz="0" w:space="0" w:color="auto"/>
        <w:left w:val="none" w:sz="0" w:space="0" w:color="auto"/>
        <w:bottom w:val="none" w:sz="0" w:space="0" w:color="auto"/>
        <w:right w:val="none" w:sz="0" w:space="0" w:color="auto"/>
      </w:divBdr>
    </w:div>
    <w:div w:id="538519784">
      <w:bodyDiv w:val="1"/>
      <w:marLeft w:val="0"/>
      <w:marRight w:val="0"/>
      <w:marTop w:val="0"/>
      <w:marBottom w:val="0"/>
      <w:divBdr>
        <w:top w:val="none" w:sz="0" w:space="0" w:color="auto"/>
        <w:left w:val="none" w:sz="0" w:space="0" w:color="auto"/>
        <w:bottom w:val="none" w:sz="0" w:space="0" w:color="auto"/>
        <w:right w:val="none" w:sz="0" w:space="0" w:color="auto"/>
      </w:divBdr>
    </w:div>
    <w:div w:id="540095833">
      <w:bodyDiv w:val="1"/>
      <w:marLeft w:val="0"/>
      <w:marRight w:val="0"/>
      <w:marTop w:val="0"/>
      <w:marBottom w:val="0"/>
      <w:divBdr>
        <w:top w:val="none" w:sz="0" w:space="0" w:color="auto"/>
        <w:left w:val="none" w:sz="0" w:space="0" w:color="auto"/>
        <w:bottom w:val="none" w:sz="0" w:space="0" w:color="auto"/>
        <w:right w:val="none" w:sz="0" w:space="0" w:color="auto"/>
      </w:divBdr>
    </w:div>
    <w:div w:id="541868237">
      <w:bodyDiv w:val="1"/>
      <w:marLeft w:val="0"/>
      <w:marRight w:val="0"/>
      <w:marTop w:val="0"/>
      <w:marBottom w:val="0"/>
      <w:divBdr>
        <w:top w:val="none" w:sz="0" w:space="0" w:color="auto"/>
        <w:left w:val="none" w:sz="0" w:space="0" w:color="auto"/>
        <w:bottom w:val="none" w:sz="0" w:space="0" w:color="auto"/>
        <w:right w:val="none" w:sz="0" w:space="0" w:color="auto"/>
      </w:divBdr>
    </w:div>
    <w:div w:id="542055543">
      <w:bodyDiv w:val="1"/>
      <w:marLeft w:val="0"/>
      <w:marRight w:val="0"/>
      <w:marTop w:val="0"/>
      <w:marBottom w:val="0"/>
      <w:divBdr>
        <w:top w:val="none" w:sz="0" w:space="0" w:color="auto"/>
        <w:left w:val="none" w:sz="0" w:space="0" w:color="auto"/>
        <w:bottom w:val="none" w:sz="0" w:space="0" w:color="auto"/>
        <w:right w:val="none" w:sz="0" w:space="0" w:color="auto"/>
      </w:divBdr>
    </w:div>
    <w:div w:id="543325171">
      <w:bodyDiv w:val="1"/>
      <w:marLeft w:val="0"/>
      <w:marRight w:val="0"/>
      <w:marTop w:val="0"/>
      <w:marBottom w:val="0"/>
      <w:divBdr>
        <w:top w:val="none" w:sz="0" w:space="0" w:color="auto"/>
        <w:left w:val="none" w:sz="0" w:space="0" w:color="auto"/>
        <w:bottom w:val="none" w:sz="0" w:space="0" w:color="auto"/>
        <w:right w:val="none" w:sz="0" w:space="0" w:color="auto"/>
      </w:divBdr>
    </w:div>
    <w:div w:id="543711563">
      <w:bodyDiv w:val="1"/>
      <w:marLeft w:val="0"/>
      <w:marRight w:val="0"/>
      <w:marTop w:val="0"/>
      <w:marBottom w:val="0"/>
      <w:divBdr>
        <w:top w:val="none" w:sz="0" w:space="0" w:color="auto"/>
        <w:left w:val="none" w:sz="0" w:space="0" w:color="auto"/>
        <w:bottom w:val="none" w:sz="0" w:space="0" w:color="auto"/>
        <w:right w:val="none" w:sz="0" w:space="0" w:color="auto"/>
      </w:divBdr>
    </w:div>
    <w:div w:id="553078787">
      <w:bodyDiv w:val="1"/>
      <w:marLeft w:val="0"/>
      <w:marRight w:val="0"/>
      <w:marTop w:val="0"/>
      <w:marBottom w:val="0"/>
      <w:divBdr>
        <w:top w:val="none" w:sz="0" w:space="0" w:color="auto"/>
        <w:left w:val="none" w:sz="0" w:space="0" w:color="auto"/>
        <w:bottom w:val="none" w:sz="0" w:space="0" w:color="auto"/>
        <w:right w:val="none" w:sz="0" w:space="0" w:color="auto"/>
      </w:divBdr>
    </w:div>
    <w:div w:id="561327267">
      <w:bodyDiv w:val="1"/>
      <w:marLeft w:val="0"/>
      <w:marRight w:val="0"/>
      <w:marTop w:val="0"/>
      <w:marBottom w:val="0"/>
      <w:divBdr>
        <w:top w:val="none" w:sz="0" w:space="0" w:color="auto"/>
        <w:left w:val="none" w:sz="0" w:space="0" w:color="auto"/>
        <w:bottom w:val="none" w:sz="0" w:space="0" w:color="auto"/>
        <w:right w:val="none" w:sz="0" w:space="0" w:color="auto"/>
      </w:divBdr>
    </w:div>
    <w:div w:id="564414941">
      <w:bodyDiv w:val="1"/>
      <w:marLeft w:val="0"/>
      <w:marRight w:val="0"/>
      <w:marTop w:val="0"/>
      <w:marBottom w:val="0"/>
      <w:divBdr>
        <w:top w:val="none" w:sz="0" w:space="0" w:color="auto"/>
        <w:left w:val="none" w:sz="0" w:space="0" w:color="auto"/>
        <w:bottom w:val="none" w:sz="0" w:space="0" w:color="auto"/>
        <w:right w:val="none" w:sz="0" w:space="0" w:color="auto"/>
      </w:divBdr>
    </w:div>
    <w:div w:id="565650583">
      <w:bodyDiv w:val="1"/>
      <w:marLeft w:val="0"/>
      <w:marRight w:val="0"/>
      <w:marTop w:val="0"/>
      <w:marBottom w:val="0"/>
      <w:divBdr>
        <w:top w:val="none" w:sz="0" w:space="0" w:color="auto"/>
        <w:left w:val="none" w:sz="0" w:space="0" w:color="auto"/>
        <w:bottom w:val="none" w:sz="0" w:space="0" w:color="auto"/>
        <w:right w:val="none" w:sz="0" w:space="0" w:color="auto"/>
      </w:divBdr>
    </w:div>
    <w:div w:id="566231308">
      <w:bodyDiv w:val="1"/>
      <w:marLeft w:val="0"/>
      <w:marRight w:val="0"/>
      <w:marTop w:val="0"/>
      <w:marBottom w:val="0"/>
      <w:divBdr>
        <w:top w:val="none" w:sz="0" w:space="0" w:color="auto"/>
        <w:left w:val="none" w:sz="0" w:space="0" w:color="auto"/>
        <w:bottom w:val="none" w:sz="0" w:space="0" w:color="auto"/>
        <w:right w:val="none" w:sz="0" w:space="0" w:color="auto"/>
      </w:divBdr>
    </w:div>
    <w:div w:id="582376766">
      <w:bodyDiv w:val="1"/>
      <w:marLeft w:val="0"/>
      <w:marRight w:val="0"/>
      <w:marTop w:val="0"/>
      <w:marBottom w:val="0"/>
      <w:divBdr>
        <w:top w:val="none" w:sz="0" w:space="0" w:color="auto"/>
        <w:left w:val="none" w:sz="0" w:space="0" w:color="auto"/>
        <w:bottom w:val="none" w:sz="0" w:space="0" w:color="auto"/>
        <w:right w:val="none" w:sz="0" w:space="0" w:color="auto"/>
      </w:divBdr>
    </w:div>
    <w:div w:id="583340155">
      <w:bodyDiv w:val="1"/>
      <w:marLeft w:val="0"/>
      <w:marRight w:val="0"/>
      <w:marTop w:val="0"/>
      <w:marBottom w:val="0"/>
      <w:divBdr>
        <w:top w:val="none" w:sz="0" w:space="0" w:color="auto"/>
        <w:left w:val="none" w:sz="0" w:space="0" w:color="auto"/>
        <w:bottom w:val="none" w:sz="0" w:space="0" w:color="auto"/>
        <w:right w:val="none" w:sz="0" w:space="0" w:color="auto"/>
      </w:divBdr>
    </w:div>
    <w:div w:id="584456064">
      <w:bodyDiv w:val="1"/>
      <w:marLeft w:val="0"/>
      <w:marRight w:val="0"/>
      <w:marTop w:val="0"/>
      <w:marBottom w:val="0"/>
      <w:divBdr>
        <w:top w:val="none" w:sz="0" w:space="0" w:color="auto"/>
        <w:left w:val="none" w:sz="0" w:space="0" w:color="auto"/>
        <w:bottom w:val="none" w:sz="0" w:space="0" w:color="auto"/>
        <w:right w:val="none" w:sz="0" w:space="0" w:color="auto"/>
      </w:divBdr>
    </w:div>
    <w:div w:id="587037177">
      <w:bodyDiv w:val="1"/>
      <w:marLeft w:val="0"/>
      <w:marRight w:val="0"/>
      <w:marTop w:val="0"/>
      <w:marBottom w:val="0"/>
      <w:divBdr>
        <w:top w:val="none" w:sz="0" w:space="0" w:color="auto"/>
        <w:left w:val="none" w:sz="0" w:space="0" w:color="auto"/>
        <w:bottom w:val="none" w:sz="0" w:space="0" w:color="auto"/>
        <w:right w:val="none" w:sz="0" w:space="0" w:color="auto"/>
      </w:divBdr>
    </w:div>
    <w:div w:id="588851068">
      <w:bodyDiv w:val="1"/>
      <w:marLeft w:val="0"/>
      <w:marRight w:val="0"/>
      <w:marTop w:val="0"/>
      <w:marBottom w:val="0"/>
      <w:divBdr>
        <w:top w:val="none" w:sz="0" w:space="0" w:color="auto"/>
        <w:left w:val="none" w:sz="0" w:space="0" w:color="auto"/>
        <w:bottom w:val="none" w:sz="0" w:space="0" w:color="auto"/>
        <w:right w:val="none" w:sz="0" w:space="0" w:color="auto"/>
      </w:divBdr>
    </w:div>
    <w:div w:id="592860258">
      <w:bodyDiv w:val="1"/>
      <w:marLeft w:val="0"/>
      <w:marRight w:val="0"/>
      <w:marTop w:val="0"/>
      <w:marBottom w:val="0"/>
      <w:divBdr>
        <w:top w:val="none" w:sz="0" w:space="0" w:color="auto"/>
        <w:left w:val="none" w:sz="0" w:space="0" w:color="auto"/>
        <w:bottom w:val="none" w:sz="0" w:space="0" w:color="auto"/>
        <w:right w:val="none" w:sz="0" w:space="0" w:color="auto"/>
      </w:divBdr>
    </w:div>
    <w:div w:id="595331346">
      <w:bodyDiv w:val="1"/>
      <w:marLeft w:val="0"/>
      <w:marRight w:val="0"/>
      <w:marTop w:val="0"/>
      <w:marBottom w:val="0"/>
      <w:divBdr>
        <w:top w:val="none" w:sz="0" w:space="0" w:color="auto"/>
        <w:left w:val="none" w:sz="0" w:space="0" w:color="auto"/>
        <w:bottom w:val="none" w:sz="0" w:space="0" w:color="auto"/>
        <w:right w:val="none" w:sz="0" w:space="0" w:color="auto"/>
      </w:divBdr>
    </w:div>
    <w:div w:id="602689919">
      <w:bodyDiv w:val="1"/>
      <w:marLeft w:val="0"/>
      <w:marRight w:val="0"/>
      <w:marTop w:val="0"/>
      <w:marBottom w:val="0"/>
      <w:divBdr>
        <w:top w:val="none" w:sz="0" w:space="0" w:color="auto"/>
        <w:left w:val="none" w:sz="0" w:space="0" w:color="auto"/>
        <w:bottom w:val="none" w:sz="0" w:space="0" w:color="auto"/>
        <w:right w:val="none" w:sz="0" w:space="0" w:color="auto"/>
      </w:divBdr>
    </w:div>
    <w:div w:id="602958980">
      <w:bodyDiv w:val="1"/>
      <w:marLeft w:val="0"/>
      <w:marRight w:val="0"/>
      <w:marTop w:val="0"/>
      <w:marBottom w:val="0"/>
      <w:divBdr>
        <w:top w:val="none" w:sz="0" w:space="0" w:color="auto"/>
        <w:left w:val="none" w:sz="0" w:space="0" w:color="auto"/>
        <w:bottom w:val="none" w:sz="0" w:space="0" w:color="auto"/>
        <w:right w:val="none" w:sz="0" w:space="0" w:color="auto"/>
      </w:divBdr>
    </w:div>
    <w:div w:id="604927014">
      <w:bodyDiv w:val="1"/>
      <w:marLeft w:val="0"/>
      <w:marRight w:val="0"/>
      <w:marTop w:val="0"/>
      <w:marBottom w:val="0"/>
      <w:divBdr>
        <w:top w:val="none" w:sz="0" w:space="0" w:color="auto"/>
        <w:left w:val="none" w:sz="0" w:space="0" w:color="auto"/>
        <w:bottom w:val="none" w:sz="0" w:space="0" w:color="auto"/>
        <w:right w:val="none" w:sz="0" w:space="0" w:color="auto"/>
      </w:divBdr>
    </w:div>
    <w:div w:id="606502442">
      <w:bodyDiv w:val="1"/>
      <w:marLeft w:val="0"/>
      <w:marRight w:val="0"/>
      <w:marTop w:val="0"/>
      <w:marBottom w:val="0"/>
      <w:divBdr>
        <w:top w:val="none" w:sz="0" w:space="0" w:color="auto"/>
        <w:left w:val="none" w:sz="0" w:space="0" w:color="auto"/>
        <w:bottom w:val="none" w:sz="0" w:space="0" w:color="auto"/>
        <w:right w:val="none" w:sz="0" w:space="0" w:color="auto"/>
      </w:divBdr>
    </w:div>
    <w:div w:id="610430389">
      <w:bodyDiv w:val="1"/>
      <w:marLeft w:val="0"/>
      <w:marRight w:val="0"/>
      <w:marTop w:val="0"/>
      <w:marBottom w:val="0"/>
      <w:divBdr>
        <w:top w:val="none" w:sz="0" w:space="0" w:color="auto"/>
        <w:left w:val="none" w:sz="0" w:space="0" w:color="auto"/>
        <w:bottom w:val="none" w:sz="0" w:space="0" w:color="auto"/>
        <w:right w:val="none" w:sz="0" w:space="0" w:color="auto"/>
      </w:divBdr>
    </w:div>
    <w:div w:id="616523549">
      <w:bodyDiv w:val="1"/>
      <w:marLeft w:val="0"/>
      <w:marRight w:val="0"/>
      <w:marTop w:val="0"/>
      <w:marBottom w:val="0"/>
      <w:divBdr>
        <w:top w:val="none" w:sz="0" w:space="0" w:color="auto"/>
        <w:left w:val="none" w:sz="0" w:space="0" w:color="auto"/>
        <w:bottom w:val="none" w:sz="0" w:space="0" w:color="auto"/>
        <w:right w:val="none" w:sz="0" w:space="0" w:color="auto"/>
      </w:divBdr>
    </w:div>
    <w:div w:id="616790454">
      <w:bodyDiv w:val="1"/>
      <w:marLeft w:val="0"/>
      <w:marRight w:val="0"/>
      <w:marTop w:val="0"/>
      <w:marBottom w:val="0"/>
      <w:divBdr>
        <w:top w:val="none" w:sz="0" w:space="0" w:color="auto"/>
        <w:left w:val="none" w:sz="0" w:space="0" w:color="auto"/>
        <w:bottom w:val="none" w:sz="0" w:space="0" w:color="auto"/>
        <w:right w:val="none" w:sz="0" w:space="0" w:color="auto"/>
      </w:divBdr>
    </w:div>
    <w:div w:id="618535939">
      <w:bodyDiv w:val="1"/>
      <w:marLeft w:val="0"/>
      <w:marRight w:val="0"/>
      <w:marTop w:val="0"/>
      <w:marBottom w:val="0"/>
      <w:divBdr>
        <w:top w:val="none" w:sz="0" w:space="0" w:color="auto"/>
        <w:left w:val="none" w:sz="0" w:space="0" w:color="auto"/>
        <w:bottom w:val="none" w:sz="0" w:space="0" w:color="auto"/>
        <w:right w:val="none" w:sz="0" w:space="0" w:color="auto"/>
      </w:divBdr>
    </w:div>
    <w:div w:id="626205092">
      <w:bodyDiv w:val="1"/>
      <w:marLeft w:val="0"/>
      <w:marRight w:val="0"/>
      <w:marTop w:val="0"/>
      <w:marBottom w:val="0"/>
      <w:divBdr>
        <w:top w:val="none" w:sz="0" w:space="0" w:color="auto"/>
        <w:left w:val="none" w:sz="0" w:space="0" w:color="auto"/>
        <w:bottom w:val="none" w:sz="0" w:space="0" w:color="auto"/>
        <w:right w:val="none" w:sz="0" w:space="0" w:color="auto"/>
      </w:divBdr>
    </w:div>
    <w:div w:id="627467295">
      <w:bodyDiv w:val="1"/>
      <w:marLeft w:val="0"/>
      <w:marRight w:val="0"/>
      <w:marTop w:val="0"/>
      <w:marBottom w:val="0"/>
      <w:divBdr>
        <w:top w:val="none" w:sz="0" w:space="0" w:color="auto"/>
        <w:left w:val="none" w:sz="0" w:space="0" w:color="auto"/>
        <w:bottom w:val="none" w:sz="0" w:space="0" w:color="auto"/>
        <w:right w:val="none" w:sz="0" w:space="0" w:color="auto"/>
      </w:divBdr>
    </w:div>
    <w:div w:id="630480508">
      <w:bodyDiv w:val="1"/>
      <w:marLeft w:val="0"/>
      <w:marRight w:val="0"/>
      <w:marTop w:val="0"/>
      <w:marBottom w:val="0"/>
      <w:divBdr>
        <w:top w:val="none" w:sz="0" w:space="0" w:color="auto"/>
        <w:left w:val="none" w:sz="0" w:space="0" w:color="auto"/>
        <w:bottom w:val="none" w:sz="0" w:space="0" w:color="auto"/>
        <w:right w:val="none" w:sz="0" w:space="0" w:color="auto"/>
      </w:divBdr>
    </w:div>
    <w:div w:id="639461494">
      <w:bodyDiv w:val="1"/>
      <w:marLeft w:val="0"/>
      <w:marRight w:val="0"/>
      <w:marTop w:val="0"/>
      <w:marBottom w:val="0"/>
      <w:divBdr>
        <w:top w:val="none" w:sz="0" w:space="0" w:color="auto"/>
        <w:left w:val="none" w:sz="0" w:space="0" w:color="auto"/>
        <w:bottom w:val="none" w:sz="0" w:space="0" w:color="auto"/>
        <w:right w:val="none" w:sz="0" w:space="0" w:color="auto"/>
      </w:divBdr>
    </w:div>
    <w:div w:id="640963199">
      <w:bodyDiv w:val="1"/>
      <w:marLeft w:val="0"/>
      <w:marRight w:val="0"/>
      <w:marTop w:val="0"/>
      <w:marBottom w:val="0"/>
      <w:divBdr>
        <w:top w:val="none" w:sz="0" w:space="0" w:color="auto"/>
        <w:left w:val="none" w:sz="0" w:space="0" w:color="auto"/>
        <w:bottom w:val="none" w:sz="0" w:space="0" w:color="auto"/>
        <w:right w:val="none" w:sz="0" w:space="0" w:color="auto"/>
      </w:divBdr>
    </w:div>
    <w:div w:id="643658593">
      <w:bodyDiv w:val="1"/>
      <w:marLeft w:val="0"/>
      <w:marRight w:val="0"/>
      <w:marTop w:val="0"/>
      <w:marBottom w:val="0"/>
      <w:divBdr>
        <w:top w:val="none" w:sz="0" w:space="0" w:color="auto"/>
        <w:left w:val="none" w:sz="0" w:space="0" w:color="auto"/>
        <w:bottom w:val="none" w:sz="0" w:space="0" w:color="auto"/>
        <w:right w:val="none" w:sz="0" w:space="0" w:color="auto"/>
      </w:divBdr>
    </w:div>
    <w:div w:id="647783898">
      <w:bodyDiv w:val="1"/>
      <w:marLeft w:val="0"/>
      <w:marRight w:val="0"/>
      <w:marTop w:val="0"/>
      <w:marBottom w:val="0"/>
      <w:divBdr>
        <w:top w:val="none" w:sz="0" w:space="0" w:color="auto"/>
        <w:left w:val="none" w:sz="0" w:space="0" w:color="auto"/>
        <w:bottom w:val="none" w:sz="0" w:space="0" w:color="auto"/>
        <w:right w:val="none" w:sz="0" w:space="0" w:color="auto"/>
      </w:divBdr>
    </w:div>
    <w:div w:id="651102231">
      <w:bodyDiv w:val="1"/>
      <w:marLeft w:val="0"/>
      <w:marRight w:val="0"/>
      <w:marTop w:val="0"/>
      <w:marBottom w:val="0"/>
      <w:divBdr>
        <w:top w:val="none" w:sz="0" w:space="0" w:color="auto"/>
        <w:left w:val="none" w:sz="0" w:space="0" w:color="auto"/>
        <w:bottom w:val="none" w:sz="0" w:space="0" w:color="auto"/>
        <w:right w:val="none" w:sz="0" w:space="0" w:color="auto"/>
      </w:divBdr>
    </w:div>
    <w:div w:id="668219138">
      <w:bodyDiv w:val="1"/>
      <w:marLeft w:val="0"/>
      <w:marRight w:val="0"/>
      <w:marTop w:val="0"/>
      <w:marBottom w:val="0"/>
      <w:divBdr>
        <w:top w:val="none" w:sz="0" w:space="0" w:color="auto"/>
        <w:left w:val="none" w:sz="0" w:space="0" w:color="auto"/>
        <w:bottom w:val="none" w:sz="0" w:space="0" w:color="auto"/>
        <w:right w:val="none" w:sz="0" w:space="0" w:color="auto"/>
      </w:divBdr>
    </w:div>
    <w:div w:id="669987091">
      <w:bodyDiv w:val="1"/>
      <w:marLeft w:val="0"/>
      <w:marRight w:val="0"/>
      <w:marTop w:val="0"/>
      <w:marBottom w:val="0"/>
      <w:divBdr>
        <w:top w:val="none" w:sz="0" w:space="0" w:color="auto"/>
        <w:left w:val="none" w:sz="0" w:space="0" w:color="auto"/>
        <w:bottom w:val="none" w:sz="0" w:space="0" w:color="auto"/>
        <w:right w:val="none" w:sz="0" w:space="0" w:color="auto"/>
      </w:divBdr>
    </w:div>
    <w:div w:id="675577049">
      <w:bodyDiv w:val="1"/>
      <w:marLeft w:val="0"/>
      <w:marRight w:val="0"/>
      <w:marTop w:val="0"/>
      <w:marBottom w:val="0"/>
      <w:divBdr>
        <w:top w:val="none" w:sz="0" w:space="0" w:color="auto"/>
        <w:left w:val="none" w:sz="0" w:space="0" w:color="auto"/>
        <w:bottom w:val="none" w:sz="0" w:space="0" w:color="auto"/>
        <w:right w:val="none" w:sz="0" w:space="0" w:color="auto"/>
      </w:divBdr>
    </w:div>
    <w:div w:id="675769045">
      <w:bodyDiv w:val="1"/>
      <w:marLeft w:val="0"/>
      <w:marRight w:val="0"/>
      <w:marTop w:val="0"/>
      <w:marBottom w:val="0"/>
      <w:divBdr>
        <w:top w:val="none" w:sz="0" w:space="0" w:color="auto"/>
        <w:left w:val="none" w:sz="0" w:space="0" w:color="auto"/>
        <w:bottom w:val="none" w:sz="0" w:space="0" w:color="auto"/>
        <w:right w:val="none" w:sz="0" w:space="0" w:color="auto"/>
      </w:divBdr>
    </w:div>
    <w:div w:id="679936253">
      <w:bodyDiv w:val="1"/>
      <w:marLeft w:val="0"/>
      <w:marRight w:val="0"/>
      <w:marTop w:val="0"/>
      <w:marBottom w:val="0"/>
      <w:divBdr>
        <w:top w:val="none" w:sz="0" w:space="0" w:color="auto"/>
        <w:left w:val="none" w:sz="0" w:space="0" w:color="auto"/>
        <w:bottom w:val="none" w:sz="0" w:space="0" w:color="auto"/>
        <w:right w:val="none" w:sz="0" w:space="0" w:color="auto"/>
      </w:divBdr>
    </w:div>
    <w:div w:id="680856571">
      <w:bodyDiv w:val="1"/>
      <w:marLeft w:val="0"/>
      <w:marRight w:val="0"/>
      <w:marTop w:val="0"/>
      <w:marBottom w:val="0"/>
      <w:divBdr>
        <w:top w:val="none" w:sz="0" w:space="0" w:color="auto"/>
        <w:left w:val="none" w:sz="0" w:space="0" w:color="auto"/>
        <w:bottom w:val="none" w:sz="0" w:space="0" w:color="auto"/>
        <w:right w:val="none" w:sz="0" w:space="0" w:color="auto"/>
      </w:divBdr>
    </w:div>
    <w:div w:id="682627564">
      <w:bodyDiv w:val="1"/>
      <w:marLeft w:val="0"/>
      <w:marRight w:val="0"/>
      <w:marTop w:val="0"/>
      <w:marBottom w:val="0"/>
      <w:divBdr>
        <w:top w:val="none" w:sz="0" w:space="0" w:color="auto"/>
        <w:left w:val="none" w:sz="0" w:space="0" w:color="auto"/>
        <w:bottom w:val="none" w:sz="0" w:space="0" w:color="auto"/>
        <w:right w:val="none" w:sz="0" w:space="0" w:color="auto"/>
      </w:divBdr>
    </w:div>
    <w:div w:id="683283030">
      <w:bodyDiv w:val="1"/>
      <w:marLeft w:val="0"/>
      <w:marRight w:val="0"/>
      <w:marTop w:val="0"/>
      <w:marBottom w:val="0"/>
      <w:divBdr>
        <w:top w:val="none" w:sz="0" w:space="0" w:color="auto"/>
        <w:left w:val="none" w:sz="0" w:space="0" w:color="auto"/>
        <w:bottom w:val="none" w:sz="0" w:space="0" w:color="auto"/>
        <w:right w:val="none" w:sz="0" w:space="0" w:color="auto"/>
      </w:divBdr>
    </w:div>
    <w:div w:id="685405024">
      <w:bodyDiv w:val="1"/>
      <w:marLeft w:val="0"/>
      <w:marRight w:val="0"/>
      <w:marTop w:val="0"/>
      <w:marBottom w:val="0"/>
      <w:divBdr>
        <w:top w:val="none" w:sz="0" w:space="0" w:color="auto"/>
        <w:left w:val="none" w:sz="0" w:space="0" w:color="auto"/>
        <w:bottom w:val="none" w:sz="0" w:space="0" w:color="auto"/>
        <w:right w:val="none" w:sz="0" w:space="0" w:color="auto"/>
      </w:divBdr>
    </w:div>
    <w:div w:id="687374182">
      <w:bodyDiv w:val="1"/>
      <w:marLeft w:val="0"/>
      <w:marRight w:val="0"/>
      <w:marTop w:val="0"/>
      <w:marBottom w:val="0"/>
      <w:divBdr>
        <w:top w:val="none" w:sz="0" w:space="0" w:color="auto"/>
        <w:left w:val="none" w:sz="0" w:space="0" w:color="auto"/>
        <w:bottom w:val="none" w:sz="0" w:space="0" w:color="auto"/>
        <w:right w:val="none" w:sz="0" w:space="0" w:color="auto"/>
      </w:divBdr>
    </w:div>
    <w:div w:id="687634281">
      <w:bodyDiv w:val="1"/>
      <w:marLeft w:val="0"/>
      <w:marRight w:val="0"/>
      <w:marTop w:val="0"/>
      <w:marBottom w:val="0"/>
      <w:divBdr>
        <w:top w:val="none" w:sz="0" w:space="0" w:color="auto"/>
        <w:left w:val="none" w:sz="0" w:space="0" w:color="auto"/>
        <w:bottom w:val="none" w:sz="0" w:space="0" w:color="auto"/>
        <w:right w:val="none" w:sz="0" w:space="0" w:color="auto"/>
      </w:divBdr>
    </w:div>
    <w:div w:id="692998852">
      <w:bodyDiv w:val="1"/>
      <w:marLeft w:val="0"/>
      <w:marRight w:val="0"/>
      <w:marTop w:val="0"/>
      <w:marBottom w:val="0"/>
      <w:divBdr>
        <w:top w:val="none" w:sz="0" w:space="0" w:color="auto"/>
        <w:left w:val="none" w:sz="0" w:space="0" w:color="auto"/>
        <w:bottom w:val="none" w:sz="0" w:space="0" w:color="auto"/>
        <w:right w:val="none" w:sz="0" w:space="0" w:color="auto"/>
      </w:divBdr>
    </w:div>
    <w:div w:id="693920129">
      <w:bodyDiv w:val="1"/>
      <w:marLeft w:val="0"/>
      <w:marRight w:val="0"/>
      <w:marTop w:val="0"/>
      <w:marBottom w:val="0"/>
      <w:divBdr>
        <w:top w:val="none" w:sz="0" w:space="0" w:color="auto"/>
        <w:left w:val="none" w:sz="0" w:space="0" w:color="auto"/>
        <w:bottom w:val="none" w:sz="0" w:space="0" w:color="auto"/>
        <w:right w:val="none" w:sz="0" w:space="0" w:color="auto"/>
      </w:divBdr>
    </w:div>
    <w:div w:id="695081874">
      <w:bodyDiv w:val="1"/>
      <w:marLeft w:val="0"/>
      <w:marRight w:val="0"/>
      <w:marTop w:val="0"/>
      <w:marBottom w:val="0"/>
      <w:divBdr>
        <w:top w:val="none" w:sz="0" w:space="0" w:color="auto"/>
        <w:left w:val="none" w:sz="0" w:space="0" w:color="auto"/>
        <w:bottom w:val="none" w:sz="0" w:space="0" w:color="auto"/>
        <w:right w:val="none" w:sz="0" w:space="0" w:color="auto"/>
      </w:divBdr>
    </w:div>
    <w:div w:id="695353877">
      <w:bodyDiv w:val="1"/>
      <w:marLeft w:val="0"/>
      <w:marRight w:val="0"/>
      <w:marTop w:val="0"/>
      <w:marBottom w:val="0"/>
      <w:divBdr>
        <w:top w:val="none" w:sz="0" w:space="0" w:color="auto"/>
        <w:left w:val="none" w:sz="0" w:space="0" w:color="auto"/>
        <w:bottom w:val="none" w:sz="0" w:space="0" w:color="auto"/>
        <w:right w:val="none" w:sz="0" w:space="0" w:color="auto"/>
      </w:divBdr>
    </w:div>
    <w:div w:id="697776705">
      <w:bodyDiv w:val="1"/>
      <w:marLeft w:val="0"/>
      <w:marRight w:val="0"/>
      <w:marTop w:val="0"/>
      <w:marBottom w:val="0"/>
      <w:divBdr>
        <w:top w:val="none" w:sz="0" w:space="0" w:color="auto"/>
        <w:left w:val="none" w:sz="0" w:space="0" w:color="auto"/>
        <w:bottom w:val="none" w:sz="0" w:space="0" w:color="auto"/>
        <w:right w:val="none" w:sz="0" w:space="0" w:color="auto"/>
      </w:divBdr>
    </w:div>
    <w:div w:id="706295962">
      <w:bodyDiv w:val="1"/>
      <w:marLeft w:val="0"/>
      <w:marRight w:val="0"/>
      <w:marTop w:val="0"/>
      <w:marBottom w:val="0"/>
      <w:divBdr>
        <w:top w:val="none" w:sz="0" w:space="0" w:color="auto"/>
        <w:left w:val="none" w:sz="0" w:space="0" w:color="auto"/>
        <w:bottom w:val="none" w:sz="0" w:space="0" w:color="auto"/>
        <w:right w:val="none" w:sz="0" w:space="0" w:color="auto"/>
      </w:divBdr>
    </w:div>
    <w:div w:id="720592884">
      <w:bodyDiv w:val="1"/>
      <w:marLeft w:val="0"/>
      <w:marRight w:val="0"/>
      <w:marTop w:val="0"/>
      <w:marBottom w:val="0"/>
      <w:divBdr>
        <w:top w:val="none" w:sz="0" w:space="0" w:color="auto"/>
        <w:left w:val="none" w:sz="0" w:space="0" w:color="auto"/>
        <w:bottom w:val="none" w:sz="0" w:space="0" w:color="auto"/>
        <w:right w:val="none" w:sz="0" w:space="0" w:color="auto"/>
      </w:divBdr>
    </w:div>
    <w:div w:id="723062748">
      <w:bodyDiv w:val="1"/>
      <w:marLeft w:val="0"/>
      <w:marRight w:val="0"/>
      <w:marTop w:val="0"/>
      <w:marBottom w:val="0"/>
      <w:divBdr>
        <w:top w:val="none" w:sz="0" w:space="0" w:color="auto"/>
        <w:left w:val="none" w:sz="0" w:space="0" w:color="auto"/>
        <w:bottom w:val="none" w:sz="0" w:space="0" w:color="auto"/>
        <w:right w:val="none" w:sz="0" w:space="0" w:color="auto"/>
      </w:divBdr>
    </w:div>
    <w:div w:id="723871770">
      <w:bodyDiv w:val="1"/>
      <w:marLeft w:val="0"/>
      <w:marRight w:val="0"/>
      <w:marTop w:val="0"/>
      <w:marBottom w:val="0"/>
      <w:divBdr>
        <w:top w:val="none" w:sz="0" w:space="0" w:color="auto"/>
        <w:left w:val="none" w:sz="0" w:space="0" w:color="auto"/>
        <w:bottom w:val="none" w:sz="0" w:space="0" w:color="auto"/>
        <w:right w:val="none" w:sz="0" w:space="0" w:color="auto"/>
      </w:divBdr>
    </w:div>
    <w:div w:id="724835567">
      <w:bodyDiv w:val="1"/>
      <w:marLeft w:val="0"/>
      <w:marRight w:val="0"/>
      <w:marTop w:val="0"/>
      <w:marBottom w:val="0"/>
      <w:divBdr>
        <w:top w:val="none" w:sz="0" w:space="0" w:color="auto"/>
        <w:left w:val="none" w:sz="0" w:space="0" w:color="auto"/>
        <w:bottom w:val="none" w:sz="0" w:space="0" w:color="auto"/>
        <w:right w:val="none" w:sz="0" w:space="0" w:color="auto"/>
      </w:divBdr>
    </w:div>
    <w:div w:id="732898150">
      <w:bodyDiv w:val="1"/>
      <w:marLeft w:val="0"/>
      <w:marRight w:val="0"/>
      <w:marTop w:val="0"/>
      <w:marBottom w:val="0"/>
      <w:divBdr>
        <w:top w:val="none" w:sz="0" w:space="0" w:color="auto"/>
        <w:left w:val="none" w:sz="0" w:space="0" w:color="auto"/>
        <w:bottom w:val="none" w:sz="0" w:space="0" w:color="auto"/>
        <w:right w:val="none" w:sz="0" w:space="0" w:color="auto"/>
      </w:divBdr>
    </w:div>
    <w:div w:id="733505639">
      <w:bodyDiv w:val="1"/>
      <w:marLeft w:val="0"/>
      <w:marRight w:val="0"/>
      <w:marTop w:val="0"/>
      <w:marBottom w:val="0"/>
      <w:divBdr>
        <w:top w:val="none" w:sz="0" w:space="0" w:color="auto"/>
        <w:left w:val="none" w:sz="0" w:space="0" w:color="auto"/>
        <w:bottom w:val="none" w:sz="0" w:space="0" w:color="auto"/>
        <w:right w:val="none" w:sz="0" w:space="0" w:color="auto"/>
      </w:divBdr>
    </w:div>
    <w:div w:id="734276368">
      <w:bodyDiv w:val="1"/>
      <w:marLeft w:val="0"/>
      <w:marRight w:val="0"/>
      <w:marTop w:val="0"/>
      <w:marBottom w:val="0"/>
      <w:divBdr>
        <w:top w:val="none" w:sz="0" w:space="0" w:color="auto"/>
        <w:left w:val="none" w:sz="0" w:space="0" w:color="auto"/>
        <w:bottom w:val="none" w:sz="0" w:space="0" w:color="auto"/>
        <w:right w:val="none" w:sz="0" w:space="0" w:color="auto"/>
      </w:divBdr>
    </w:div>
    <w:div w:id="735083086">
      <w:bodyDiv w:val="1"/>
      <w:marLeft w:val="0"/>
      <w:marRight w:val="0"/>
      <w:marTop w:val="0"/>
      <w:marBottom w:val="0"/>
      <w:divBdr>
        <w:top w:val="none" w:sz="0" w:space="0" w:color="auto"/>
        <w:left w:val="none" w:sz="0" w:space="0" w:color="auto"/>
        <w:bottom w:val="none" w:sz="0" w:space="0" w:color="auto"/>
        <w:right w:val="none" w:sz="0" w:space="0" w:color="auto"/>
      </w:divBdr>
    </w:div>
    <w:div w:id="735126066">
      <w:bodyDiv w:val="1"/>
      <w:marLeft w:val="0"/>
      <w:marRight w:val="0"/>
      <w:marTop w:val="0"/>
      <w:marBottom w:val="0"/>
      <w:divBdr>
        <w:top w:val="none" w:sz="0" w:space="0" w:color="auto"/>
        <w:left w:val="none" w:sz="0" w:space="0" w:color="auto"/>
        <w:bottom w:val="none" w:sz="0" w:space="0" w:color="auto"/>
        <w:right w:val="none" w:sz="0" w:space="0" w:color="auto"/>
      </w:divBdr>
    </w:div>
    <w:div w:id="740979049">
      <w:bodyDiv w:val="1"/>
      <w:marLeft w:val="0"/>
      <w:marRight w:val="0"/>
      <w:marTop w:val="0"/>
      <w:marBottom w:val="0"/>
      <w:divBdr>
        <w:top w:val="none" w:sz="0" w:space="0" w:color="auto"/>
        <w:left w:val="none" w:sz="0" w:space="0" w:color="auto"/>
        <w:bottom w:val="none" w:sz="0" w:space="0" w:color="auto"/>
        <w:right w:val="none" w:sz="0" w:space="0" w:color="auto"/>
      </w:divBdr>
    </w:div>
    <w:div w:id="741291440">
      <w:bodyDiv w:val="1"/>
      <w:marLeft w:val="0"/>
      <w:marRight w:val="0"/>
      <w:marTop w:val="0"/>
      <w:marBottom w:val="0"/>
      <w:divBdr>
        <w:top w:val="none" w:sz="0" w:space="0" w:color="auto"/>
        <w:left w:val="none" w:sz="0" w:space="0" w:color="auto"/>
        <w:bottom w:val="none" w:sz="0" w:space="0" w:color="auto"/>
        <w:right w:val="none" w:sz="0" w:space="0" w:color="auto"/>
      </w:divBdr>
    </w:div>
    <w:div w:id="743139207">
      <w:bodyDiv w:val="1"/>
      <w:marLeft w:val="0"/>
      <w:marRight w:val="0"/>
      <w:marTop w:val="0"/>
      <w:marBottom w:val="0"/>
      <w:divBdr>
        <w:top w:val="none" w:sz="0" w:space="0" w:color="auto"/>
        <w:left w:val="none" w:sz="0" w:space="0" w:color="auto"/>
        <w:bottom w:val="none" w:sz="0" w:space="0" w:color="auto"/>
        <w:right w:val="none" w:sz="0" w:space="0" w:color="auto"/>
      </w:divBdr>
    </w:div>
    <w:div w:id="743456003">
      <w:bodyDiv w:val="1"/>
      <w:marLeft w:val="0"/>
      <w:marRight w:val="0"/>
      <w:marTop w:val="0"/>
      <w:marBottom w:val="0"/>
      <w:divBdr>
        <w:top w:val="none" w:sz="0" w:space="0" w:color="auto"/>
        <w:left w:val="none" w:sz="0" w:space="0" w:color="auto"/>
        <w:bottom w:val="none" w:sz="0" w:space="0" w:color="auto"/>
        <w:right w:val="none" w:sz="0" w:space="0" w:color="auto"/>
      </w:divBdr>
    </w:div>
    <w:div w:id="745804127">
      <w:bodyDiv w:val="1"/>
      <w:marLeft w:val="0"/>
      <w:marRight w:val="0"/>
      <w:marTop w:val="0"/>
      <w:marBottom w:val="0"/>
      <w:divBdr>
        <w:top w:val="none" w:sz="0" w:space="0" w:color="auto"/>
        <w:left w:val="none" w:sz="0" w:space="0" w:color="auto"/>
        <w:bottom w:val="none" w:sz="0" w:space="0" w:color="auto"/>
        <w:right w:val="none" w:sz="0" w:space="0" w:color="auto"/>
      </w:divBdr>
    </w:div>
    <w:div w:id="747338575">
      <w:bodyDiv w:val="1"/>
      <w:marLeft w:val="0"/>
      <w:marRight w:val="0"/>
      <w:marTop w:val="0"/>
      <w:marBottom w:val="0"/>
      <w:divBdr>
        <w:top w:val="none" w:sz="0" w:space="0" w:color="auto"/>
        <w:left w:val="none" w:sz="0" w:space="0" w:color="auto"/>
        <w:bottom w:val="none" w:sz="0" w:space="0" w:color="auto"/>
        <w:right w:val="none" w:sz="0" w:space="0" w:color="auto"/>
      </w:divBdr>
    </w:div>
    <w:div w:id="755906087">
      <w:bodyDiv w:val="1"/>
      <w:marLeft w:val="0"/>
      <w:marRight w:val="0"/>
      <w:marTop w:val="0"/>
      <w:marBottom w:val="0"/>
      <w:divBdr>
        <w:top w:val="none" w:sz="0" w:space="0" w:color="auto"/>
        <w:left w:val="none" w:sz="0" w:space="0" w:color="auto"/>
        <w:bottom w:val="none" w:sz="0" w:space="0" w:color="auto"/>
        <w:right w:val="none" w:sz="0" w:space="0" w:color="auto"/>
      </w:divBdr>
    </w:div>
    <w:div w:id="761293734">
      <w:bodyDiv w:val="1"/>
      <w:marLeft w:val="0"/>
      <w:marRight w:val="0"/>
      <w:marTop w:val="0"/>
      <w:marBottom w:val="0"/>
      <w:divBdr>
        <w:top w:val="none" w:sz="0" w:space="0" w:color="auto"/>
        <w:left w:val="none" w:sz="0" w:space="0" w:color="auto"/>
        <w:bottom w:val="none" w:sz="0" w:space="0" w:color="auto"/>
        <w:right w:val="none" w:sz="0" w:space="0" w:color="auto"/>
      </w:divBdr>
    </w:div>
    <w:div w:id="780146111">
      <w:bodyDiv w:val="1"/>
      <w:marLeft w:val="0"/>
      <w:marRight w:val="0"/>
      <w:marTop w:val="0"/>
      <w:marBottom w:val="0"/>
      <w:divBdr>
        <w:top w:val="none" w:sz="0" w:space="0" w:color="auto"/>
        <w:left w:val="none" w:sz="0" w:space="0" w:color="auto"/>
        <w:bottom w:val="none" w:sz="0" w:space="0" w:color="auto"/>
        <w:right w:val="none" w:sz="0" w:space="0" w:color="auto"/>
      </w:divBdr>
    </w:div>
    <w:div w:id="780422219">
      <w:bodyDiv w:val="1"/>
      <w:marLeft w:val="0"/>
      <w:marRight w:val="0"/>
      <w:marTop w:val="0"/>
      <w:marBottom w:val="0"/>
      <w:divBdr>
        <w:top w:val="none" w:sz="0" w:space="0" w:color="auto"/>
        <w:left w:val="none" w:sz="0" w:space="0" w:color="auto"/>
        <w:bottom w:val="none" w:sz="0" w:space="0" w:color="auto"/>
        <w:right w:val="none" w:sz="0" w:space="0" w:color="auto"/>
      </w:divBdr>
    </w:div>
    <w:div w:id="780566028">
      <w:bodyDiv w:val="1"/>
      <w:marLeft w:val="0"/>
      <w:marRight w:val="0"/>
      <w:marTop w:val="0"/>
      <w:marBottom w:val="0"/>
      <w:divBdr>
        <w:top w:val="none" w:sz="0" w:space="0" w:color="auto"/>
        <w:left w:val="none" w:sz="0" w:space="0" w:color="auto"/>
        <w:bottom w:val="none" w:sz="0" w:space="0" w:color="auto"/>
        <w:right w:val="none" w:sz="0" w:space="0" w:color="auto"/>
      </w:divBdr>
    </w:div>
    <w:div w:id="780993914">
      <w:bodyDiv w:val="1"/>
      <w:marLeft w:val="0"/>
      <w:marRight w:val="0"/>
      <w:marTop w:val="0"/>
      <w:marBottom w:val="0"/>
      <w:divBdr>
        <w:top w:val="none" w:sz="0" w:space="0" w:color="auto"/>
        <w:left w:val="none" w:sz="0" w:space="0" w:color="auto"/>
        <w:bottom w:val="none" w:sz="0" w:space="0" w:color="auto"/>
        <w:right w:val="none" w:sz="0" w:space="0" w:color="auto"/>
      </w:divBdr>
    </w:div>
    <w:div w:id="784467304">
      <w:bodyDiv w:val="1"/>
      <w:marLeft w:val="0"/>
      <w:marRight w:val="0"/>
      <w:marTop w:val="0"/>
      <w:marBottom w:val="0"/>
      <w:divBdr>
        <w:top w:val="none" w:sz="0" w:space="0" w:color="auto"/>
        <w:left w:val="none" w:sz="0" w:space="0" w:color="auto"/>
        <w:bottom w:val="none" w:sz="0" w:space="0" w:color="auto"/>
        <w:right w:val="none" w:sz="0" w:space="0" w:color="auto"/>
      </w:divBdr>
    </w:div>
    <w:div w:id="784495885">
      <w:bodyDiv w:val="1"/>
      <w:marLeft w:val="0"/>
      <w:marRight w:val="0"/>
      <w:marTop w:val="0"/>
      <w:marBottom w:val="0"/>
      <w:divBdr>
        <w:top w:val="none" w:sz="0" w:space="0" w:color="auto"/>
        <w:left w:val="none" w:sz="0" w:space="0" w:color="auto"/>
        <w:bottom w:val="none" w:sz="0" w:space="0" w:color="auto"/>
        <w:right w:val="none" w:sz="0" w:space="0" w:color="auto"/>
      </w:divBdr>
    </w:div>
    <w:div w:id="785539086">
      <w:bodyDiv w:val="1"/>
      <w:marLeft w:val="0"/>
      <w:marRight w:val="0"/>
      <w:marTop w:val="0"/>
      <w:marBottom w:val="0"/>
      <w:divBdr>
        <w:top w:val="none" w:sz="0" w:space="0" w:color="auto"/>
        <w:left w:val="none" w:sz="0" w:space="0" w:color="auto"/>
        <w:bottom w:val="none" w:sz="0" w:space="0" w:color="auto"/>
        <w:right w:val="none" w:sz="0" w:space="0" w:color="auto"/>
      </w:divBdr>
    </w:div>
    <w:div w:id="787162515">
      <w:bodyDiv w:val="1"/>
      <w:marLeft w:val="0"/>
      <w:marRight w:val="0"/>
      <w:marTop w:val="0"/>
      <w:marBottom w:val="0"/>
      <w:divBdr>
        <w:top w:val="none" w:sz="0" w:space="0" w:color="auto"/>
        <w:left w:val="none" w:sz="0" w:space="0" w:color="auto"/>
        <w:bottom w:val="none" w:sz="0" w:space="0" w:color="auto"/>
        <w:right w:val="none" w:sz="0" w:space="0" w:color="auto"/>
      </w:divBdr>
    </w:div>
    <w:div w:id="793862243">
      <w:bodyDiv w:val="1"/>
      <w:marLeft w:val="0"/>
      <w:marRight w:val="0"/>
      <w:marTop w:val="0"/>
      <w:marBottom w:val="0"/>
      <w:divBdr>
        <w:top w:val="none" w:sz="0" w:space="0" w:color="auto"/>
        <w:left w:val="none" w:sz="0" w:space="0" w:color="auto"/>
        <w:bottom w:val="none" w:sz="0" w:space="0" w:color="auto"/>
        <w:right w:val="none" w:sz="0" w:space="0" w:color="auto"/>
      </w:divBdr>
    </w:div>
    <w:div w:id="797070212">
      <w:bodyDiv w:val="1"/>
      <w:marLeft w:val="0"/>
      <w:marRight w:val="0"/>
      <w:marTop w:val="0"/>
      <w:marBottom w:val="0"/>
      <w:divBdr>
        <w:top w:val="none" w:sz="0" w:space="0" w:color="auto"/>
        <w:left w:val="none" w:sz="0" w:space="0" w:color="auto"/>
        <w:bottom w:val="none" w:sz="0" w:space="0" w:color="auto"/>
        <w:right w:val="none" w:sz="0" w:space="0" w:color="auto"/>
      </w:divBdr>
    </w:div>
    <w:div w:id="797450297">
      <w:bodyDiv w:val="1"/>
      <w:marLeft w:val="0"/>
      <w:marRight w:val="0"/>
      <w:marTop w:val="0"/>
      <w:marBottom w:val="0"/>
      <w:divBdr>
        <w:top w:val="none" w:sz="0" w:space="0" w:color="auto"/>
        <w:left w:val="none" w:sz="0" w:space="0" w:color="auto"/>
        <w:bottom w:val="none" w:sz="0" w:space="0" w:color="auto"/>
        <w:right w:val="none" w:sz="0" w:space="0" w:color="auto"/>
      </w:divBdr>
    </w:div>
    <w:div w:id="798182142">
      <w:bodyDiv w:val="1"/>
      <w:marLeft w:val="0"/>
      <w:marRight w:val="0"/>
      <w:marTop w:val="0"/>
      <w:marBottom w:val="0"/>
      <w:divBdr>
        <w:top w:val="none" w:sz="0" w:space="0" w:color="auto"/>
        <w:left w:val="none" w:sz="0" w:space="0" w:color="auto"/>
        <w:bottom w:val="none" w:sz="0" w:space="0" w:color="auto"/>
        <w:right w:val="none" w:sz="0" w:space="0" w:color="auto"/>
      </w:divBdr>
    </w:div>
    <w:div w:id="800419228">
      <w:bodyDiv w:val="1"/>
      <w:marLeft w:val="0"/>
      <w:marRight w:val="0"/>
      <w:marTop w:val="0"/>
      <w:marBottom w:val="0"/>
      <w:divBdr>
        <w:top w:val="none" w:sz="0" w:space="0" w:color="auto"/>
        <w:left w:val="none" w:sz="0" w:space="0" w:color="auto"/>
        <w:bottom w:val="none" w:sz="0" w:space="0" w:color="auto"/>
        <w:right w:val="none" w:sz="0" w:space="0" w:color="auto"/>
      </w:divBdr>
    </w:div>
    <w:div w:id="806050085">
      <w:bodyDiv w:val="1"/>
      <w:marLeft w:val="0"/>
      <w:marRight w:val="0"/>
      <w:marTop w:val="0"/>
      <w:marBottom w:val="0"/>
      <w:divBdr>
        <w:top w:val="none" w:sz="0" w:space="0" w:color="auto"/>
        <w:left w:val="none" w:sz="0" w:space="0" w:color="auto"/>
        <w:bottom w:val="none" w:sz="0" w:space="0" w:color="auto"/>
        <w:right w:val="none" w:sz="0" w:space="0" w:color="auto"/>
      </w:divBdr>
    </w:div>
    <w:div w:id="806433498">
      <w:bodyDiv w:val="1"/>
      <w:marLeft w:val="0"/>
      <w:marRight w:val="0"/>
      <w:marTop w:val="0"/>
      <w:marBottom w:val="0"/>
      <w:divBdr>
        <w:top w:val="none" w:sz="0" w:space="0" w:color="auto"/>
        <w:left w:val="none" w:sz="0" w:space="0" w:color="auto"/>
        <w:bottom w:val="none" w:sz="0" w:space="0" w:color="auto"/>
        <w:right w:val="none" w:sz="0" w:space="0" w:color="auto"/>
      </w:divBdr>
    </w:div>
    <w:div w:id="812672838">
      <w:bodyDiv w:val="1"/>
      <w:marLeft w:val="0"/>
      <w:marRight w:val="0"/>
      <w:marTop w:val="0"/>
      <w:marBottom w:val="0"/>
      <w:divBdr>
        <w:top w:val="none" w:sz="0" w:space="0" w:color="auto"/>
        <w:left w:val="none" w:sz="0" w:space="0" w:color="auto"/>
        <w:bottom w:val="none" w:sz="0" w:space="0" w:color="auto"/>
        <w:right w:val="none" w:sz="0" w:space="0" w:color="auto"/>
      </w:divBdr>
    </w:div>
    <w:div w:id="827480429">
      <w:bodyDiv w:val="1"/>
      <w:marLeft w:val="0"/>
      <w:marRight w:val="0"/>
      <w:marTop w:val="0"/>
      <w:marBottom w:val="0"/>
      <w:divBdr>
        <w:top w:val="none" w:sz="0" w:space="0" w:color="auto"/>
        <w:left w:val="none" w:sz="0" w:space="0" w:color="auto"/>
        <w:bottom w:val="none" w:sz="0" w:space="0" w:color="auto"/>
        <w:right w:val="none" w:sz="0" w:space="0" w:color="auto"/>
      </w:divBdr>
    </w:div>
    <w:div w:id="831094443">
      <w:bodyDiv w:val="1"/>
      <w:marLeft w:val="0"/>
      <w:marRight w:val="0"/>
      <w:marTop w:val="0"/>
      <w:marBottom w:val="0"/>
      <w:divBdr>
        <w:top w:val="none" w:sz="0" w:space="0" w:color="auto"/>
        <w:left w:val="none" w:sz="0" w:space="0" w:color="auto"/>
        <w:bottom w:val="none" w:sz="0" w:space="0" w:color="auto"/>
        <w:right w:val="none" w:sz="0" w:space="0" w:color="auto"/>
      </w:divBdr>
    </w:div>
    <w:div w:id="834956956">
      <w:bodyDiv w:val="1"/>
      <w:marLeft w:val="0"/>
      <w:marRight w:val="0"/>
      <w:marTop w:val="0"/>
      <w:marBottom w:val="0"/>
      <w:divBdr>
        <w:top w:val="none" w:sz="0" w:space="0" w:color="auto"/>
        <w:left w:val="none" w:sz="0" w:space="0" w:color="auto"/>
        <w:bottom w:val="none" w:sz="0" w:space="0" w:color="auto"/>
        <w:right w:val="none" w:sz="0" w:space="0" w:color="auto"/>
      </w:divBdr>
    </w:div>
    <w:div w:id="851379946">
      <w:bodyDiv w:val="1"/>
      <w:marLeft w:val="0"/>
      <w:marRight w:val="0"/>
      <w:marTop w:val="0"/>
      <w:marBottom w:val="0"/>
      <w:divBdr>
        <w:top w:val="none" w:sz="0" w:space="0" w:color="auto"/>
        <w:left w:val="none" w:sz="0" w:space="0" w:color="auto"/>
        <w:bottom w:val="none" w:sz="0" w:space="0" w:color="auto"/>
        <w:right w:val="none" w:sz="0" w:space="0" w:color="auto"/>
      </w:divBdr>
    </w:div>
    <w:div w:id="855771805">
      <w:bodyDiv w:val="1"/>
      <w:marLeft w:val="0"/>
      <w:marRight w:val="0"/>
      <w:marTop w:val="0"/>
      <w:marBottom w:val="0"/>
      <w:divBdr>
        <w:top w:val="none" w:sz="0" w:space="0" w:color="auto"/>
        <w:left w:val="none" w:sz="0" w:space="0" w:color="auto"/>
        <w:bottom w:val="none" w:sz="0" w:space="0" w:color="auto"/>
        <w:right w:val="none" w:sz="0" w:space="0" w:color="auto"/>
      </w:divBdr>
    </w:div>
    <w:div w:id="857935516">
      <w:bodyDiv w:val="1"/>
      <w:marLeft w:val="0"/>
      <w:marRight w:val="0"/>
      <w:marTop w:val="0"/>
      <w:marBottom w:val="0"/>
      <w:divBdr>
        <w:top w:val="none" w:sz="0" w:space="0" w:color="auto"/>
        <w:left w:val="none" w:sz="0" w:space="0" w:color="auto"/>
        <w:bottom w:val="none" w:sz="0" w:space="0" w:color="auto"/>
        <w:right w:val="none" w:sz="0" w:space="0" w:color="auto"/>
      </w:divBdr>
    </w:div>
    <w:div w:id="859783488">
      <w:bodyDiv w:val="1"/>
      <w:marLeft w:val="0"/>
      <w:marRight w:val="0"/>
      <w:marTop w:val="0"/>
      <w:marBottom w:val="0"/>
      <w:divBdr>
        <w:top w:val="none" w:sz="0" w:space="0" w:color="auto"/>
        <w:left w:val="none" w:sz="0" w:space="0" w:color="auto"/>
        <w:bottom w:val="none" w:sz="0" w:space="0" w:color="auto"/>
        <w:right w:val="none" w:sz="0" w:space="0" w:color="auto"/>
      </w:divBdr>
    </w:div>
    <w:div w:id="859784077">
      <w:bodyDiv w:val="1"/>
      <w:marLeft w:val="0"/>
      <w:marRight w:val="0"/>
      <w:marTop w:val="0"/>
      <w:marBottom w:val="0"/>
      <w:divBdr>
        <w:top w:val="none" w:sz="0" w:space="0" w:color="auto"/>
        <w:left w:val="none" w:sz="0" w:space="0" w:color="auto"/>
        <w:bottom w:val="none" w:sz="0" w:space="0" w:color="auto"/>
        <w:right w:val="none" w:sz="0" w:space="0" w:color="auto"/>
      </w:divBdr>
    </w:div>
    <w:div w:id="864631277">
      <w:bodyDiv w:val="1"/>
      <w:marLeft w:val="0"/>
      <w:marRight w:val="0"/>
      <w:marTop w:val="0"/>
      <w:marBottom w:val="0"/>
      <w:divBdr>
        <w:top w:val="none" w:sz="0" w:space="0" w:color="auto"/>
        <w:left w:val="none" w:sz="0" w:space="0" w:color="auto"/>
        <w:bottom w:val="none" w:sz="0" w:space="0" w:color="auto"/>
        <w:right w:val="none" w:sz="0" w:space="0" w:color="auto"/>
      </w:divBdr>
    </w:div>
    <w:div w:id="869496326">
      <w:bodyDiv w:val="1"/>
      <w:marLeft w:val="0"/>
      <w:marRight w:val="0"/>
      <w:marTop w:val="0"/>
      <w:marBottom w:val="0"/>
      <w:divBdr>
        <w:top w:val="none" w:sz="0" w:space="0" w:color="auto"/>
        <w:left w:val="none" w:sz="0" w:space="0" w:color="auto"/>
        <w:bottom w:val="none" w:sz="0" w:space="0" w:color="auto"/>
        <w:right w:val="none" w:sz="0" w:space="0" w:color="auto"/>
      </w:divBdr>
    </w:div>
    <w:div w:id="874075281">
      <w:bodyDiv w:val="1"/>
      <w:marLeft w:val="0"/>
      <w:marRight w:val="0"/>
      <w:marTop w:val="0"/>
      <w:marBottom w:val="0"/>
      <w:divBdr>
        <w:top w:val="none" w:sz="0" w:space="0" w:color="auto"/>
        <w:left w:val="none" w:sz="0" w:space="0" w:color="auto"/>
        <w:bottom w:val="none" w:sz="0" w:space="0" w:color="auto"/>
        <w:right w:val="none" w:sz="0" w:space="0" w:color="auto"/>
      </w:divBdr>
    </w:div>
    <w:div w:id="87565885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86264417">
      <w:bodyDiv w:val="1"/>
      <w:marLeft w:val="0"/>
      <w:marRight w:val="0"/>
      <w:marTop w:val="0"/>
      <w:marBottom w:val="0"/>
      <w:divBdr>
        <w:top w:val="none" w:sz="0" w:space="0" w:color="auto"/>
        <w:left w:val="none" w:sz="0" w:space="0" w:color="auto"/>
        <w:bottom w:val="none" w:sz="0" w:space="0" w:color="auto"/>
        <w:right w:val="none" w:sz="0" w:space="0" w:color="auto"/>
      </w:divBdr>
    </w:div>
    <w:div w:id="886377304">
      <w:bodyDiv w:val="1"/>
      <w:marLeft w:val="0"/>
      <w:marRight w:val="0"/>
      <w:marTop w:val="0"/>
      <w:marBottom w:val="0"/>
      <w:divBdr>
        <w:top w:val="none" w:sz="0" w:space="0" w:color="auto"/>
        <w:left w:val="none" w:sz="0" w:space="0" w:color="auto"/>
        <w:bottom w:val="none" w:sz="0" w:space="0" w:color="auto"/>
        <w:right w:val="none" w:sz="0" w:space="0" w:color="auto"/>
      </w:divBdr>
    </w:div>
    <w:div w:id="887716733">
      <w:bodyDiv w:val="1"/>
      <w:marLeft w:val="0"/>
      <w:marRight w:val="0"/>
      <w:marTop w:val="0"/>
      <w:marBottom w:val="0"/>
      <w:divBdr>
        <w:top w:val="none" w:sz="0" w:space="0" w:color="auto"/>
        <w:left w:val="none" w:sz="0" w:space="0" w:color="auto"/>
        <w:bottom w:val="none" w:sz="0" w:space="0" w:color="auto"/>
        <w:right w:val="none" w:sz="0" w:space="0" w:color="auto"/>
      </w:divBdr>
    </w:div>
    <w:div w:id="889076663">
      <w:bodyDiv w:val="1"/>
      <w:marLeft w:val="0"/>
      <w:marRight w:val="0"/>
      <w:marTop w:val="0"/>
      <w:marBottom w:val="0"/>
      <w:divBdr>
        <w:top w:val="none" w:sz="0" w:space="0" w:color="auto"/>
        <w:left w:val="none" w:sz="0" w:space="0" w:color="auto"/>
        <w:bottom w:val="none" w:sz="0" w:space="0" w:color="auto"/>
        <w:right w:val="none" w:sz="0" w:space="0" w:color="auto"/>
      </w:divBdr>
    </w:div>
    <w:div w:id="910041278">
      <w:bodyDiv w:val="1"/>
      <w:marLeft w:val="0"/>
      <w:marRight w:val="0"/>
      <w:marTop w:val="0"/>
      <w:marBottom w:val="0"/>
      <w:divBdr>
        <w:top w:val="none" w:sz="0" w:space="0" w:color="auto"/>
        <w:left w:val="none" w:sz="0" w:space="0" w:color="auto"/>
        <w:bottom w:val="none" w:sz="0" w:space="0" w:color="auto"/>
        <w:right w:val="none" w:sz="0" w:space="0" w:color="auto"/>
      </w:divBdr>
    </w:div>
    <w:div w:id="914706901">
      <w:bodyDiv w:val="1"/>
      <w:marLeft w:val="0"/>
      <w:marRight w:val="0"/>
      <w:marTop w:val="0"/>
      <w:marBottom w:val="0"/>
      <w:divBdr>
        <w:top w:val="none" w:sz="0" w:space="0" w:color="auto"/>
        <w:left w:val="none" w:sz="0" w:space="0" w:color="auto"/>
        <w:bottom w:val="none" w:sz="0" w:space="0" w:color="auto"/>
        <w:right w:val="none" w:sz="0" w:space="0" w:color="auto"/>
      </w:divBdr>
    </w:div>
    <w:div w:id="916982016">
      <w:bodyDiv w:val="1"/>
      <w:marLeft w:val="0"/>
      <w:marRight w:val="0"/>
      <w:marTop w:val="0"/>
      <w:marBottom w:val="0"/>
      <w:divBdr>
        <w:top w:val="none" w:sz="0" w:space="0" w:color="auto"/>
        <w:left w:val="none" w:sz="0" w:space="0" w:color="auto"/>
        <w:bottom w:val="none" w:sz="0" w:space="0" w:color="auto"/>
        <w:right w:val="none" w:sz="0" w:space="0" w:color="auto"/>
      </w:divBdr>
    </w:div>
    <w:div w:id="921139564">
      <w:bodyDiv w:val="1"/>
      <w:marLeft w:val="0"/>
      <w:marRight w:val="0"/>
      <w:marTop w:val="0"/>
      <w:marBottom w:val="0"/>
      <w:divBdr>
        <w:top w:val="none" w:sz="0" w:space="0" w:color="auto"/>
        <w:left w:val="none" w:sz="0" w:space="0" w:color="auto"/>
        <w:bottom w:val="none" w:sz="0" w:space="0" w:color="auto"/>
        <w:right w:val="none" w:sz="0" w:space="0" w:color="auto"/>
      </w:divBdr>
    </w:div>
    <w:div w:id="927038002">
      <w:bodyDiv w:val="1"/>
      <w:marLeft w:val="0"/>
      <w:marRight w:val="0"/>
      <w:marTop w:val="0"/>
      <w:marBottom w:val="0"/>
      <w:divBdr>
        <w:top w:val="none" w:sz="0" w:space="0" w:color="auto"/>
        <w:left w:val="none" w:sz="0" w:space="0" w:color="auto"/>
        <w:bottom w:val="none" w:sz="0" w:space="0" w:color="auto"/>
        <w:right w:val="none" w:sz="0" w:space="0" w:color="auto"/>
      </w:divBdr>
      <w:divsChild>
        <w:div w:id="1381788014">
          <w:marLeft w:val="0"/>
          <w:marRight w:val="0"/>
          <w:marTop w:val="0"/>
          <w:marBottom w:val="0"/>
          <w:divBdr>
            <w:top w:val="none" w:sz="0" w:space="0" w:color="auto"/>
            <w:left w:val="none" w:sz="0" w:space="0" w:color="auto"/>
            <w:bottom w:val="none" w:sz="0" w:space="0" w:color="auto"/>
            <w:right w:val="none" w:sz="0" w:space="0" w:color="auto"/>
          </w:divBdr>
        </w:div>
      </w:divsChild>
    </w:div>
    <w:div w:id="930940408">
      <w:bodyDiv w:val="1"/>
      <w:marLeft w:val="0"/>
      <w:marRight w:val="0"/>
      <w:marTop w:val="0"/>
      <w:marBottom w:val="0"/>
      <w:divBdr>
        <w:top w:val="none" w:sz="0" w:space="0" w:color="auto"/>
        <w:left w:val="none" w:sz="0" w:space="0" w:color="auto"/>
        <w:bottom w:val="none" w:sz="0" w:space="0" w:color="auto"/>
        <w:right w:val="none" w:sz="0" w:space="0" w:color="auto"/>
      </w:divBdr>
    </w:div>
    <w:div w:id="942111858">
      <w:bodyDiv w:val="1"/>
      <w:marLeft w:val="0"/>
      <w:marRight w:val="0"/>
      <w:marTop w:val="0"/>
      <w:marBottom w:val="0"/>
      <w:divBdr>
        <w:top w:val="none" w:sz="0" w:space="0" w:color="auto"/>
        <w:left w:val="none" w:sz="0" w:space="0" w:color="auto"/>
        <w:bottom w:val="none" w:sz="0" w:space="0" w:color="auto"/>
        <w:right w:val="none" w:sz="0" w:space="0" w:color="auto"/>
      </w:divBdr>
    </w:div>
    <w:div w:id="943151113">
      <w:bodyDiv w:val="1"/>
      <w:marLeft w:val="0"/>
      <w:marRight w:val="0"/>
      <w:marTop w:val="0"/>
      <w:marBottom w:val="0"/>
      <w:divBdr>
        <w:top w:val="none" w:sz="0" w:space="0" w:color="auto"/>
        <w:left w:val="none" w:sz="0" w:space="0" w:color="auto"/>
        <w:bottom w:val="none" w:sz="0" w:space="0" w:color="auto"/>
        <w:right w:val="none" w:sz="0" w:space="0" w:color="auto"/>
      </w:divBdr>
    </w:div>
    <w:div w:id="946694713">
      <w:bodyDiv w:val="1"/>
      <w:marLeft w:val="0"/>
      <w:marRight w:val="0"/>
      <w:marTop w:val="0"/>
      <w:marBottom w:val="0"/>
      <w:divBdr>
        <w:top w:val="none" w:sz="0" w:space="0" w:color="auto"/>
        <w:left w:val="none" w:sz="0" w:space="0" w:color="auto"/>
        <w:bottom w:val="none" w:sz="0" w:space="0" w:color="auto"/>
        <w:right w:val="none" w:sz="0" w:space="0" w:color="auto"/>
      </w:divBdr>
    </w:div>
    <w:div w:id="949970689">
      <w:bodyDiv w:val="1"/>
      <w:marLeft w:val="0"/>
      <w:marRight w:val="0"/>
      <w:marTop w:val="0"/>
      <w:marBottom w:val="0"/>
      <w:divBdr>
        <w:top w:val="none" w:sz="0" w:space="0" w:color="auto"/>
        <w:left w:val="none" w:sz="0" w:space="0" w:color="auto"/>
        <w:bottom w:val="none" w:sz="0" w:space="0" w:color="auto"/>
        <w:right w:val="none" w:sz="0" w:space="0" w:color="auto"/>
      </w:divBdr>
    </w:div>
    <w:div w:id="953369668">
      <w:bodyDiv w:val="1"/>
      <w:marLeft w:val="0"/>
      <w:marRight w:val="0"/>
      <w:marTop w:val="0"/>
      <w:marBottom w:val="0"/>
      <w:divBdr>
        <w:top w:val="none" w:sz="0" w:space="0" w:color="auto"/>
        <w:left w:val="none" w:sz="0" w:space="0" w:color="auto"/>
        <w:bottom w:val="none" w:sz="0" w:space="0" w:color="auto"/>
        <w:right w:val="none" w:sz="0" w:space="0" w:color="auto"/>
      </w:divBdr>
    </w:div>
    <w:div w:id="958337865">
      <w:bodyDiv w:val="1"/>
      <w:marLeft w:val="0"/>
      <w:marRight w:val="0"/>
      <w:marTop w:val="0"/>
      <w:marBottom w:val="0"/>
      <w:divBdr>
        <w:top w:val="none" w:sz="0" w:space="0" w:color="auto"/>
        <w:left w:val="none" w:sz="0" w:space="0" w:color="auto"/>
        <w:bottom w:val="none" w:sz="0" w:space="0" w:color="auto"/>
        <w:right w:val="none" w:sz="0" w:space="0" w:color="auto"/>
      </w:divBdr>
    </w:div>
    <w:div w:id="959651563">
      <w:bodyDiv w:val="1"/>
      <w:marLeft w:val="0"/>
      <w:marRight w:val="0"/>
      <w:marTop w:val="0"/>
      <w:marBottom w:val="0"/>
      <w:divBdr>
        <w:top w:val="none" w:sz="0" w:space="0" w:color="auto"/>
        <w:left w:val="none" w:sz="0" w:space="0" w:color="auto"/>
        <w:bottom w:val="none" w:sz="0" w:space="0" w:color="auto"/>
        <w:right w:val="none" w:sz="0" w:space="0" w:color="auto"/>
      </w:divBdr>
    </w:div>
    <w:div w:id="961494723">
      <w:bodyDiv w:val="1"/>
      <w:marLeft w:val="0"/>
      <w:marRight w:val="0"/>
      <w:marTop w:val="0"/>
      <w:marBottom w:val="0"/>
      <w:divBdr>
        <w:top w:val="none" w:sz="0" w:space="0" w:color="auto"/>
        <w:left w:val="none" w:sz="0" w:space="0" w:color="auto"/>
        <w:bottom w:val="none" w:sz="0" w:space="0" w:color="auto"/>
        <w:right w:val="none" w:sz="0" w:space="0" w:color="auto"/>
      </w:divBdr>
    </w:div>
    <w:div w:id="967515239">
      <w:bodyDiv w:val="1"/>
      <w:marLeft w:val="0"/>
      <w:marRight w:val="0"/>
      <w:marTop w:val="0"/>
      <w:marBottom w:val="0"/>
      <w:divBdr>
        <w:top w:val="none" w:sz="0" w:space="0" w:color="auto"/>
        <w:left w:val="none" w:sz="0" w:space="0" w:color="auto"/>
        <w:bottom w:val="none" w:sz="0" w:space="0" w:color="auto"/>
        <w:right w:val="none" w:sz="0" w:space="0" w:color="auto"/>
      </w:divBdr>
    </w:div>
    <w:div w:id="969092921">
      <w:bodyDiv w:val="1"/>
      <w:marLeft w:val="0"/>
      <w:marRight w:val="0"/>
      <w:marTop w:val="0"/>
      <w:marBottom w:val="0"/>
      <w:divBdr>
        <w:top w:val="none" w:sz="0" w:space="0" w:color="auto"/>
        <w:left w:val="none" w:sz="0" w:space="0" w:color="auto"/>
        <w:bottom w:val="none" w:sz="0" w:space="0" w:color="auto"/>
        <w:right w:val="none" w:sz="0" w:space="0" w:color="auto"/>
      </w:divBdr>
    </w:div>
    <w:div w:id="997539889">
      <w:bodyDiv w:val="1"/>
      <w:marLeft w:val="0"/>
      <w:marRight w:val="0"/>
      <w:marTop w:val="0"/>
      <w:marBottom w:val="0"/>
      <w:divBdr>
        <w:top w:val="none" w:sz="0" w:space="0" w:color="auto"/>
        <w:left w:val="none" w:sz="0" w:space="0" w:color="auto"/>
        <w:bottom w:val="none" w:sz="0" w:space="0" w:color="auto"/>
        <w:right w:val="none" w:sz="0" w:space="0" w:color="auto"/>
      </w:divBdr>
    </w:div>
    <w:div w:id="1000499878">
      <w:bodyDiv w:val="1"/>
      <w:marLeft w:val="0"/>
      <w:marRight w:val="0"/>
      <w:marTop w:val="0"/>
      <w:marBottom w:val="0"/>
      <w:divBdr>
        <w:top w:val="none" w:sz="0" w:space="0" w:color="auto"/>
        <w:left w:val="none" w:sz="0" w:space="0" w:color="auto"/>
        <w:bottom w:val="none" w:sz="0" w:space="0" w:color="auto"/>
        <w:right w:val="none" w:sz="0" w:space="0" w:color="auto"/>
      </w:divBdr>
    </w:div>
    <w:div w:id="1009481563">
      <w:bodyDiv w:val="1"/>
      <w:marLeft w:val="0"/>
      <w:marRight w:val="0"/>
      <w:marTop w:val="0"/>
      <w:marBottom w:val="0"/>
      <w:divBdr>
        <w:top w:val="none" w:sz="0" w:space="0" w:color="auto"/>
        <w:left w:val="none" w:sz="0" w:space="0" w:color="auto"/>
        <w:bottom w:val="none" w:sz="0" w:space="0" w:color="auto"/>
        <w:right w:val="none" w:sz="0" w:space="0" w:color="auto"/>
      </w:divBdr>
    </w:div>
    <w:div w:id="1013801257">
      <w:bodyDiv w:val="1"/>
      <w:marLeft w:val="0"/>
      <w:marRight w:val="0"/>
      <w:marTop w:val="0"/>
      <w:marBottom w:val="0"/>
      <w:divBdr>
        <w:top w:val="none" w:sz="0" w:space="0" w:color="auto"/>
        <w:left w:val="none" w:sz="0" w:space="0" w:color="auto"/>
        <w:bottom w:val="none" w:sz="0" w:space="0" w:color="auto"/>
        <w:right w:val="none" w:sz="0" w:space="0" w:color="auto"/>
      </w:divBdr>
    </w:div>
    <w:div w:id="1014572917">
      <w:bodyDiv w:val="1"/>
      <w:marLeft w:val="0"/>
      <w:marRight w:val="0"/>
      <w:marTop w:val="0"/>
      <w:marBottom w:val="0"/>
      <w:divBdr>
        <w:top w:val="none" w:sz="0" w:space="0" w:color="auto"/>
        <w:left w:val="none" w:sz="0" w:space="0" w:color="auto"/>
        <w:bottom w:val="none" w:sz="0" w:space="0" w:color="auto"/>
        <w:right w:val="none" w:sz="0" w:space="0" w:color="auto"/>
      </w:divBdr>
    </w:div>
    <w:div w:id="1018963738">
      <w:bodyDiv w:val="1"/>
      <w:marLeft w:val="0"/>
      <w:marRight w:val="0"/>
      <w:marTop w:val="0"/>
      <w:marBottom w:val="0"/>
      <w:divBdr>
        <w:top w:val="none" w:sz="0" w:space="0" w:color="auto"/>
        <w:left w:val="none" w:sz="0" w:space="0" w:color="auto"/>
        <w:bottom w:val="none" w:sz="0" w:space="0" w:color="auto"/>
        <w:right w:val="none" w:sz="0" w:space="0" w:color="auto"/>
      </w:divBdr>
    </w:div>
    <w:div w:id="1020936037">
      <w:bodyDiv w:val="1"/>
      <w:marLeft w:val="0"/>
      <w:marRight w:val="0"/>
      <w:marTop w:val="0"/>
      <w:marBottom w:val="0"/>
      <w:divBdr>
        <w:top w:val="none" w:sz="0" w:space="0" w:color="auto"/>
        <w:left w:val="none" w:sz="0" w:space="0" w:color="auto"/>
        <w:bottom w:val="none" w:sz="0" w:space="0" w:color="auto"/>
        <w:right w:val="none" w:sz="0" w:space="0" w:color="auto"/>
      </w:divBdr>
    </w:div>
    <w:div w:id="1030766814">
      <w:bodyDiv w:val="1"/>
      <w:marLeft w:val="0"/>
      <w:marRight w:val="0"/>
      <w:marTop w:val="0"/>
      <w:marBottom w:val="0"/>
      <w:divBdr>
        <w:top w:val="none" w:sz="0" w:space="0" w:color="auto"/>
        <w:left w:val="none" w:sz="0" w:space="0" w:color="auto"/>
        <w:bottom w:val="none" w:sz="0" w:space="0" w:color="auto"/>
        <w:right w:val="none" w:sz="0" w:space="0" w:color="auto"/>
      </w:divBdr>
    </w:div>
    <w:div w:id="1036852743">
      <w:bodyDiv w:val="1"/>
      <w:marLeft w:val="0"/>
      <w:marRight w:val="0"/>
      <w:marTop w:val="0"/>
      <w:marBottom w:val="0"/>
      <w:divBdr>
        <w:top w:val="none" w:sz="0" w:space="0" w:color="auto"/>
        <w:left w:val="none" w:sz="0" w:space="0" w:color="auto"/>
        <w:bottom w:val="none" w:sz="0" w:space="0" w:color="auto"/>
        <w:right w:val="none" w:sz="0" w:space="0" w:color="auto"/>
      </w:divBdr>
    </w:div>
    <w:div w:id="1037899027">
      <w:bodyDiv w:val="1"/>
      <w:marLeft w:val="0"/>
      <w:marRight w:val="0"/>
      <w:marTop w:val="0"/>
      <w:marBottom w:val="0"/>
      <w:divBdr>
        <w:top w:val="none" w:sz="0" w:space="0" w:color="auto"/>
        <w:left w:val="none" w:sz="0" w:space="0" w:color="auto"/>
        <w:bottom w:val="none" w:sz="0" w:space="0" w:color="auto"/>
        <w:right w:val="none" w:sz="0" w:space="0" w:color="auto"/>
      </w:divBdr>
    </w:div>
    <w:div w:id="1041244805">
      <w:bodyDiv w:val="1"/>
      <w:marLeft w:val="0"/>
      <w:marRight w:val="0"/>
      <w:marTop w:val="0"/>
      <w:marBottom w:val="0"/>
      <w:divBdr>
        <w:top w:val="none" w:sz="0" w:space="0" w:color="auto"/>
        <w:left w:val="none" w:sz="0" w:space="0" w:color="auto"/>
        <w:bottom w:val="none" w:sz="0" w:space="0" w:color="auto"/>
        <w:right w:val="none" w:sz="0" w:space="0" w:color="auto"/>
      </w:divBdr>
    </w:div>
    <w:div w:id="1041322724">
      <w:bodyDiv w:val="1"/>
      <w:marLeft w:val="0"/>
      <w:marRight w:val="0"/>
      <w:marTop w:val="0"/>
      <w:marBottom w:val="0"/>
      <w:divBdr>
        <w:top w:val="none" w:sz="0" w:space="0" w:color="auto"/>
        <w:left w:val="none" w:sz="0" w:space="0" w:color="auto"/>
        <w:bottom w:val="none" w:sz="0" w:space="0" w:color="auto"/>
        <w:right w:val="none" w:sz="0" w:space="0" w:color="auto"/>
      </w:divBdr>
    </w:div>
    <w:div w:id="1043943883">
      <w:bodyDiv w:val="1"/>
      <w:marLeft w:val="0"/>
      <w:marRight w:val="0"/>
      <w:marTop w:val="0"/>
      <w:marBottom w:val="0"/>
      <w:divBdr>
        <w:top w:val="none" w:sz="0" w:space="0" w:color="auto"/>
        <w:left w:val="none" w:sz="0" w:space="0" w:color="auto"/>
        <w:bottom w:val="none" w:sz="0" w:space="0" w:color="auto"/>
        <w:right w:val="none" w:sz="0" w:space="0" w:color="auto"/>
      </w:divBdr>
    </w:div>
    <w:div w:id="1044528170">
      <w:bodyDiv w:val="1"/>
      <w:marLeft w:val="0"/>
      <w:marRight w:val="0"/>
      <w:marTop w:val="0"/>
      <w:marBottom w:val="0"/>
      <w:divBdr>
        <w:top w:val="none" w:sz="0" w:space="0" w:color="auto"/>
        <w:left w:val="none" w:sz="0" w:space="0" w:color="auto"/>
        <w:bottom w:val="none" w:sz="0" w:space="0" w:color="auto"/>
        <w:right w:val="none" w:sz="0" w:space="0" w:color="auto"/>
      </w:divBdr>
    </w:div>
    <w:div w:id="1045254865">
      <w:bodyDiv w:val="1"/>
      <w:marLeft w:val="0"/>
      <w:marRight w:val="0"/>
      <w:marTop w:val="0"/>
      <w:marBottom w:val="0"/>
      <w:divBdr>
        <w:top w:val="none" w:sz="0" w:space="0" w:color="auto"/>
        <w:left w:val="none" w:sz="0" w:space="0" w:color="auto"/>
        <w:bottom w:val="none" w:sz="0" w:space="0" w:color="auto"/>
        <w:right w:val="none" w:sz="0" w:space="0" w:color="auto"/>
      </w:divBdr>
    </w:div>
    <w:div w:id="1063674796">
      <w:bodyDiv w:val="1"/>
      <w:marLeft w:val="0"/>
      <w:marRight w:val="0"/>
      <w:marTop w:val="0"/>
      <w:marBottom w:val="0"/>
      <w:divBdr>
        <w:top w:val="none" w:sz="0" w:space="0" w:color="auto"/>
        <w:left w:val="none" w:sz="0" w:space="0" w:color="auto"/>
        <w:bottom w:val="none" w:sz="0" w:space="0" w:color="auto"/>
        <w:right w:val="none" w:sz="0" w:space="0" w:color="auto"/>
      </w:divBdr>
    </w:div>
    <w:div w:id="1067260481">
      <w:bodyDiv w:val="1"/>
      <w:marLeft w:val="0"/>
      <w:marRight w:val="0"/>
      <w:marTop w:val="0"/>
      <w:marBottom w:val="0"/>
      <w:divBdr>
        <w:top w:val="none" w:sz="0" w:space="0" w:color="auto"/>
        <w:left w:val="none" w:sz="0" w:space="0" w:color="auto"/>
        <w:bottom w:val="none" w:sz="0" w:space="0" w:color="auto"/>
        <w:right w:val="none" w:sz="0" w:space="0" w:color="auto"/>
      </w:divBdr>
    </w:div>
    <w:div w:id="1073432267">
      <w:bodyDiv w:val="1"/>
      <w:marLeft w:val="0"/>
      <w:marRight w:val="0"/>
      <w:marTop w:val="0"/>
      <w:marBottom w:val="0"/>
      <w:divBdr>
        <w:top w:val="none" w:sz="0" w:space="0" w:color="auto"/>
        <w:left w:val="none" w:sz="0" w:space="0" w:color="auto"/>
        <w:bottom w:val="none" w:sz="0" w:space="0" w:color="auto"/>
        <w:right w:val="none" w:sz="0" w:space="0" w:color="auto"/>
      </w:divBdr>
    </w:div>
    <w:div w:id="1075014588">
      <w:bodyDiv w:val="1"/>
      <w:marLeft w:val="0"/>
      <w:marRight w:val="0"/>
      <w:marTop w:val="0"/>
      <w:marBottom w:val="0"/>
      <w:divBdr>
        <w:top w:val="none" w:sz="0" w:space="0" w:color="auto"/>
        <w:left w:val="none" w:sz="0" w:space="0" w:color="auto"/>
        <w:bottom w:val="none" w:sz="0" w:space="0" w:color="auto"/>
        <w:right w:val="none" w:sz="0" w:space="0" w:color="auto"/>
      </w:divBdr>
    </w:div>
    <w:div w:id="1077480602">
      <w:bodyDiv w:val="1"/>
      <w:marLeft w:val="0"/>
      <w:marRight w:val="0"/>
      <w:marTop w:val="0"/>
      <w:marBottom w:val="0"/>
      <w:divBdr>
        <w:top w:val="none" w:sz="0" w:space="0" w:color="auto"/>
        <w:left w:val="none" w:sz="0" w:space="0" w:color="auto"/>
        <w:bottom w:val="none" w:sz="0" w:space="0" w:color="auto"/>
        <w:right w:val="none" w:sz="0" w:space="0" w:color="auto"/>
      </w:divBdr>
    </w:div>
    <w:div w:id="1083648998">
      <w:bodyDiv w:val="1"/>
      <w:marLeft w:val="0"/>
      <w:marRight w:val="0"/>
      <w:marTop w:val="0"/>
      <w:marBottom w:val="0"/>
      <w:divBdr>
        <w:top w:val="none" w:sz="0" w:space="0" w:color="auto"/>
        <w:left w:val="none" w:sz="0" w:space="0" w:color="auto"/>
        <w:bottom w:val="none" w:sz="0" w:space="0" w:color="auto"/>
        <w:right w:val="none" w:sz="0" w:space="0" w:color="auto"/>
      </w:divBdr>
    </w:div>
    <w:div w:id="1090463825">
      <w:bodyDiv w:val="1"/>
      <w:marLeft w:val="0"/>
      <w:marRight w:val="0"/>
      <w:marTop w:val="0"/>
      <w:marBottom w:val="0"/>
      <w:divBdr>
        <w:top w:val="none" w:sz="0" w:space="0" w:color="auto"/>
        <w:left w:val="none" w:sz="0" w:space="0" w:color="auto"/>
        <w:bottom w:val="none" w:sz="0" w:space="0" w:color="auto"/>
        <w:right w:val="none" w:sz="0" w:space="0" w:color="auto"/>
      </w:divBdr>
    </w:div>
    <w:div w:id="1090735645">
      <w:bodyDiv w:val="1"/>
      <w:marLeft w:val="0"/>
      <w:marRight w:val="0"/>
      <w:marTop w:val="0"/>
      <w:marBottom w:val="0"/>
      <w:divBdr>
        <w:top w:val="none" w:sz="0" w:space="0" w:color="auto"/>
        <w:left w:val="none" w:sz="0" w:space="0" w:color="auto"/>
        <w:bottom w:val="none" w:sz="0" w:space="0" w:color="auto"/>
        <w:right w:val="none" w:sz="0" w:space="0" w:color="auto"/>
      </w:divBdr>
    </w:div>
    <w:div w:id="1095512791">
      <w:bodyDiv w:val="1"/>
      <w:marLeft w:val="0"/>
      <w:marRight w:val="0"/>
      <w:marTop w:val="0"/>
      <w:marBottom w:val="0"/>
      <w:divBdr>
        <w:top w:val="none" w:sz="0" w:space="0" w:color="auto"/>
        <w:left w:val="none" w:sz="0" w:space="0" w:color="auto"/>
        <w:bottom w:val="none" w:sz="0" w:space="0" w:color="auto"/>
        <w:right w:val="none" w:sz="0" w:space="0" w:color="auto"/>
      </w:divBdr>
    </w:div>
    <w:div w:id="1099107520">
      <w:bodyDiv w:val="1"/>
      <w:marLeft w:val="0"/>
      <w:marRight w:val="0"/>
      <w:marTop w:val="0"/>
      <w:marBottom w:val="0"/>
      <w:divBdr>
        <w:top w:val="none" w:sz="0" w:space="0" w:color="auto"/>
        <w:left w:val="none" w:sz="0" w:space="0" w:color="auto"/>
        <w:bottom w:val="none" w:sz="0" w:space="0" w:color="auto"/>
        <w:right w:val="none" w:sz="0" w:space="0" w:color="auto"/>
      </w:divBdr>
    </w:div>
    <w:div w:id="1101102796">
      <w:bodyDiv w:val="1"/>
      <w:marLeft w:val="0"/>
      <w:marRight w:val="0"/>
      <w:marTop w:val="0"/>
      <w:marBottom w:val="0"/>
      <w:divBdr>
        <w:top w:val="none" w:sz="0" w:space="0" w:color="auto"/>
        <w:left w:val="none" w:sz="0" w:space="0" w:color="auto"/>
        <w:bottom w:val="none" w:sz="0" w:space="0" w:color="auto"/>
        <w:right w:val="none" w:sz="0" w:space="0" w:color="auto"/>
      </w:divBdr>
    </w:div>
    <w:div w:id="1102652141">
      <w:bodyDiv w:val="1"/>
      <w:marLeft w:val="0"/>
      <w:marRight w:val="0"/>
      <w:marTop w:val="0"/>
      <w:marBottom w:val="0"/>
      <w:divBdr>
        <w:top w:val="none" w:sz="0" w:space="0" w:color="auto"/>
        <w:left w:val="none" w:sz="0" w:space="0" w:color="auto"/>
        <w:bottom w:val="none" w:sz="0" w:space="0" w:color="auto"/>
        <w:right w:val="none" w:sz="0" w:space="0" w:color="auto"/>
      </w:divBdr>
    </w:div>
    <w:div w:id="1105267131">
      <w:bodyDiv w:val="1"/>
      <w:marLeft w:val="0"/>
      <w:marRight w:val="0"/>
      <w:marTop w:val="0"/>
      <w:marBottom w:val="0"/>
      <w:divBdr>
        <w:top w:val="none" w:sz="0" w:space="0" w:color="auto"/>
        <w:left w:val="none" w:sz="0" w:space="0" w:color="auto"/>
        <w:bottom w:val="none" w:sz="0" w:space="0" w:color="auto"/>
        <w:right w:val="none" w:sz="0" w:space="0" w:color="auto"/>
      </w:divBdr>
    </w:div>
    <w:div w:id="1105541922">
      <w:bodyDiv w:val="1"/>
      <w:marLeft w:val="0"/>
      <w:marRight w:val="0"/>
      <w:marTop w:val="0"/>
      <w:marBottom w:val="0"/>
      <w:divBdr>
        <w:top w:val="none" w:sz="0" w:space="0" w:color="auto"/>
        <w:left w:val="none" w:sz="0" w:space="0" w:color="auto"/>
        <w:bottom w:val="none" w:sz="0" w:space="0" w:color="auto"/>
        <w:right w:val="none" w:sz="0" w:space="0" w:color="auto"/>
      </w:divBdr>
    </w:div>
    <w:div w:id="1105878315">
      <w:bodyDiv w:val="1"/>
      <w:marLeft w:val="0"/>
      <w:marRight w:val="0"/>
      <w:marTop w:val="0"/>
      <w:marBottom w:val="0"/>
      <w:divBdr>
        <w:top w:val="none" w:sz="0" w:space="0" w:color="auto"/>
        <w:left w:val="none" w:sz="0" w:space="0" w:color="auto"/>
        <w:bottom w:val="none" w:sz="0" w:space="0" w:color="auto"/>
        <w:right w:val="none" w:sz="0" w:space="0" w:color="auto"/>
      </w:divBdr>
    </w:div>
    <w:div w:id="1106542150">
      <w:bodyDiv w:val="1"/>
      <w:marLeft w:val="0"/>
      <w:marRight w:val="0"/>
      <w:marTop w:val="0"/>
      <w:marBottom w:val="0"/>
      <w:divBdr>
        <w:top w:val="none" w:sz="0" w:space="0" w:color="auto"/>
        <w:left w:val="none" w:sz="0" w:space="0" w:color="auto"/>
        <w:bottom w:val="none" w:sz="0" w:space="0" w:color="auto"/>
        <w:right w:val="none" w:sz="0" w:space="0" w:color="auto"/>
      </w:divBdr>
    </w:div>
    <w:div w:id="1110778845">
      <w:bodyDiv w:val="1"/>
      <w:marLeft w:val="0"/>
      <w:marRight w:val="0"/>
      <w:marTop w:val="0"/>
      <w:marBottom w:val="0"/>
      <w:divBdr>
        <w:top w:val="none" w:sz="0" w:space="0" w:color="auto"/>
        <w:left w:val="none" w:sz="0" w:space="0" w:color="auto"/>
        <w:bottom w:val="none" w:sz="0" w:space="0" w:color="auto"/>
        <w:right w:val="none" w:sz="0" w:space="0" w:color="auto"/>
      </w:divBdr>
    </w:div>
    <w:div w:id="1116172046">
      <w:bodyDiv w:val="1"/>
      <w:marLeft w:val="0"/>
      <w:marRight w:val="0"/>
      <w:marTop w:val="0"/>
      <w:marBottom w:val="0"/>
      <w:divBdr>
        <w:top w:val="none" w:sz="0" w:space="0" w:color="auto"/>
        <w:left w:val="none" w:sz="0" w:space="0" w:color="auto"/>
        <w:bottom w:val="none" w:sz="0" w:space="0" w:color="auto"/>
        <w:right w:val="none" w:sz="0" w:space="0" w:color="auto"/>
      </w:divBdr>
    </w:div>
    <w:div w:id="1116753162">
      <w:bodyDiv w:val="1"/>
      <w:marLeft w:val="0"/>
      <w:marRight w:val="0"/>
      <w:marTop w:val="0"/>
      <w:marBottom w:val="0"/>
      <w:divBdr>
        <w:top w:val="none" w:sz="0" w:space="0" w:color="auto"/>
        <w:left w:val="none" w:sz="0" w:space="0" w:color="auto"/>
        <w:bottom w:val="none" w:sz="0" w:space="0" w:color="auto"/>
        <w:right w:val="none" w:sz="0" w:space="0" w:color="auto"/>
      </w:divBdr>
    </w:div>
    <w:div w:id="1119028680">
      <w:bodyDiv w:val="1"/>
      <w:marLeft w:val="0"/>
      <w:marRight w:val="0"/>
      <w:marTop w:val="0"/>
      <w:marBottom w:val="0"/>
      <w:divBdr>
        <w:top w:val="none" w:sz="0" w:space="0" w:color="auto"/>
        <w:left w:val="none" w:sz="0" w:space="0" w:color="auto"/>
        <w:bottom w:val="none" w:sz="0" w:space="0" w:color="auto"/>
        <w:right w:val="none" w:sz="0" w:space="0" w:color="auto"/>
      </w:divBdr>
    </w:div>
    <w:div w:id="1124467291">
      <w:bodyDiv w:val="1"/>
      <w:marLeft w:val="0"/>
      <w:marRight w:val="0"/>
      <w:marTop w:val="0"/>
      <w:marBottom w:val="0"/>
      <w:divBdr>
        <w:top w:val="none" w:sz="0" w:space="0" w:color="auto"/>
        <w:left w:val="none" w:sz="0" w:space="0" w:color="auto"/>
        <w:bottom w:val="none" w:sz="0" w:space="0" w:color="auto"/>
        <w:right w:val="none" w:sz="0" w:space="0" w:color="auto"/>
      </w:divBdr>
    </w:div>
    <w:div w:id="1128428148">
      <w:bodyDiv w:val="1"/>
      <w:marLeft w:val="0"/>
      <w:marRight w:val="0"/>
      <w:marTop w:val="0"/>
      <w:marBottom w:val="0"/>
      <w:divBdr>
        <w:top w:val="none" w:sz="0" w:space="0" w:color="auto"/>
        <w:left w:val="none" w:sz="0" w:space="0" w:color="auto"/>
        <w:bottom w:val="none" w:sz="0" w:space="0" w:color="auto"/>
        <w:right w:val="none" w:sz="0" w:space="0" w:color="auto"/>
      </w:divBdr>
    </w:div>
    <w:div w:id="1129468518">
      <w:bodyDiv w:val="1"/>
      <w:marLeft w:val="0"/>
      <w:marRight w:val="0"/>
      <w:marTop w:val="0"/>
      <w:marBottom w:val="0"/>
      <w:divBdr>
        <w:top w:val="none" w:sz="0" w:space="0" w:color="auto"/>
        <w:left w:val="none" w:sz="0" w:space="0" w:color="auto"/>
        <w:bottom w:val="none" w:sz="0" w:space="0" w:color="auto"/>
        <w:right w:val="none" w:sz="0" w:space="0" w:color="auto"/>
      </w:divBdr>
    </w:div>
    <w:div w:id="1135758264">
      <w:bodyDiv w:val="1"/>
      <w:marLeft w:val="0"/>
      <w:marRight w:val="0"/>
      <w:marTop w:val="0"/>
      <w:marBottom w:val="0"/>
      <w:divBdr>
        <w:top w:val="none" w:sz="0" w:space="0" w:color="auto"/>
        <w:left w:val="none" w:sz="0" w:space="0" w:color="auto"/>
        <w:bottom w:val="none" w:sz="0" w:space="0" w:color="auto"/>
        <w:right w:val="none" w:sz="0" w:space="0" w:color="auto"/>
      </w:divBdr>
    </w:div>
    <w:div w:id="1139112844">
      <w:bodyDiv w:val="1"/>
      <w:marLeft w:val="0"/>
      <w:marRight w:val="0"/>
      <w:marTop w:val="0"/>
      <w:marBottom w:val="0"/>
      <w:divBdr>
        <w:top w:val="none" w:sz="0" w:space="0" w:color="auto"/>
        <w:left w:val="none" w:sz="0" w:space="0" w:color="auto"/>
        <w:bottom w:val="none" w:sz="0" w:space="0" w:color="auto"/>
        <w:right w:val="none" w:sz="0" w:space="0" w:color="auto"/>
      </w:divBdr>
    </w:div>
    <w:div w:id="1143499329">
      <w:bodyDiv w:val="1"/>
      <w:marLeft w:val="0"/>
      <w:marRight w:val="0"/>
      <w:marTop w:val="0"/>
      <w:marBottom w:val="0"/>
      <w:divBdr>
        <w:top w:val="none" w:sz="0" w:space="0" w:color="auto"/>
        <w:left w:val="none" w:sz="0" w:space="0" w:color="auto"/>
        <w:bottom w:val="none" w:sz="0" w:space="0" w:color="auto"/>
        <w:right w:val="none" w:sz="0" w:space="0" w:color="auto"/>
      </w:divBdr>
    </w:div>
    <w:div w:id="1144156810">
      <w:bodyDiv w:val="1"/>
      <w:marLeft w:val="0"/>
      <w:marRight w:val="0"/>
      <w:marTop w:val="0"/>
      <w:marBottom w:val="0"/>
      <w:divBdr>
        <w:top w:val="none" w:sz="0" w:space="0" w:color="auto"/>
        <w:left w:val="none" w:sz="0" w:space="0" w:color="auto"/>
        <w:bottom w:val="none" w:sz="0" w:space="0" w:color="auto"/>
        <w:right w:val="none" w:sz="0" w:space="0" w:color="auto"/>
      </w:divBdr>
    </w:div>
    <w:div w:id="1147358027">
      <w:bodyDiv w:val="1"/>
      <w:marLeft w:val="0"/>
      <w:marRight w:val="0"/>
      <w:marTop w:val="0"/>
      <w:marBottom w:val="0"/>
      <w:divBdr>
        <w:top w:val="none" w:sz="0" w:space="0" w:color="auto"/>
        <w:left w:val="none" w:sz="0" w:space="0" w:color="auto"/>
        <w:bottom w:val="none" w:sz="0" w:space="0" w:color="auto"/>
        <w:right w:val="none" w:sz="0" w:space="0" w:color="auto"/>
      </w:divBdr>
    </w:div>
    <w:div w:id="1149400997">
      <w:bodyDiv w:val="1"/>
      <w:marLeft w:val="0"/>
      <w:marRight w:val="0"/>
      <w:marTop w:val="0"/>
      <w:marBottom w:val="0"/>
      <w:divBdr>
        <w:top w:val="none" w:sz="0" w:space="0" w:color="auto"/>
        <w:left w:val="none" w:sz="0" w:space="0" w:color="auto"/>
        <w:bottom w:val="none" w:sz="0" w:space="0" w:color="auto"/>
        <w:right w:val="none" w:sz="0" w:space="0" w:color="auto"/>
      </w:divBdr>
    </w:div>
    <w:div w:id="1150099335">
      <w:bodyDiv w:val="1"/>
      <w:marLeft w:val="0"/>
      <w:marRight w:val="0"/>
      <w:marTop w:val="0"/>
      <w:marBottom w:val="0"/>
      <w:divBdr>
        <w:top w:val="none" w:sz="0" w:space="0" w:color="auto"/>
        <w:left w:val="none" w:sz="0" w:space="0" w:color="auto"/>
        <w:bottom w:val="none" w:sz="0" w:space="0" w:color="auto"/>
        <w:right w:val="none" w:sz="0" w:space="0" w:color="auto"/>
      </w:divBdr>
    </w:div>
    <w:div w:id="1150630669">
      <w:bodyDiv w:val="1"/>
      <w:marLeft w:val="0"/>
      <w:marRight w:val="0"/>
      <w:marTop w:val="0"/>
      <w:marBottom w:val="0"/>
      <w:divBdr>
        <w:top w:val="none" w:sz="0" w:space="0" w:color="auto"/>
        <w:left w:val="none" w:sz="0" w:space="0" w:color="auto"/>
        <w:bottom w:val="none" w:sz="0" w:space="0" w:color="auto"/>
        <w:right w:val="none" w:sz="0" w:space="0" w:color="auto"/>
      </w:divBdr>
    </w:div>
    <w:div w:id="1162087648">
      <w:bodyDiv w:val="1"/>
      <w:marLeft w:val="0"/>
      <w:marRight w:val="0"/>
      <w:marTop w:val="0"/>
      <w:marBottom w:val="0"/>
      <w:divBdr>
        <w:top w:val="none" w:sz="0" w:space="0" w:color="auto"/>
        <w:left w:val="none" w:sz="0" w:space="0" w:color="auto"/>
        <w:bottom w:val="none" w:sz="0" w:space="0" w:color="auto"/>
        <w:right w:val="none" w:sz="0" w:space="0" w:color="auto"/>
      </w:divBdr>
    </w:div>
    <w:div w:id="1163620211">
      <w:bodyDiv w:val="1"/>
      <w:marLeft w:val="0"/>
      <w:marRight w:val="0"/>
      <w:marTop w:val="0"/>
      <w:marBottom w:val="0"/>
      <w:divBdr>
        <w:top w:val="none" w:sz="0" w:space="0" w:color="auto"/>
        <w:left w:val="none" w:sz="0" w:space="0" w:color="auto"/>
        <w:bottom w:val="none" w:sz="0" w:space="0" w:color="auto"/>
        <w:right w:val="none" w:sz="0" w:space="0" w:color="auto"/>
      </w:divBdr>
    </w:div>
    <w:div w:id="1166242923">
      <w:bodyDiv w:val="1"/>
      <w:marLeft w:val="0"/>
      <w:marRight w:val="0"/>
      <w:marTop w:val="0"/>
      <w:marBottom w:val="0"/>
      <w:divBdr>
        <w:top w:val="none" w:sz="0" w:space="0" w:color="auto"/>
        <w:left w:val="none" w:sz="0" w:space="0" w:color="auto"/>
        <w:bottom w:val="none" w:sz="0" w:space="0" w:color="auto"/>
        <w:right w:val="none" w:sz="0" w:space="0" w:color="auto"/>
      </w:divBdr>
    </w:div>
    <w:div w:id="1170370506">
      <w:bodyDiv w:val="1"/>
      <w:marLeft w:val="0"/>
      <w:marRight w:val="0"/>
      <w:marTop w:val="0"/>
      <w:marBottom w:val="0"/>
      <w:divBdr>
        <w:top w:val="none" w:sz="0" w:space="0" w:color="auto"/>
        <w:left w:val="none" w:sz="0" w:space="0" w:color="auto"/>
        <w:bottom w:val="none" w:sz="0" w:space="0" w:color="auto"/>
        <w:right w:val="none" w:sz="0" w:space="0" w:color="auto"/>
      </w:divBdr>
    </w:div>
    <w:div w:id="1172448128">
      <w:bodyDiv w:val="1"/>
      <w:marLeft w:val="0"/>
      <w:marRight w:val="0"/>
      <w:marTop w:val="0"/>
      <w:marBottom w:val="0"/>
      <w:divBdr>
        <w:top w:val="none" w:sz="0" w:space="0" w:color="auto"/>
        <w:left w:val="none" w:sz="0" w:space="0" w:color="auto"/>
        <w:bottom w:val="none" w:sz="0" w:space="0" w:color="auto"/>
        <w:right w:val="none" w:sz="0" w:space="0" w:color="auto"/>
      </w:divBdr>
    </w:div>
    <w:div w:id="1173229298">
      <w:bodyDiv w:val="1"/>
      <w:marLeft w:val="0"/>
      <w:marRight w:val="0"/>
      <w:marTop w:val="0"/>
      <w:marBottom w:val="0"/>
      <w:divBdr>
        <w:top w:val="none" w:sz="0" w:space="0" w:color="auto"/>
        <w:left w:val="none" w:sz="0" w:space="0" w:color="auto"/>
        <w:bottom w:val="none" w:sz="0" w:space="0" w:color="auto"/>
        <w:right w:val="none" w:sz="0" w:space="0" w:color="auto"/>
      </w:divBdr>
    </w:div>
    <w:div w:id="1179613911">
      <w:bodyDiv w:val="1"/>
      <w:marLeft w:val="0"/>
      <w:marRight w:val="0"/>
      <w:marTop w:val="0"/>
      <w:marBottom w:val="0"/>
      <w:divBdr>
        <w:top w:val="none" w:sz="0" w:space="0" w:color="auto"/>
        <w:left w:val="none" w:sz="0" w:space="0" w:color="auto"/>
        <w:bottom w:val="none" w:sz="0" w:space="0" w:color="auto"/>
        <w:right w:val="none" w:sz="0" w:space="0" w:color="auto"/>
      </w:divBdr>
    </w:div>
    <w:div w:id="1187207296">
      <w:bodyDiv w:val="1"/>
      <w:marLeft w:val="0"/>
      <w:marRight w:val="0"/>
      <w:marTop w:val="0"/>
      <w:marBottom w:val="0"/>
      <w:divBdr>
        <w:top w:val="none" w:sz="0" w:space="0" w:color="auto"/>
        <w:left w:val="none" w:sz="0" w:space="0" w:color="auto"/>
        <w:bottom w:val="none" w:sz="0" w:space="0" w:color="auto"/>
        <w:right w:val="none" w:sz="0" w:space="0" w:color="auto"/>
      </w:divBdr>
    </w:div>
    <w:div w:id="1195271730">
      <w:bodyDiv w:val="1"/>
      <w:marLeft w:val="0"/>
      <w:marRight w:val="0"/>
      <w:marTop w:val="0"/>
      <w:marBottom w:val="0"/>
      <w:divBdr>
        <w:top w:val="none" w:sz="0" w:space="0" w:color="auto"/>
        <w:left w:val="none" w:sz="0" w:space="0" w:color="auto"/>
        <w:bottom w:val="none" w:sz="0" w:space="0" w:color="auto"/>
        <w:right w:val="none" w:sz="0" w:space="0" w:color="auto"/>
      </w:divBdr>
    </w:div>
    <w:div w:id="1198078568">
      <w:bodyDiv w:val="1"/>
      <w:marLeft w:val="0"/>
      <w:marRight w:val="0"/>
      <w:marTop w:val="0"/>
      <w:marBottom w:val="0"/>
      <w:divBdr>
        <w:top w:val="none" w:sz="0" w:space="0" w:color="auto"/>
        <w:left w:val="none" w:sz="0" w:space="0" w:color="auto"/>
        <w:bottom w:val="none" w:sz="0" w:space="0" w:color="auto"/>
        <w:right w:val="none" w:sz="0" w:space="0" w:color="auto"/>
      </w:divBdr>
    </w:div>
    <w:div w:id="1199661059">
      <w:bodyDiv w:val="1"/>
      <w:marLeft w:val="0"/>
      <w:marRight w:val="0"/>
      <w:marTop w:val="0"/>
      <w:marBottom w:val="0"/>
      <w:divBdr>
        <w:top w:val="none" w:sz="0" w:space="0" w:color="auto"/>
        <w:left w:val="none" w:sz="0" w:space="0" w:color="auto"/>
        <w:bottom w:val="none" w:sz="0" w:space="0" w:color="auto"/>
        <w:right w:val="none" w:sz="0" w:space="0" w:color="auto"/>
      </w:divBdr>
    </w:div>
    <w:div w:id="1200633061">
      <w:bodyDiv w:val="1"/>
      <w:marLeft w:val="0"/>
      <w:marRight w:val="0"/>
      <w:marTop w:val="0"/>
      <w:marBottom w:val="0"/>
      <w:divBdr>
        <w:top w:val="none" w:sz="0" w:space="0" w:color="auto"/>
        <w:left w:val="none" w:sz="0" w:space="0" w:color="auto"/>
        <w:bottom w:val="none" w:sz="0" w:space="0" w:color="auto"/>
        <w:right w:val="none" w:sz="0" w:space="0" w:color="auto"/>
      </w:divBdr>
    </w:div>
    <w:div w:id="1205675074">
      <w:bodyDiv w:val="1"/>
      <w:marLeft w:val="0"/>
      <w:marRight w:val="0"/>
      <w:marTop w:val="0"/>
      <w:marBottom w:val="0"/>
      <w:divBdr>
        <w:top w:val="none" w:sz="0" w:space="0" w:color="auto"/>
        <w:left w:val="none" w:sz="0" w:space="0" w:color="auto"/>
        <w:bottom w:val="none" w:sz="0" w:space="0" w:color="auto"/>
        <w:right w:val="none" w:sz="0" w:space="0" w:color="auto"/>
      </w:divBdr>
    </w:div>
    <w:div w:id="1210148187">
      <w:bodyDiv w:val="1"/>
      <w:marLeft w:val="0"/>
      <w:marRight w:val="0"/>
      <w:marTop w:val="0"/>
      <w:marBottom w:val="0"/>
      <w:divBdr>
        <w:top w:val="none" w:sz="0" w:space="0" w:color="auto"/>
        <w:left w:val="none" w:sz="0" w:space="0" w:color="auto"/>
        <w:bottom w:val="none" w:sz="0" w:space="0" w:color="auto"/>
        <w:right w:val="none" w:sz="0" w:space="0" w:color="auto"/>
      </w:divBdr>
    </w:div>
    <w:div w:id="1210264425">
      <w:bodyDiv w:val="1"/>
      <w:marLeft w:val="0"/>
      <w:marRight w:val="0"/>
      <w:marTop w:val="0"/>
      <w:marBottom w:val="0"/>
      <w:divBdr>
        <w:top w:val="none" w:sz="0" w:space="0" w:color="auto"/>
        <w:left w:val="none" w:sz="0" w:space="0" w:color="auto"/>
        <w:bottom w:val="none" w:sz="0" w:space="0" w:color="auto"/>
        <w:right w:val="none" w:sz="0" w:space="0" w:color="auto"/>
      </w:divBdr>
    </w:div>
    <w:div w:id="1210843338">
      <w:bodyDiv w:val="1"/>
      <w:marLeft w:val="0"/>
      <w:marRight w:val="0"/>
      <w:marTop w:val="0"/>
      <w:marBottom w:val="0"/>
      <w:divBdr>
        <w:top w:val="none" w:sz="0" w:space="0" w:color="auto"/>
        <w:left w:val="none" w:sz="0" w:space="0" w:color="auto"/>
        <w:bottom w:val="none" w:sz="0" w:space="0" w:color="auto"/>
        <w:right w:val="none" w:sz="0" w:space="0" w:color="auto"/>
      </w:divBdr>
    </w:div>
    <w:div w:id="1212423207">
      <w:bodyDiv w:val="1"/>
      <w:marLeft w:val="0"/>
      <w:marRight w:val="0"/>
      <w:marTop w:val="0"/>
      <w:marBottom w:val="0"/>
      <w:divBdr>
        <w:top w:val="none" w:sz="0" w:space="0" w:color="auto"/>
        <w:left w:val="none" w:sz="0" w:space="0" w:color="auto"/>
        <w:bottom w:val="none" w:sz="0" w:space="0" w:color="auto"/>
        <w:right w:val="none" w:sz="0" w:space="0" w:color="auto"/>
      </w:divBdr>
    </w:div>
    <w:div w:id="1215653026">
      <w:bodyDiv w:val="1"/>
      <w:marLeft w:val="0"/>
      <w:marRight w:val="0"/>
      <w:marTop w:val="0"/>
      <w:marBottom w:val="0"/>
      <w:divBdr>
        <w:top w:val="none" w:sz="0" w:space="0" w:color="auto"/>
        <w:left w:val="none" w:sz="0" w:space="0" w:color="auto"/>
        <w:bottom w:val="none" w:sz="0" w:space="0" w:color="auto"/>
        <w:right w:val="none" w:sz="0" w:space="0" w:color="auto"/>
      </w:divBdr>
    </w:div>
    <w:div w:id="1218855858">
      <w:bodyDiv w:val="1"/>
      <w:marLeft w:val="0"/>
      <w:marRight w:val="0"/>
      <w:marTop w:val="0"/>
      <w:marBottom w:val="0"/>
      <w:divBdr>
        <w:top w:val="none" w:sz="0" w:space="0" w:color="auto"/>
        <w:left w:val="none" w:sz="0" w:space="0" w:color="auto"/>
        <w:bottom w:val="none" w:sz="0" w:space="0" w:color="auto"/>
        <w:right w:val="none" w:sz="0" w:space="0" w:color="auto"/>
      </w:divBdr>
    </w:div>
    <w:div w:id="1219440918">
      <w:bodyDiv w:val="1"/>
      <w:marLeft w:val="0"/>
      <w:marRight w:val="0"/>
      <w:marTop w:val="0"/>
      <w:marBottom w:val="0"/>
      <w:divBdr>
        <w:top w:val="none" w:sz="0" w:space="0" w:color="auto"/>
        <w:left w:val="none" w:sz="0" w:space="0" w:color="auto"/>
        <w:bottom w:val="none" w:sz="0" w:space="0" w:color="auto"/>
        <w:right w:val="none" w:sz="0" w:space="0" w:color="auto"/>
      </w:divBdr>
    </w:div>
    <w:div w:id="1219971113">
      <w:bodyDiv w:val="1"/>
      <w:marLeft w:val="0"/>
      <w:marRight w:val="0"/>
      <w:marTop w:val="0"/>
      <w:marBottom w:val="0"/>
      <w:divBdr>
        <w:top w:val="none" w:sz="0" w:space="0" w:color="auto"/>
        <w:left w:val="none" w:sz="0" w:space="0" w:color="auto"/>
        <w:bottom w:val="none" w:sz="0" w:space="0" w:color="auto"/>
        <w:right w:val="none" w:sz="0" w:space="0" w:color="auto"/>
      </w:divBdr>
    </w:div>
    <w:div w:id="1225720188">
      <w:bodyDiv w:val="1"/>
      <w:marLeft w:val="0"/>
      <w:marRight w:val="0"/>
      <w:marTop w:val="0"/>
      <w:marBottom w:val="0"/>
      <w:divBdr>
        <w:top w:val="none" w:sz="0" w:space="0" w:color="auto"/>
        <w:left w:val="none" w:sz="0" w:space="0" w:color="auto"/>
        <w:bottom w:val="none" w:sz="0" w:space="0" w:color="auto"/>
        <w:right w:val="none" w:sz="0" w:space="0" w:color="auto"/>
      </w:divBdr>
    </w:div>
    <w:div w:id="1240140908">
      <w:bodyDiv w:val="1"/>
      <w:marLeft w:val="0"/>
      <w:marRight w:val="0"/>
      <w:marTop w:val="0"/>
      <w:marBottom w:val="0"/>
      <w:divBdr>
        <w:top w:val="none" w:sz="0" w:space="0" w:color="auto"/>
        <w:left w:val="none" w:sz="0" w:space="0" w:color="auto"/>
        <w:bottom w:val="none" w:sz="0" w:space="0" w:color="auto"/>
        <w:right w:val="none" w:sz="0" w:space="0" w:color="auto"/>
      </w:divBdr>
    </w:div>
    <w:div w:id="1241676723">
      <w:bodyDiv w:val="1"/>
      <w:marLeft w:val="0"/>
      <w:marRight w:val="0"/>
      <w:marTop w:val="0"/>
      <w:marBottom w:val="0"/>
      <w:divBdr>
        <w:top w:val="none" w:sz="0" w:space="0" w:color="auto"/>
        <w:left w:val="none" w:sz="0" w:space="0" w:color="auto"/>
        <w:bottom w:val="none" w:sz="0" w:space="0" w:color="auto"/>
        <w:right w:val="none" w:sz="0" w:space="0" w:color="auto"/>
      </w:divBdr>
    </w:div>
    <w:div w:id="1247879478">
      <w:bodyDiv w:val="1"/>
      <w:marLeft w:val="0"/>
      <w:marRight w:val="0"/>
      <w:marTop w:val="0"/>
      <w:marBottom w:val="0"/>
      <w:divBdr>
        <w:top w:val="none" w:sz="0" w:space="0" w:color="auto"/>
        <w:left w:val="none" w:sz="0" w:space="0" w:color="auto"/>
        <w:bottom w:val="none" w:sz="0" w:space="0" w:color="auto"/>
        <w:right w:val="none" w:sz="0" w:space="0" w:color="auto"/>
      </w:divBdr>
    </w:div>
    <w:div w:id="1255630186">
      <w:bodyDiv w:val="1"/>
      <w:marLeft w:val="0"/>
      <w:marRight w:val="0"/>
      <w:marTop w:val="0"/>
      <w:marBottom w:val="0"/>
      <w:divBdr>
        <w:top w:val="none" w:sz="0" w:space="0" w:color="auto"/>
        <w:left w:val="none" w:sz="0" w:space="0" w:color="auto"/>
        <w:bottom w:val="none" w:sz="0" w:space="0" w:color="auto"/>
        <w:right w:val="none" w:sz="0" w:space="0" w:color="auto"/>
      </w:divBdr>
    </w:div>
    <w:div w:id="1259211554">
      <w:bodyDiv w:val="1"/>
      <w:marLeft w:val="0"/>
      <w:marRight w:val="0"/>
      <w:marTop w:val="0"/>
      <w:marBottom w:val="0"/>
      <w:divBdr>
        <w:top w:val="none" w:sz="0" w:space="0" w:color="auto"/>
        <w:left w:val="none" w:sz="0" w:space="0" w:color="auto"/>
        <w:bottom w:val="none" w:sz="0" w:space="0" w:color="auto"/>
        <w:right w:val="none" w:sz="0" w:space="0" w:color="auto"/>
      </w:divBdr>
    </w:div>
    <w:div w:id="1274095269">
      <w:bodyDiv w:val="1"/>
      <w:marLeft w:val="0"/>
      <w:marRight w:val="0"/>
      <w:marTop w:val="0"/>
      <w:marBottom w:val="0"/>
      <w:divBdr>
        <w:top w:val="none" w:sz="0" w:space="0" w:color="auto"/>
        <w:left w:val="none" w:sz="0" w:space="0" w:color="auto"/>
        <w:bottom w:val="none" w:sz="0" w:space="0" w:color="auto"/>
        <w:right w:val="none" w:sz="0" w:space="0" w:color="auto"/>
      </w:divBdr>
    </w:div>
    <w:div w:id="1276907879">
      <w:bodyDiv w:val="1"/>
      <w:marLeft w:val="0"/>
      <w:marRight w:val="0"/>
      <w:marTop w:val="0"/>
      <w:marBottom w:val="0"/>
      <w:divBdr>
        <w:top w:val="none" w:sz="0" w:space="0" w:color="auto"/>
        <w:left w:val="none" w:sz="0" w:space="0" w:color="auto"/>
        <w:bottom w:val="none" w:sz="0" w:space="0" w:color="auto"/>
        <w:right w:val="none" w:sz="0" w:space="0" w:color="auto"/>
      </w:divBdr>
    </w:div>
    <w:div w:id="1290815436">
      <w:bodyDiv w:val="1"/>
      <w:marLeft w:val="0"/>
      <w:marRight w:val="0"/>
      <w:marTop w:val="0"/>
      <w:marBottom w:val="0"/>
      <w:divBdr>
        <w:top w:val="none" w:sz="0" w:space="0" w:color="auto"/>
        <w:left w:val="none" w:sz="0" w:space="0" w:color="auto"/>
        <w:bottom w:val="none" w:sz="0" w:space="0" w:color="auto"/>
        <w:right w:val="none" w:sz="0" w:space="0" w:color="auto"/>
      </w:divBdr>
    </w:div>
    <w:div w:id="1295718202">
      <w:bodyDiv w:val="1"/>
      <w:marLeft w:val="0"/>
      <w:marRight w:val="0"/>
      <w:marTop w:val="0"/>
      <w:marBottom w:val="0"/>
      <w:divBdr>
        <w:top w:val="none" w:sz="0" w:space="0" w:color="auto"/>
        <w:left w:val="none" w:sz="0" w:space="0" w:color="auto"/>
        <w:bottom w:val="none" w:sz="0" w:space="0" w:color="auto"/>
        <w:right w:val="none" w:sz="0" w:space="0" w:color="auto"/>
      </w:divBdr>
    </w:div>
    <w:div w:id="1297182508">
      <w:bodyDiv w:val="1"/>
      <w:marLeft w:val="0"/>
      <w:marRight w:val="0"/>
      <w:marTop w:val="0"/>
      <w:marBottom w:val="0"/>
      <w:divBdr>
        <w:top w:val="none" w:sz="0" w:space="0" w:color="auto"/>
        <w:left w:val="none" w:sz="0" w:space="0" w:color="auto"/>
        <w:bottom w:val="none" w:sz="0" w:space="0" w:color="auto"/>
        <w:right w:val="none" w:sz="0" w:space="0" w:color="auto"/>
      </w:divBdr>
    </w:div>
    <w:div w:id="1298099291">
      <w:bodyDiv w:val="1"/>
      <w:marLeft w:val="0"/>
      <w:marRight w:val="0"/>
      <w:marTop w:val="0"/>
      <w:marBottom w:val="0"/>
      <w:divBdr>
        <w:top w:val="none" w:sz="0" w:space="0" w:color="auto"/>
        <w:left w:val="none" w:sz="0" w:space="0" w:color="auto"/>
        <w:bottom w:val="none" w:sz="0" w:space="0" w:color="auto"/>
        <w:right w:val="none" w:sz="0" w:space="0" w:color="auto"/>
      </w:divBdr>
    </w:div>
    <w:div w:id="1300914531">
      <w:bodyDiv w:val="1"/>
      <w:marLeft w:val="0"/>
      <w:marRight w:val="0"/>
      <w:marTop w:val="0"/>
      <w:marBottom w:val="0"/>
      <w:divBdr>
        <w:top w:val="none" w:sz="0" w:space="0" w:color="auto"/>
        <w:left w:val="none" w:sz="0" w:space="0" w:color="auto"/>
        <w:bottom w:val="none" w:sz="0" w:space="0" w:color="auto"/>
        <w:right w:val="none" w:sz="0" w:space="0" w:color="auto"/>
      </w:divBdr>
    </w:div>
    <w:div w:id="1303845489">
      <w:bodyDiv w:val="1"/>
      <w:marLeft w:val="0"/>
      <w:marRight w:val="0"/>
      <w:marTop w:val="0"/>
      <w:marBottom w:val="0"/>
      <w:divBdr>
        <w:top w:val="none" w:sz="0" w:space="0" w:color="auto"/>
        <w:left w:val="none" w:sz="0" w:space="0" w:color="auto"/>
        <w:bottom w:val="none" w:sz="0" w:space="0" w:color="auto"/>
        <w:right w:val="none" w:sz="0" w:space="0" w:color="auto"/>
      </w:divBdr>
    </w:div>
    <w:div w:id="1314678675">
      <w:bodyDiv w:val="1"/>
      <w:marLeft w:val="0"/>
      <w:marRight w:val="0"/>
      <w:marTop w:val="0"/>
      <w:marBottom w:val="0"/>
      <w:divBdr>
        <w:top w:val="none" w:sz="0" w:space="0" w:color="auto"/>
        <w:left w:val="none" w:sz="0" w:space="0" w:color="auto"/>
        <w:bottom w:val="none" w:sz="0" w:space="0" w:color="auto"/>
        <w:right w:val="none" w:sz="0" w:space="0" w:color="auto"/>
      </w:divBdr>
    </w:div>
    <w:div w:id="1315255416">
      <w:bodyDiv w:val="1"/>
      <w:marLeft w:val="0"/>
      <w:marRight w:val="0"/>
      <w:marTop w:val="0"/>
      <w:marBottom w:val="0"/>
      <w:divBdr>
        <w:top w:val="none" w:sz="0" w:space="0" w:color="auto"/>
        <w:left w:val="none" w:sz="0" w:space="0" w:color="auto"/>
        <w:bottom w:val="none" w:sz="0" w:space="0" w:color="auto"/>
        <w:right w:val="none" w:sz="0" w:space="0" w:color="auto"/>
      </w:divBdr>
    </w:div>
    <w:div w:id="1315530332">
      <w:bodyDiv w:val="1"/>
      <w:marLeft w:val="0"/>
      <w:marRight w:val="0"/>
      <w:marTop w:val="0"/>
      <w:marBottom w:val="0"/>
      <w:divBdr>
        <w:top w:val="none" w:sz="0" w:space="0" w:color="auto"/>
        <w:left w:val="none" w:sz="0" w:space="0" w:color="auto"/>
        <w:bottom w:val="none" w:sz="0" w:space="0" w:color="auto"/>
        <w:right w:val="none" w:sz="0" w:space="0" w:color="auto"/>
      </w:divBdr>
    </w:div>
    <w:div w:id="1317565583">
      <w:bodyDiv w:val="1"/>
      <w:marLeft w:val="0"/>
      <w:marRight w:val="0"/>
      <w:marTop w:val="0"/>
      <w:marBottom w:val="0"/>
      <w:divBdr>
        <w:top w:val="none" w:sz="0" w:space="0" w:color="auto"/>
        <w:left w:val="none" w:sz="0" w:space="0" w:color="auto"/>
        <w:bottom w:val="none" w:sz="0" w:space="0" w:color="auto"/>
        <w:right w:val="none" w:sz="0" w:space="0" w:color="auto"/>
      </w:divBdr>
    </w:div>
    <w:div w:id="1322928827">
      <w:bodyDiv w:val="1"/>
      <w:marLeft w:val="0"/>
      <w:marRight w:val="0"/>
      <w:marTop w:val="0"/>
      <w:marBottom w:val="0"/>
      <w:divBdr>
        <w:top w:val="none" w:sz="0" w:space="0" w:color="auto"/>
        <w:left w:val="none" w:sz="0" w:space="0" w:color="auto"/>
        <w:bottom w:val="none" w:sz="0" w:space="0" w:color="auto"/>
        <w:right w:val="none" w:sz="0" w:space="0" w:color="auto"/>
      </w:divBdr>
    </w:div>
    <w:div w:id="1324896983">
      <w:bodyDiv w:val="1"/>
      <w:marLeft w:val="0"/>
      <w:marRight w:val="0"/>
      <w:marTop w:val="0"/>
      <w:marBottom w:val="0"/>
      <w:divBdr>
        <w:top w:val="none" w:sz="0" w:space="0" w:color="auto"/>
        <w:left w:val="none" w:sz="0" w:space="0" w:color="auto"/>
        <w:bottom w:val="none" w:sz="0" w:space="0" w:color="auto"/>
        <w:right w:val="none" w:sz="0" w:space="0" w:color="auto"/>
      </w:divBdr>
    </w:div>
    <w:div w:id="1326084732">
      <w:bodyDiv w:val="1"/>
      <w:marLeft w:val="0"/>
      <w:marRight w:val="0"/>
      <w:marTop w:val="0"/>
      <w:marBottom w:val="0"/>
      <w:divBdr>
        <w:top w:val="none" w:sz="0" w:space="0" w:color="auto"/>
        <w:left w:val="none" w:sz="0" w:space="0" w:color="auto"/>
        <w:bottom w:val="none" w:sz="0" w:space="0" w:color="auto"/>
        <w:right w:val="none" w:sz="0" w:space="0" w:color="auto"/>
      </w:divBdr>
    </w:div>
    <w:div w:id="1326594015">
      <w:bodyDiv w:val="1"/>
      <w:marLeft w:val="0"/>
      <w:marRight w:val="0"/>
      <w:marTop w:val="0"/>
      <w:marBottom w:val="0"/>
      <w:divBdr>
        <w:top w:val="none" w:sz="0" w:space="0" w:color="auto"/>
        <w:left w:val="none" w:sz="0" w:space="0" w:color="auto"/>
        <w:bottom w:val="none" w:sz="0" w:space="0" w:color="auto"/>
        <w:right w:val="none" w:sz="0" w:space="0" w:color="auto"/>
      </w:divBdr>
    </w:div>
    <w:div w:id="1327174532">
      <w:bodyDiv w:val="1"/>
      <w:marLeft w:val="0"/>
      <w:marRight w:val="0"/>
      <w:marTop w:val="0"/>
      <w:marBottom w:val="0"/>
      <w:divBdr>
        <w:top w:val="none" w:sz="0" w:space="0" w:color="auto"/>
        <w:left w:val="none" w:sz="0" w:space="0" w:color="auto"/>
        <w:bottom w:val="none" w:sz="0" w:space="0" w:color="auto"/>
        <w:right w:val="none" w:sz="0" w:space="0" w:color="auto"/>
      </w:divBdr>
    </w:div>
    <w:div w:id="1328095527">
      <w:bodyDiv w:val="1"/>
      <w:marLeft w:val="0"/>
      <w:marRight w:val="0"/>
      <w:marTop w:val="0"/>
      <w:marBottom w:val="0"/>
      <w:divBdr>
        <w:top w:val="none" w:sz="0" w:space="0" w:color="auto"/>
        <w:left w:val="none" w:sz="0" w:space="0" w:color="auto"/>
        <w:bottom w:val="none" w:sz="0" w:space="0" w:color="auto"/>
        <w:right w:val="none" w:sz="0" w:space="0" w:color="auto"/>
      </w:divBdr>
    </w:div>
    <w:div w:id="1329595783">
      <w:bodyDiv w:val="1"/>
      <w:marLeft w:val="0"/>
      <w:marRight w:val="0"/>
      <w:marTop w:val="0"/>
      <w:marBottom w:val="0"/>
      <w:divBdr>
        <w:top w:val="none" w:sz="0" w:space="0" w:color="auto"/>
        <w:left w:val="none" w:sz="0" w:space="0" w:color="auto"/>
        <w:bottom w:val="none" w:sz="0" w:space="0" w:color="auto"/>
        <w:right w:val="none" w:sz="0" w:space="0" w:color="auto"/>
      </w:divBdr>
    </w:div>
    <w:div w:id="1335953184">
      <w:bodyDiv w:val="1"/>
      <w:marLeft w:val="0"/>
      <w:marRight w:val="0"/>
      <w:marTop w:val="0"/>
      <w:marBottom w:val="0"/>
      <w:divBdr>
        <w:top w:val="none" w:sz="0" w:space="0" w:color="auto"/>
        <w:left w:val="none" w:sz="0" w:space="0" w:color="auto"/>
        <w:bottom w:val="none" w:sz="0" w:space="0" w:color="auto"/>
        <w:right w:val="none" w:sz="0" w:space="0" w:color="auto"/>
      </w:divBdr>
    </w:div>
    <w:div w:id="1336759060">
      <w:bodyDiv w:val="1"/>
      <w:marLeft w:val="0"/>
      <w:marRight w:val="0"/>
      <w:marTop w:val="0"/>
      <w:marBottom w:val="0"/>
      <w:divBdr>
        <w:top w:val="none" w:sz="0" w:space="0" w:color="auto"/>
        <w:left w:val="none" w:sz="0" w:space="0" w:color="auto"/>
        <w:bottom w:val="none" w:sz="0" w:space="0" w:color="auto"/>
        <w:right w:val="none" w:sz="0" w:space="0" w:color="auto"/>
      </w:divBdr>
    </w:div>
    <w:div w:id="1339844658">
      <w:bodyDiv w:val="1"/>
      <w:marLeft w:val="0"/>
      <w:marRight w:val="0"/>
      <w:marTop w:val="0"/>
      <w:marBottom w:val="0"/>
      <w:divBdr>
        <w:top w:val="none" w:sz="0" w:space="0" w:color="auto"/>
        <w:left w:val="none" w:sz="0" w:space="0" w:color="auto"/>
        <w:bottom w:val="none" w:sz="0" w:space="0" w:color="auto"/>
        <w:right w:val="none" w:sz="0" w:space="0" w:color="auto"/>
      </w:divBdr>
    </w:div>
    <w:div w:id="1342508270">
      <w:bodyDiv w:val="1"/>
      <w:marLeft w:val="0"/>
      <w:marRight w:val="0"/>
      <w:marTop w:val="0"/>
      <w:marBottom w:val="0"/>
      <w:divBdr>
        <w:top w:val="none" w:sz="0" w:space="0" w:color="auto"/>
        <w:left w:val="none" w:sz="0" w:space="0" w:color="auto"/>
        <w:bottom w:val="none" w:sz="0" w:space="0" w:color="auto"/>
        <w:right w:val="none" w:sz="0" w:space="0" w:color="auto"/>
      </w:divBdr>
    </w:div>
    <w:div w:id="1344087390">
      <w:bodyDiv w:val="1"/>
      <w:marLeft w:val="0"/>
      <w:marRight w:val="0"/>
      <w:marTop w:val="0"/>
      <w:marBottom w:val="0"/>
      <w:divBdr>
        <w:top w:val="none" w:sz="0" w:space="0" w:color="auto"/>
        <w:left w:val="none" w:sz="0" w:space="0" w:color="auto"/>
        <w:bottom w:val="none" w:sz="0" w:space="0" w:color="auto"/>
        <w:right w:val="none" w:sz="0" w:space="0" w:color="auto"/>
      </w:divBdr>
    </w:div>
    <w:div w:id="1344555364">
      <w:bodyDiv w:val="1"/>
      <w:marLeft w:val="0"/>
      <w:marRight w:val="0"/>
      <w:marTop w:val="0"/>
      <w:marBottom w:val="0"/>
      <w:divBdr>
        <w:top w:val="none" w:sz="0" w:space="0" w:color="auto"/>
        <w:left w:val="none" w:sz="0" w:space="0" w:color="auto"/>
        <w:bottom w:val="none" w:sz="0" w:space="0" w:color="auto"/>
        <w:right w:val="none" w:sz="0" w:space="0" w:color="auto"/>
      </w:divBdr>
    </w:div>
    <w:div w:id="1349528872">
      <w:bodyDiv w:val="1"/>
      <w:marLeft w:val="0"/>
      <w:marRight w:val="0"/>
      <w:marTop w:val="0"/>
      <w:marBottom w:val="0"/>
      <w:divBdr>
        <w:top w:val="none" w:sz="0" w:space="0" w:color="auto"/>
        <w:left w:val="none" w:sz="0" w:space="0" w:color="auto"/>
        <w:bottom w:val="none" w:sz="0" w:space="0" w:color="auto"/>
        <w:right w:val="none" w:sz="0" w:space="0" w:color="auto"/>
      </w:divBdr>
    </w:div>
    <w:div w:id="1350327568">
      <w:bodyDiv w:val="1"/>
      <w:marLeft w:val="0"/>
      <w:marRight w:val="0"/>
      <w:marTop w:val="0"/>
      <w:marBottom w:val="0"/>
      <w:divBdr>
        <w:top w:val="none" w:sz="0" w:space="0" w:color="auto"/>
        <w:left w:val="none" w:sz="0" w:space="0" w:color="auto"/>
        <w:bottom w:val="none" w:sz="0" w:space="0" w:color="auto"/>
        <w:right w:val="none" w:sz="0" w:space="0" w:color="auto"/>
      </w:divBdr>
    </w:div>
    <w:div w:id="1356232771">
      <w:bodyDiv w:val="1"/>
      <w:marLeft w:val="0"/>
      <w:marRight w:val="0"/>
      <w:marTop w:val="0"/>
      <w:marBottom w:val="0"/>
      <w:divBdr>
        <w:top w:val="none" w:sz="0" w:space="0" w:color="auto"/>
        <w:left w:val="none" w:sz="0" w:space="0" w:color="auto"/>
        <w:bottom w:val="none" w:sz="0" w:space="0" w:color="auto"/>
        <w:right w:val="none" w:sz="0" w:space="0" w:color="auto"/>
      </w:divBdr>
    </w:div>
    <w:div w:id="1361274721">
      <w:bodyDiv w:val="1"/>
      <w:marLeft w:val="0"/>
      <w:marRight w:val="0"/>
      <w:marTop w:val="0"/>
      <w:marBottom w:val="0"/>
      <w:divBdr>
        <w:top w:val="none" w:sz="0" w:space="0" w:color="auto"/>
        <w:left w:val="none" w:sz="0" w:space="0" w:color="auto"/>
        <w:bottom w:val="none" w:sz="0" w:space="0" w:color="auto"/>
        <w:right w:val="none" w:sz="0" w:space="0" w:color="auto"/>
      </w:divBdr>
    </w:div>
    <w:div w:id="1361513263">
      <w:bodyDiv w:val="1"/>
      <w:marLeft w:val="0"/>
      <w:marRight w:val="0"/>
      <w:marTop w:val="0"/>
      <w:marBottom w:val="0"/>
      <w:divBdr>
        <w:top w:val="none" w:sz="0" w:space="0" w:color="auto"/>
        <w:left w:val="none" w:sz="0" w:space="0" w:color="auto"/>
        <w:bottom w:val="none" w:sz="0" w:space="0" w:color="auto"/>
        <w:right w:val="none" w:sz="0" w:space="0" w:color="auto"/>
      </w:divBdr>
    </w:div>
    <w:div w:id="1374816890">
      <w:bodyDiv w:val="1"/>
      <w:marLeft w:val="0"/>
      <w:marRight w:val="0"/>
      <w:marTop w:val="0"/>
      <w:marBottom w:val="0"/>
      <w:divBdr>
        <w:top w:val="none" w:sz="0" w:space="0" w:color="auto"/>
        <w:left w:val="none" w:sz="0" w:space="0" w:color="auto"/>
        <w:bottom w:val="none" w:sz="0" w:space="0" w:color="auto"/>
        <w:right w:val="none" w:sz="0" w:space="0" w:color="auto"/>
      </w:divBdr>
    </w:div>
    <w:div w:id="1376083113">
      <w:bodyDiv w:val="1"/>
      <w:marLeft w:val="0"/>
      <w:marRight w:val="0"/>
      <w:marTop w:val="0"/>
      <w:marBottom w:val="0"/>
      <w:divBdr>
        <w:top w:val="none" w:sz="0" w:space="0" w:color="auto"/>
        <w:left w:val="none" w:sz="0" w:space="0" w:color="auto"/>
        <w:bottom w:val="none" w:sz="0" w:space="0" w:color="auto"/>
        <w:right w:val="none" w:sz="0" w:space="0" w:color="auto"/>
      </w:divBdr>
    </w:div>
    <w:div w:id="1379863183">
      <w:bodyDiv w:val="1"/>
      <w:marLeft w:val="0"/>
      <w:marRight w:val="0"/>
      <w:marTop w:val="0"/>
      <w:marBottom w:val="0"/>
      <w:divBdr>
        <w:top w:val="none" w:sz="0" w:space="0" w:color="auto"/>
        <w:left w:val="none" w:sz="0" w:space="0" w:color="auto"/>
        <w:bottom w:val="none" w:sz="0" w:space="0" w:color="auto"/>
        <w:right w:val="none" w:sz="0" w:space="0" w:color="auto"/>
      </w:divBdr>
    </w:div>
    <w:div w:id="1380058041">
      <w:bodyDiv w:val="1"/>
      <w:marLeft w:val="0"/>
      <w:marRight w:val="0"/>
      <w:marTop w:val="0"/>
      <w:marBottom w:val="0"/>
      <w:divBdr>
        <w:top w:val="none" w:sz="0" w:space="0" w:color="auto"/>
        <w:left w:val="none" w:sz="0" w:space="0" w:color="auto"/>
        <w:bottom w:val="none" w:sz="0" w:space="0" w:color="auto"/>
        <w:right w:val="none" w:sz="0" w:space="0" w:color="auto"/>
      </w:divBdr>
    </w:div>
    <w:div w:id="1381173679">
      <w:bodyDiv w:val="1"/>
      <w:marLeft w:val="0"/>
      <w:marRight w:val="0"/>
      <w:marTop w:val="0"/>
      <w:marBottom w:val="0"/>
      <w:divBdr>
        <w:top w:val="none" w:sz="0" w:space="0" w:color="auto"/>
        <w:left w:val="none" w:sz="0" w:space="0" w:color="auto"/>
        <w:bottom w:val="none" w:sz="0" w:space="0" w:color="auto"/>
        <w:right w:val="none" w:sz="0" w:space="0" w:color="auto"/>
      </w:divBdr>
    </w:div>
    <w:div w:id="1382514497">
      <w:bodyDiv w:val="1"/>
      <w:marLeft w:val="0"/>
      <w:marRight w:val="0"/>
      <w:marTop w:val="0"/>
      <w:marBottom w:val="0"/>
      <w:divBdr>
        <w:top w:val="none" w:sz="0" w:space="0" w:color="auto"/>
        <w:left w:val="none" w:sz="0" w:space="0" w:color="auto"/>
        <w:bottom w:val="none" w:sz="0" w:space="0" w:color="auto"/>
        <w:right w:val="none" w:sz="0" w:space="0" w:color="auto"/>
      </w:divBdr>
    </w:div>
    <w:div w:id="1382704236">
      <w:bodyDiv w:val="1"/>
      <w:marLeft w:val="0"/>
      <w:marRight w:val="0"/>
      <w:marTop w:val="0"/>
      <w:marBottom w:val="0"/>
      <w:divBdr>
        <w:top w:val="none" w:sz="0" w:space="0" w:color="auto"/>
        <w:left w:val="none" w:sz="0" w:space="0" w:color="auto"/>
        <w:bottom w:val="none" w:sz="0" w:space="0" w:color="auto"/>
        <w:right w:val="none" w:sz="0" w:space="0" w:color="auto"/>
      </w:divBdr>
    </w:div>
    <w:div w:id="1383673807">
      <w:bodyDiv w:val="1"/>
      <w:marLeft w:val="0"/>
      <w:marRight w:val="0"/>
      <w:marTop w:val="0"/>
      <w:marBottom w:val="0"/>
      <w:divBdr>
        <w:top w:val="none" w:sz="0" w:space="0" w:color="auto"/>
        <w:left w:val="none" w:sz="0" w:space="0" w:color="auto"/>
        <w:bottom w:val="none" w:sz="0" w:space="0" w:color="auto"/>
        <w:right w:val="none" w:sz="0" w:space="0" w:color="auto"/>
      </w:divBdr>
    </w:div>
    <w:div w:id="1383746328">
      <w:bodyDiv w:val="1"/>
      <w:marLeft w:val="0"/>
      <w:marRight w:val="0"/>
      <w:marTop w:val="0"/>
      <w:marBottom w:val="0"/>
      <w:divBdr>
        <w:top w:val="none" w:sz="0" w:space="0" w:color="auto"/>
        <w:left w:val="none" w:sz="0" w:space="0" w:color="auto"/>
        <w:bottom w:val="none" w:sz="0" w:space="0" w:color="auto"/>
        <w:right w:val="none" w:sz="0" w:space="0" w:color="auto"/>
      </w:divBdr>
    </w:div>
    <w:div w:id="1402096848">
      <w:bodyDiv w:val="1"/>
      <w:marLeft w:val="0"/>
      <w:marRight w:val="0"/>
      <w:marTop w:val="0"/>
      <w:marBottom w:val="0"/>
      <w:divBdr>
        <w:top w:val="none" w:sz="0" w:space="0" w:color="auto"/>
        <w:left w:val="none" w:sz="0" w:space="0" w:color="auto"/>
        <w:bottom w:val="none" w:sz="0" w:space="0" w:color="auto"/>
        <w:right w:val="none" w:sz="0" w:space="0" w:color="auto"/>
      </w:divBdr>
    </w:div>
    <w:div w:id="1405182582">
      <w:bodyDiv w:val="1"/>
      <w:marLeft w:val="0"/>
      <w:marRight w:val="0"/>
      <w:marTop w:val="0"/>
      <w:marBottom w:val="0"/>
      <w:divBdr>
        <w:top w:val="none" w:sz="0" w:space="0" w:color="auto"/>
        <w:left w:val="none" w:sz="0" w:space="0" w:color="auto"/>
        <w:bottom w:val="none" w:sz="0" w:space="0" w:color="auto"/>
        <w:right w:val="none" w:sz="0" w:space="0" w:color="auto"/>
      </w:divBdr>
    </w:div>
    <w:div w:id="1406100616">
      <w:bodyDiv w:val="1"/>
      <w:marLeft w:val="0"/>
      <w:marRight w:val="0"/>
      <w:marTop w:val="0"/>
      <w:marBottom w:val="0"/>
      <w:divBdr>
        <w:top w:val="none" w:sz="0" w:space="0" w:color="auto"/>
        <w:left w:val="none" w:sz="0" w:space="0" w:color="auto"/>
        <w:bottom w:val="none" w:sz="0" w:space="0" w:color="auto"/>
        <w:right w:val="none" w:sz="0" w:space="0" w:color="auto"/>
      </w:divBdr>
    </w:div>
    <w:div w:id="1413158415">
      <w:bodyDiv w:val="1"/>
      <w:marLeft w:val="0"/>
      <w:marRight w:val="0"/>
      <w:marTop w:val="0"/>
      <w:marBottom w:val="0"/>
      <w:divBdr>
        <w:top w:val="none" w:sz="0" w:space="0" w:color="auto"/>
        <w:left w:val="none" w:sz="0" w:space="0" w:color="auto"/>
        <w:bottom w:val="none" w:sz="0" w:space="0" w:color="auto"/>
        <w:right w:val="none" w:sz="0" w:space="0" w:color="auto"/>
      </w:divBdr>
    </w:div>
    <w:div w:id="1417509900">
      <w:bodyDiv w:val="1"/>
      <w:marLeft w:val="0"/>
      <w:marRight w:val="0"/>
      <w:marTop w:val="0"/>
      <w:marBottom w:val="0"/>
      <w:divBdr>
        <w:top w:val="none" w:sz="0" w:space="0" w:color="auto"/>
        <w:left w:val="none" w:sz="0" w:space="0" w:color="auto"/>
        <w:bottom w:val="none" w:sz="0" w:space="0" w:color="auto"/>
        <w:right w:val="none" w:sz="0" w:space="0" w:color="auto"/>
      </w:divBdr>
    </w:div>
    <w:div w:id="1431661385">
      <w:bodyDiv w:val="1"/>
      <w:marLeft w:val="0"/>
      <w:marRight w:val="0"/>
      <w:marTop w:val="0"/>
      <w:marBottom w:val="0"/>
      <w:divBdr>
        <w:top w:val="none" w:sz="0" w:space="0" w:color="auto"/>
        <w:left w:val="none" w:sz="0" w:space="0" w:color="auto"/>
        <w:bottom w:val="none" w:sz="0" w:space="0" w:color="auto"/>
        <w:right w:val="none" w:sz="0" w:space="0" w:color="auto"/>
      </w:divBdr>
    </w:div>
    <w:div w:id="1437483846">
      <w:bodyDiv w:val="1"/>
      <w:marLeft w:val="0"/>
      <w:marRight w:val="0"/>
      <w:marTop w:val="0"/>
      <w:marBottom w:val="0"/>
      <w:divBdr>
        <w:top w:val="none" w:sz="0" w:space="0" w:color="auto"/>
        <w:left w:val="none" w:sz="0" w:space="0" w:color="auto"/>
        <w:bottom w:val="none" w:sz="0" w:space="0" w:color="auto"/>
        <w:right w:val="none" w:sz="0" w:space="0" w:color="auto"/>
      </w:divBdr>
    </w:div>
    <w:div w:id="1438482122">
      <w:bodyDiv w:val="1"/>
      <w:marLeft w:val="0"/>
      <w:marRight w:val="0"/>
      <w:marTop w:val="0"/>
      <w:marBottom w:val="0"/>
      <w:divBdr>
        <w:top w:val="none" w:sz="0" w:space="0" w:color="auto"/>
        <w:left w:val="none" w:sz="0" w:space="0" w:color="auto"/>
        <w:bottom w:val="none" w:sz="0" w:space="0" w:color="auto"/>
        <w:right w:val="none" w:sz="0" w:space="0" w:color="auto"/>
      </w:divBdr>
    </w:div>
    <w:div w:id="1442604374">
      <w:bodyDiv w:val="1"/>
      <w:marLeft w:val="0"/>
      <w:marRight w:val="0"/>
      <w:marTop w:val="0"/>
      <w:marBottom w:val="0"/>
      <w:divBdr>
        <w:top w:val="none" w:sz="0" w:space="0" w:color="auto"/>
        <w:left w:val="none" w:sz="0" w:space="0" w:color="auto"/>
        <w:bottom w:val="none" w:sz="0" w:space="0" w:color="auto"/>
        <w:right w:val="none" w:sz="0" w:space="0" w:color="auto"/>
      </w:divBdr>
    </w:div>
    <w:div w:id="1443694931">
      <w:bodyDiv w:val="1"/>
      <w:marLeft w:val="0"/>
      <w:marRight w:val="0"/>
      <w:marTop w:val="0"/>
      <w:marBottom w:val="0"/>
      <w:divBdr>
        <w:top w:val="none" w:sz="0" w:space="0" w:color="auto"/>
        <w:left w:val="none" w:sz="0" w:space="0" w:color="auto"/>
        <w:bottom w:val="none" w:sz="0" w:space="0" w:color="auto"/>
        <w:right w:val="none" w:sz="0" w:space="0" w:color="auto"/>
      </w:divBdr>
    </w:div>
    <w:div w:id="1457600317">
      <w:bodyDiv w:val="1"/>
      <w:marLeft w:val="0"/>
      <w:marRight w:val="0"/>
      <w:marTop w:val="0"/>
      <w:marBottom w:val="0"/>
      <w:divBdr>
        <w:top w:val="none" w:sz="0" w:space="0" w:color="auto"/>
        <w:left w:val="none" w:sz="0" w:space="0" w:color="auto"/>
        <w:bottom w:val="none" w:sz="0" w:space="0" w:color="auto"/>
        <w:right w:val="none" w:sz="0" w:space="0" w:color="auto"/>
      </w:divBdr>
    </w:div>
    <w:div w:id="1467971143">
      <w:bodyDiv w:val="1"/>
      <w:marLeft w:val="0"/>
      <w:marRight w:val="0"/>
      <w:marTop w:val="0"/>
      <w:marBottom w:val="0"/>
      <w:divBdr>
        <w:top w:val="none" w:sz="0" w:space="0" w:color="auto"/>
        <w:left w:val="none" w:sz="0" w:space="0" w:color="auto"/>
        <w:bottom w:val="none" w:sz="0" w:space="0" w:color="auto"/>
        <w:right w:val="none" w:sz="0" w:space="0" w:color="auto"/>
      </w:divBdr>
    </w:div>
    <w:div w:id="1471364389">
      <w:bodyDiv w:val="1"/>
      <w:marLeft w:val="0"/>
      <w:marRight w:val="0"/>
      <w:marTop w:val="0"/>
      <w:marBottom w:val="0"/>
      <w:divBdr>
        <w:top w:val="none" w:sz="0" w:space="0" w:color="auto"/>
        <w:left w:val="none" w:sz="0" w:space="0" w:color="auto"/>
        <w:bottom w:val="none" w:sz="0" w:space="0" w:color="auto"/>
        <w:right w:val="none" w:sz="0" w:space="0" w:color="auto"/>
      </w:divBdr>
    </w:div>
    <w:div w:id="1472166293">
      <w:bodyDiv w:val="1"/>
      <w:marLeft w:val="0"/>
      <w:marRight w:val="0"/>
      <w:marTop w:val="0"/>
      <w:marBottom w:val="0"/>
      <w:divBdr>
        <w:top w:val="none" w:sz="0" w:space="0" w:color="auto"/>
        <w:left w:val="none" w:sz="0" w:space="0" w:color="auto"/>
        <w:bottom w:val="none" w:sz="0" w:space="0" w:color="auto"/>
        <w:right w:val="none" w:sz="0" w:space="0" w:color="auto"/>
      </w:divBdr>
    </w:div>
    <w:div w:id="1473400182">
      <w:bodyDiv w:val="1"/>
      <w:marLeft w:val="0"/>
      <w:marRight w:val="0"/>
      <w:marTop w:val="0"/>
      <w:marBottom w:val="0"/>
      <w:divBdr>
        <w:top w:val="none" w:sz="0" w:space="0" w:color="auto"/>
        <w:left w:val="none" w:sz="0" w:space="0" w:color="auto"/>
        <w:bottom w:val="none" w:sz="0" w:space="0" w:color="auto"/>
        <w:right w:val="none" w:sz="0" w:space="0" w:color="auto"/>
      </w:divBdr>
    </w:div>
    <w:div w:id="1473983604">
      <w:bodyDiv w:val="1"/>
      <w:marLeft w:val="0"/>
      <w:marRight w:val="0"/>
      <w:marTop w:val="0"/>
      <w:marBottom w:val="0"/>
      <w:divBdr>
        <w:top w:val="none" w:sz="0" w:space="0" w:color="auto"/>
        <w:left w:val="none" w:sz="0" w:space="0" w:color="auto"/>
        <w:bottom w:val="none" w:sz="0" w:space="0" w:color="auto"/>
        <w:right w:val="none" w:sz="0" w:space="0" w:color="auto"/>
      </w:divBdr>
    </w:div>
    <w:div w:id="1474516585">
      <w:bodyDiv w:val="1"/>
      <w:marLeft w:val="0"/>
      <w:marRight w:val="0"/>
      <w:marTop w:val="0"/>
      <w:marBottom w:val="0"/>
      <w:divBdr>
        <w:top w:val="none" w:sz="0" w:space="0" w:color="auto"/>
        <w:left w:val="none" w:sz="0" w:space="0" w:color="auto"/>
        <w:bottom w:val="none" w:sz="0" w:space="0" w:color="auto"/>
        <w:right w:val="none" w:sz="0" w:space="0" w:color="auto"/>
      </w:divBdr>
    </w:div>
    <w:div w:id="1477065231">
      <w:bodyDiv w:val="1"/>
      <w:marLeft w:val="0"/>
      <w:marRight w:val="0"/>
      <w:marTop w:val="0"/>
      <w:marBottom w:val="0"/>
      <w:divBdr>
        <w:top w:val="none" w:sz="0" w:space="0" w:color="auto"/>
        <w:left w:val="none" w:sz="0" w:space="0" w:color="auto"/>
        <w:bottom w:val="none" w:sz="0" w:space="0" w:color="auto"/>
        <w:right w:val="none" w:sz="0" w:space="0" w:color="auto"/>
      </w:divBdr>
    </w:div>
    <w:div w:id="1482653077">
      <w:bodyDiv w:val="1"/>
      <w:marLeft w:val="0"/>
      <w:marRight w:val="0"/>
      <w:marTop w:val="0"/>
      <w:marBottom w:val="0"/>
      <w:divBdr>
        <w:top w:val="none" w:sz="0" w:space="0" w:color="auto"/>
        <w:left w:val="none" w:sz="0" w:space="0" w:color="auto"/>
        <w:bottom w:val="none" w:sz="0" w:space="0" w:color="auto"/>
        <w:right w:val="none" w:sz="0" w:space="0" w:color="auto"/>
      </w:divBdr>
    </w:div>
    <w:div w:id="1484420641">
      <w:bodyDiv w:val="1"/>
      <w:marLeft w:val="0"/>
      <w:marRight w:val="0"/>
      <w:marTop w:val="0"/>
      <w:marBottom w:val="0"/>
      <w:divBdr>
        <w:top w:val="none" w:sz="0" w:space="0" w:color="auto"/>
        <w:left w:val="none" w:sz="0" w:space="0" w:color="auto"/>
        <w:bottom w:val="none" w:sz="0" w:space="0" w:color="auto"/>
        <w:right w:val="none" w:sz="0" w:space="0" w:color="auto"/>
      </w:divBdr>
    </w:div>
    <w:div w:id="1485513784">
      <w:bodyDiv w:val="1"/>
      <w:marLeft w:val="0"/>
      <w:marRight w:val="0"/>
      <w:marTop w:val="0"/>
      <w:marBottom w:val="0"/>
      <w:divBdr>
        <w:top w:val="none" w:sz="0" w:space="0" w:color="auto"/>
        <w:left w:val="none" w:sz="0" w:space="0" w:color="auto"/>
        <w:bottom w:val="none" w:sz="0" w:space="0" w:color="auto"/>
        <w:right w:val="none" w:sz="0" w:space="0" w:color="auto"/>
      </w:divBdr>
    </w:div>
    <w:div w:id="1491828624">
      <w:bodyDiv w:val="1"/>
      <w:marLeft w:val="0"/>
      <w:marRight w:val="0"/>
      <w:marTop w:val="0"/>
      <w:marBottom w:val="0"/>
      <w:divBdr>
        <w:top w:val="none" w:sz="0" w:space="0" w:color="auto"/>
        <w:left w:val="none" w:sz="0" w:space="0" w:color="auto"/>
        <w:bottom w:val="none" w:sz="0" w:space="0" w:color="auto"/>
        <w:right w:val="none" w:sz="0" w:space="0" w:color="auto"/>
      </w:divBdr>
    </w:div>
    <w:div w:id="1494375958">
      <w:bodyDiv w:val="1"/>
      <w:marLeft w:val="0"/>
      <w:marRight w:val="0"/>
      <w:marTop w:val="0"/>
      <w:marBottom w:val="0"/>
      <w:divBdr>
        <w:top w:val="none" w:sz="0" w:space="0" w:color="auto"/>
        <w:left w:val="none" w:sz="0" w:space="0" w:color="auto"/>
        <w:bottom w:val="none" w:sz="0" w:space="0" w:color="auto"/>
        <w:right w:val="none" w:sz="0" w:space="0" w:color="auto"/>
      </w:divBdr>
    </w:div>
    <w:div w:id="1499151968">
      <w:bodyDiv w:val="1"/>
      <w:marLeft w:val="0"/>
      <w:marRight w:val="0"/>
      <w:marTop w:val="0"/>
      <w:marBottom w:val="0"/>
      <w:divBdr>
        <w:top w:val="none" w:sz="0" w:space="0" w:color="auto"/>
        <w:left w:val="none" w:sz="0" w:space="0" w:color="auto"/>
        <w:bottom w:val="none" w:sz="0" w:space="0" w:color="auto"/>
        <w:right w:val="none" w:sz="0" w:space="0" w:color="auto"/>
      </w:divBdr>
    </w:div>
    <w:div w:id="1503277725">
      <w:bodyDiv w:val="1"/>
      <w:marLeft w:val="0"/>
      <w:marRight w:val="0"/>
      <w:marTop w:val="0"/>
      <w:marBottom w:val="0"/>
      <w:divBdr>
        <w:top w:val="none" w:sz="0" w:space="0" w:color="auto"/>
        <w:left w:val="none" w:sz="0" w:space="0" w:color="auto"/>
        <w:bottom w:val="none" w:sz="0" w:space="0" w:color="auto"/>
        <w:right w:val="none" w:sz="0" w:space="0" w:color="auto"/>
      </w:divBdr>
    </w:div>
    <w:div w:id="1506893250">
      <w:bodyDiv w:val="1"/>
      <w:marLeft w:val="0"/>
      <w:marRight w:val="0"/>
      <w:marTop w:val="0"/>
      <w:marBottom w:val="0"/>
      <w:divBdr>
        <w:top w:val="none" w:sz="0" w:space="0" w:color="auto"/>
        <w:left w:val="none" w:sz="0" w:space="0" w:color="auto"/>
        <w:bottom w:val="none" w:sz="0" w:space="0" w:color="auto"/>
        <w:right w:val="none" w:sz="0" w:space="0" w:color="auto"/>
      </w:divBdr>
    </w:div>
    <w:div w:id="1514958574">
      <w:bodyDiv w:val="1"/>
      <w:marLeft w:val="0"/>
      <w:marRight w:val="0"/>
      <w:marTop w:val="0"/>
      <w:marBottom w:val="0"/>
      <w:divBdr>
        <w:top w:val="none" w:sz="0" w:space="0" w:color="auto"/>
        <w:left w:val="none" w:sz="0" w:space="0" w:color="auto"/>
        <w:bottom w:val="none" w:sz="0" w:space="0" w:color="auto"/>
        <w:right w:val="none" w:sz="0" w:space="0" w:color="auto"/>
      </w:divBdr>
    </w:div>
    <w:div w:id="1516962430">
      <w:bodyDiv w:val="1"/>
      <w:marLeft w:val="0"/>
      <w:marRight w:val="0"/>
      <w:marTop w:val="0"/>
      <w:marBottom w:val="0"/>
      <w:divBdr>
        <w:top w:val="none" w:sz="0" w:space="0" w:color="auto"/>
        <w:left w:val="none" w:sz="0" w:space="0" w:color="auto"/>
        <w:bottom w:val="none" w:sz="0" w:space="0" w:color="auto"/>
        <w:right w:val="none" w:sz="0" w:space="0" w:color="auto"/>
      </w:divBdr>
    </w:div>
    <w:div w:id="1527519434">
      <w:bodyDiv w:val="1"/>
      <w:marLeft w:val="0"/>
      <w:marRight w:val="0"/>
      <w:marTop w:val="0"/>
      <w:marBottom w:val="0"/>
      <w:divBdr>
        <w:top w:val="none" w:sz="0" w:space="0" w:color="auto"/>
        <w:left w:val="none" w:sz="0" w:space="0" w:color="auto"/>
        <w:bottom w:val="none" w:sz="0" w:space="0" w:color="auto"/>
        <w:right w:val="none" w:sz="0" w:space="0" w:color="auto"/>
      </w:divBdr>
    </w:div>
    <w:div w:id="1537424155">
      <w:bodyDiv w:val="1"/>
      <w:marLeft w:val="0"/>
      <w:marRight w:val="0"/>
      <w:marTop w:val="0"/>
      <w:marBottom w:val="0"/>
      <w:divBdr>
        <w:top w:val="none" w:sz="0" w:space="0" w:color="auto"/>
        <w:left w:val="none" w:sz="0" w:space="0" w:color="auto"/>
        <w:bottom w:val="none" w:sz="0" w:space="0" w:color="auto"/>
        <w:right w:val="none" w:sz="0" w:space="0" w:color="auto"/>
      </w:divBdr>
    </w:div>
    <w:div w:id="1540706584">
      <w:bodyDiv w:val="1"/>
      <w:marLeft w:val="0"/>
      <w:marRight w:val="0"/>
      <w:marTop w:val="0"/>
      <w:marBottom w:val="0"/>
      <w:divBdr>
        <w:top w:val="none" w:sz="0" w:space="0" w:color="auto"/>
        <w:left w:val="none" w:sz="0" w:space="0" w:color="auto"/>
        <w:bottom w:val="none" w:sz="0" w:space="0" w:color="auto"/>
        <w:right w:val="none" w:sz="0" w:space="0" w:color="auto"/>
      </w:divBdr>
    </w:div>
    <w:div w:id="1541164593">
      <w:bodyDiv w:val="1"/>
      <w:marLeft w:val="0"/>
      <w:marRight w:val="0"/>
      <w:marTop w:val="0"/>
      <w:marBottom w:val="0"/>
      <w:divBdr>
        <w:top w:val="none" w:sz="0" w:space="0" w:color="auto"/>
        <w:left w:val="none" w:sz="0" w:space="0" w:color="auto"/>
        <w:bottom w:val="none" w:sz="0" w:space="0" w:color="auto"/>
        <w:right w:val="none" w:sz="0" w:space="0" w:color="auto"/>
      </w:divBdr>
    </w:div>
    <w:div w:id="1547646027">
      <w:bodyDiv w:val="1"/>
      <w:marLeft w:val="0"/>
      <w:marRight w:val="0"/>
      <w:marTop w:val="0"/>
      <w:marBottom w:val="0"/>
      <w:divBdr>
        <w:top w:val="none" w:sz="0" w:space="0" w:color="auto"/>
        <w:left w:val="none" w:sz="0" w:space="0" w:color="auto"/>
        <w:bottom w:val="none" w:sz="0" w:space="0" w:color="auto"/>
        <w:right w:val="none" w:sz="0" w:space="0" w:color="auto"/>
      </w:divBdr>
    </w:div>
    <w:div w:id="1568681860">
      <w:bodyDiv w:val="1"/>
      <w:marLeft w:val="0"/>
      <w:marRight w:val="0"/>
      <w:marTop w:val="0"/>
      <w:marBottom w:val="0"/>
      <w:divBdr>
        <w:top w:val="none" w:sz="0" w:space="0" w:color="auto"/>
        <w:left w:val="none" w:sz="0" w:space="0" w:color="auto"/>
        <w:bottom w:val="none" w:sz="0" w:space="0" w:color="auto"/>
        <w:right w:val="none" w:sz="0" w:space="0" w:color="auto"/>
      </w:divBdr>
    </w:div>
    <w:div w:id="1570462173">
      <w:bodyDiv w:val="1"/>
      <w:marLeft w:val="0"/>
      <w:marRight w:val="0"/>
      <w:marTop w:val="0"/>
      <w:marBottom w:val="0"/>
      <w:divBdr>
        <w:top w:val="none" w:sz="0" w:space="0" w:color="auto"/>
        <w:left w:val="none" w:sz="0" w:space="0" w:color="auto"/>
        <w:bottom w:val="none" w:sz="0" w:space="0" w:color="auto"/>
        <w:right w:val="none" w:sz="0" w:space="0" w:color="auto"/>
      </w:divBdr>
    </w:div>
    <w:div w:id="1583490457">
      <w:bodyDiv w:val="1"/>
      <w:marLeft w:val="0"/>
      <w:marRight w:val="0"/>
      <w:marTop w:val="0"/>
      <w:marBottom w:val="0"/>
      <w:divBdr>
        <w:top w:val="none" w:sz="0" w:space="0" w:color="auto"/>
        <w:left w:val="none" w:sz="0" w:space="0" w:color="auto"/>
        <w:bottom w:val="none" w:sz="0" w:space="0" w:color="auto"/>
        <w:right w:val="none" w:sz="0" w:space="0" w:color="auto"/>
      </w:divBdr>
    </w:div>
    <w:div w:id="1583643028">
      <w:bodyDiv w:val="1"/>
      <w:marLeft w:val="0"/>
      <w:marRight w:val="0"/>
      <w:marTop w:val="0"/>
      <w:marBottom w:val="0"/>
      <w:divBdr>
        <w:top w:val="none" w:sz="0" w:space="0" w:color="auto"/>
        <w:left w:val="none" w:sz="0" w:space="0" w:color="auto"/>
        <w:bottom w:val="none" w:sz="0" w:space="0" w:color="auto"/>
        <w:right w:val="none" w:sz="0" w:space="0" w:color="auto"/>
      </w:divBdr>
    </w:div>
    <w:div w:id="1584559734">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589192289">
      <w:bodyDiv w:val="1"/>
      <w:marLeft w:val="0"/>
      <w:marRight w:val="0"/>
      <w:marTop w:val="0"/>
      <w:marBottom w:val="0"/>
      <w:divBdr>
        <w:top w:val="none" w:sz="0" w:space="0" w:color="auto"/>
        <w:left w:val="none" w:sz="0" w:space="0" w:color="auto"/>
        <w:bottom w:val="none" w:sz="0" w:space="0" w:color="auto"/>
        <w:right w:val="none" w:sz="0" w:space="0" w:color="auto"/>
      </w:divBdr>
    </w:div>
    <w:div w:id="1593735648">
      <w:bodyDiv w:val="1"/>
      <w:marLeft w:val="0"/>
      <w:marRight w:val="0"/>
      <w:marTop w:val="0"/>
      <w:marBottom w:val="0"/>
      <w:divBdr>
        <w:top w:val="none" w:sz="0" w:space="0" w:color="auto"/>
        <w:left w:val="none" w:sz="0" w:space="0" w:color="auto"/>
        <w:bottom w:val="none" w:sz="0" w:space="0" w:color="auto"/>
        <w:right w:val="none" w:sz="0" w:space="0" w:color="auto"/>
      </w:divBdr>
    </w:div>
    <w:div w:id="1600025468">
      <w:bodyDiv w:val="1"/>
      <w:marLeft w:val="0"/>
      <w:marRight w:val="0"/>
      <w:marTop w:val="0"/>
      <w:marBottom w:val="0"/>
      <w:divBdr>
        <w:top w:val="none" w:sz="0" w:space="0" w:color="auto"/>
        <w:left w:val="none" w:sz="0" w:space="0" w:color="auto"/>
        <w:bottom w:val="none" w:sz="0" w:space="0" w:color="auto"/>
        <w:right w:val="none" w:sz="0" w:space="0" w:color="auto"/>
      </w:divBdr>
    </w:div>
    <w:div w:id="1606959018">
      <w:bodyDiv w:val="1"/>
      <w:marLeft w:val="0"/>
      <w:marRight w:val="0"/>
      <w:marTop w:val="0"/>
      <w:marBottom w:val="0"/>
      <w:divBdr>
        <w:top w:val="none" w:sz="0" w:space="0" w:color="auto"/>
        <w:left w:val="none" w:sz="0" w:space="0" w:color="auto"/>
        <w:bottom w:val="none" w:sz="0" w:space="0" w:color="auto"/>
        <w:right w:val="none" w:sz="0" w:space="0" w:color="auto"/>
      </w:divBdr>
    </w:div>
    <w:div w:id="1614509777">
      <w:bodyDiv w:val="1"/>
      <w:marLeft w:val="0"/>
      <w:marRight w:val="0"/>
      <w:marTop w:val="0"/>
      <w:marBottom w:val="0"/>
      <w:divBdr>
        <w:top w:val="none" w:sz="0" w:space="0" w:color="auto"/>
        <w:left w:val="none" w:sz="0" w:space="0" w:color="auto"/>
        <w:bottom w:val="none" w:sz="0" w:space="0" w:color="auto"/>
        <w:right w:val="none" w:sz="0" w:space="0" w:color="auto"/>
      </w:divBdr>
    </w:div>
    <w:div w:id="1615940073">
      <w:bodyDiv w:val="1"/>
      <w:marLeft w:val="0"/>
      <w:marRight w:val="0"/>
      <w:marTop w:val="0"/>
      <w:marBottom w:val="0"/>
      <w:divBdr>
        <w:top w:val="none" w:sz="0" w:space="0" w:color="auto"/>
        <w:left w:val="none" w:sz="0" w:space="0" w:color="auto"/>
        <w:bottom w:val="none" w:sz="0" w:space="0" w:color="auto"/>
        <w:right w:val="none" w:sz="0" w:space="0" w:color="auto"/>
      </w:divBdr>
    </w:div>
    <w:div w:id="1623876451">
      <w:bodyDiv w:val="1"/>
      <w:marLeft w:val="0"/>
      <w:marRight w:val="0"/>
      <w:marTop w:val="0"/>
      <w:marBottom w:val="0"/>
      <w:divBdr>
        <w:top w:val="none" w:sz="0" w:space="0" w:color="auto"/>
        <w:left w:val="none" w:sz="0" w:space="0" w:color="auto"/>
        <w:bottom w:val="none" w:sz="0" w:space="0" w:color="auto"/>
        <w:right w:val="none" w:sz="0" w:space="0" w:color="auto"/>
      </w:divBdr>
    </w:div>
    <w:div w:id="1635869239">
      <w:bodyDiv w:val="1"/>
      <w:marLeft w:val="0"/>
      <w:marRight w:val="0"/>
      <w:marTop w:val="0"/>
      <w:marBottom w:val="0"/>
      <w:divBdr>
        <w:top w:val="none" w:sz="0" w:space="0" w:color="auto"/>
        <w:left w:val="none" w:sz="0" w:space="0" w:color="auto"/>
        <w:bottom w:val="none" w:sz="0" w:space="0" w:color="auto"/>
        <w:right w:val="none" w:sz="0" w:space="0" w:color="auto"/>
      </w:divBdr>
    </w:div>
    <w:div w:id="1646467774">
      <w:bodyDiv w:val="1"/>
      <w:marLeft w:val="0"/>
      <w:marRight w:val="0"/>
      <w:marTop w:val="0"/>
      <w:marBottom w:val="0"/>
      <w:divBdr>
        <w:top w:val="none" w:sz="0" w:space="0" w:color="auto"/>
        <w:left w:val="none" w:sz="0" w:space="0" w:color="auto"/>
        <w:bottom w:val="none" w:sz="0" w:space="0" w:color="auto"/>
        <w:right w:val="none" w:sz="0" w:space="0" w:color="auto"/>
      </w:divBdr>
    </w:div>
    <w:div w:id="1646472302">
      <w:bodyDiv w:val="1"/>
      <w:marLeft w:val="0"/>
      <w:marRight w:val="0"/>
      <w:marTop w:val="0"/>
      <w:marBottom w:val="0"/>
      <w:divBdr>
        <w:top w:val="none" w:sz="0" w:space="0" w:color="auto"/>
        <w:left w:val="none" w:sz="0" w:space="0" w:color="auto"/>
        <w:bottom w:val="none" w:sz="0" w:space="0" w:color="auto"/>
        <w:right w:val="none" w:sz="0" w:space="0" w:color="auto"/>
      </w:divBdr>
    </w:div>
    <w:div w:id="1648708722">
      <w:bodyDiv w:val="1"/>
      <w:marLeft w:val="0"/>
      <w:marRight w:val="0"/>
      <w:marTop w:val="0"/>
      <w:marBottom w:val="0"/>
      <w:divBdr>
        <w:top w:val="none" w:sz="0" w:space="0" w:color="auto"/>
        <w:left w:val="none" w:sz="0" w:space="0" w:color="auto"/>
        <w:bottom w:val="none" w:sz="0" w:space="0" w:color="auto"/>
        <w:right w:val="none" w:sz="0" w:space="0" w:color="auto"/>
      </w:divBdr>
    </w:div>
    <w:div w:id="1653171042">
      <w:bodyDiv w:val="1"/>
      <w:marLeft w:val="0"/>
      <w:marRight w:val="0"/>
      <w:marTop w:val="0"/>
      <w:marBottom w:val="0"/>
      <w:divBdr>
        <w:top w:val="none" w:sz="0" w:space="0" w:color="auto"/>
        <w:left w:val="none" w:sz="0" w:space="0" w:color="auto"/>
        <w:bottom w:val="none" w:sz="0" w:space="0" w:color="auto"/>
        <w:right w:val="none" w:sz="0" w:space="0" w:color="auto"/>
      </w:divBdr>
    </w:div>
    <w:div w:id="1656370748">
      <w:bodyDiv w:val="1"/>
      <w:marLeft w:val="0"/>
      <w:marRight w:val="0"/>
      <w:marTop w:val="0"/>
      <w:marBottom w:val="0"/>
      <w:divBdr>
        <w:top w:val="none" w:sz="0" w:space="0" w:color="auto"/>
        <w:left w:val="none" w:sz="0" w:space="0" w:color="auto"/>
        <w:bottom w:val="none" w:sz="0" w:space="0" w:color="auto"/>
        <w:right w:val="none" w:sz="0" w:space="0" w:color="auto"/>
      </w:divBdr>
    </w:div>
    <w:div w:id="1662199198">
      <w:bodyDiv w:val="1"/>
      <w:marLeft w:val="0"/>
      <w:marRight w:val="0"/>
      <w:marTop w:val="0"/>
      <w:marBottom w:val="0"/>
      <w:divBdr>
        <w:top w:val="none" w:sz="0" w:space="0" w:color="auto"/>
        <w:left w:val="none" w:sz="0" w:space="0" w:color="auto"/>
        <w:bottom w:val="none" w:sz="0" w:space="0" w:color="auto"/>
        <w:right w:val="none" w:sz="0" w:space="0" w:color="auto"/>
      </w:divBdr>
    </w:div>
    <w:div w:id="1662926418">
      <w:bodyDiv w:val="1"/>
      <w:marLeft w:val="0"/>
      <w:marRight w:val="0"/>
      <w:marTop w:val="0"/>
      <w:marBottom w:val="0"/>
      <w:divBdr>
        <w:top w:val="none" w:sz="0" w:space="0" w:color="auto"/>
        <w:left w:val="none" w:sz="0" w:space="0" w:color="auto"/>
        <w:bottom w:val="none" w:sz="0" w:space="0" w:color="auto"/>
        <w:right w:val="none" w:sz="0" w:space="0" w:color="auto"/>
      </w:divBdr>
    </w:div>
    <w:div w:id="1670517624">
      <w:bodyDiv w:val="1"/>
      <w:marLeft w:val="0"/>
      <w:marRight w:val="0"/>
      <w:marTop w:val="0"/>
      <w:marBottom w:val="0"/>
      <w:divBdr>
        <w:top w:val="none" w:sz="0" w:space="0" w:color="auto"/>
        <w:left w:val="none" w:sz="0" w:space="0" w:color="auto"/>
        <w:bottom w:val="none" w:sz="0" w:space="0" w:color="auto"/>
        <w:right w:val="none" w:sz="0" w:space="0" w:color="auto"/>
      </w:divBdr>
    </w:div>
    <w:div w:id="1691836631">
      <w:bodyDiv w:val="1"/>
      <w:marLeft w:val="0"/>
      <w:marRight w:val="0"/>
      <w:marTop w:val="0"/>
      <w:marBottom w:val="0"/>
      <w:divBdr>
        <w:top w:val="none" w:sz="0" w:space="0" w:color="auto"/>
        <w:left w:val="none" w:sz="0" w:space="0" w:color="auto"/>
        <w:bottom w:val="none" w:sz="0" w:space="0" w:color="auto"/>
        <w:right w:val="none" w:sz="0" w:space="0" w:color="auto"/>
      </w:divBdr>
    </w:div>
    <w:div w:id="1692411914">
      <w:bodyDiv w:val="1"/>
      <w:marLeft w:val="0"/>
      <w:marRight w:val="0"/>
      <w:marTop w:val="0"/>
      <w:marBottom w:val="0"/>
      <w:divBdr>
        <w:top w:val="none" w:sz="0" w:space="0" w:color="auto"/>
        <w:left w:val="none" w:sz="0" w:space="0" w:color="auto"/>
        <w:bottom w:val="none" w:sz="0" w:space="0" w:color="auto"/>
        <w:right w:val="none" w:sz="0" w:space="0" w:color="auto"/>
      </w:divBdr>
    </w:div>
    <w:div w:id="1708138645">
      <w:bodyDiv w:val="1"/>
      <w:marLeft w:val="0"/>
      <w:marRight w:val="0"/>
      <w:marTop w:val="0"/>
      <w:marBottom w:val="0"/>
      <w:divBdr>
        <w:top w:val="none" w:sz="0" w:space="0" w:color="auto"/>
        <w:left w:val="none" w:sz="0" w:space="0" w:color="auto"/>
        <w:bottom w:val="none" w:sz="0" w:space="0" w:color="auto"/>
        <w:right w:val="none" w:sz="0" w:space="0" w:color="auto"/>
      </w:divBdr>
    </w:div>
    <w:div w:id="1708676892">
      <w:bodyDiv w:val="1"/>
      <w:marLeft w:val="0"/>
      <w:marRight w:val="0"/>
      <w:marTop w:val="0"/>
      <w:marBottom w:val="0"/>
      <w:divBdr>
        <w:top w:val="none" w:sz="0" w:space="0" w:color="auto"/>
        <w:left w:val="none" w:sz="0" w:space="0" w:color="auto"/>
        <w:bottom w:val="none" w:sz="0" w:space="0" w:color="auto"/>
        <w:right w:val="none" w:sz="0" w:space="0" w:color="auto"/>
      </w:divBdr>
    </w:div>
    <w:div w:id="1710032200">
      <w:bodyDiv w:val="1"/>
      <w:marLeft w:val="0"/>
      <w:marRight w:val="0"/>
      <w:marTop w:val="0"/>
      <w:marBottom w:val="0"/>
      <w:divBdr>
        <w:top w:val="none" w:sz="0" w:space="0" w:color="auto"/>
        <w:left w:val="none" w:sz="0" w:space="0" w:color="auto"/>
        <w:bottom w:val="none" w:sz="0" w:space="0" w:color="auto"/>
        <w:right w:val="none" w:sz="0" w:space="0" w:color="auto"/>
      </w:divBdr>
    </w:div>
    <w:div w:id="1711761208">
      <w:bodyDiv w:val="1"/>
      <w:marLeft w:val="0"/>
      <w:marRight w:val="0"/>
      <w:marTop w:val="0"/>
      <w:marBottom w:val="0"/>
      <w:divBdr>
        <w:top w:val="none" w:sz="0" w:space="0" w:color="auto"/>
        <w:left w:val="none" w:sz="0" w:space="0" w:color="auto"/>
        <w:bottom w:val="none" w:sz="0" w:space="0" w:color="auto"/>
        <w:right w:val="none" w:sz="0" w:space="0" w:color="auto"/>
      </w:divBdr>
    </w:div>
    <w:div w:id="1711875755">
      <w:bodyDiv w:val="1"/>
      <w:marLeft w:val="0"/>
      <w:marRight w:val="0"/>
      <w:marTop w:val="0"/>
      <w:marBottom w:val="0"/>
      <w:divBdr>
        <w:top w:val="none" w:sz="0" w:space="0" w:color="auto"/>
        <w:left w:val="none" w:sz="0" w:space="0" w:color="auto"/>
        <w:bottom w:val="none" w:sz="0" w:space="0" w:color="auto"/>
        <w:right w:val="none" w:sz="0" w:space="0" w:color="auto"/>
      </w:divBdr>
    </w:div>
    <w:div w:id="1715344180">
      <w:bodyDiv w:val="1"/>
      <w:marLeft w:val="0"/>
      <w:marRight w:val="0"/>
      <w:marTop w:val="0"/>
      <w:marBottom w:val="0"/>
      <w:divBdr>
        <w:top w:val="none" w:sz="0" w:space="0" w:color="auto"/>
        <w:left w:val="none" w:sz="0" w:space="0" w:color="auto"/>
        <w:bottom w:val="none" w:sz="0" w:space="0" w:color="auto"/>
        <w:right w:val="none" w:sz="0" w:space="0" w:color="auto"/>
      </w:divBdr>
    </w:div>
    <w:div w:id="1719818888">
      <w:bodyDiv w:val="1"/>
      <w:marLeft w:val="0"/>
      <w:marRight w:val="0"/>
      <w:marTop w:val="0"/>
      <w:marBottom w:val="0"/>
      <w:divBdr>
        <w:top w:val="none" w:sz="0" w:space="0" w:color="auto"/>
        <w:left w:val="none" w:sz="0" w:space="0" w:color="auto"/>
        <w:bottom w:val="none" w:sz="0" w:space="0" w:color="auto"/>
        <w:right w:val="none" w:sz="0" w:space="0" w:color="auto"/>
      </w:divBdr>
    </w:div>
    <w:div w:id="1722168220">
      <w:bodyDiv w:val="1"/>
      <w:marLeft w:val="0"/>
      <w:marRight w:val="0"/>
      <w:marTop w:val="0"/>
      <w:marBottom w:val="0"/>
      <w:divBdr>
        <w:top w:val="none" w:sz="0" w:space="0" w:color="auto"/>
        <w:left w:val="none" w:sz="0" w:space="0" w:color="auto"/>
        <w:bottom w:val="none" w:sz="0" w:space="0" w:color="auto"/>
        <w:right w:val="none" w:sz="0" w:space="0" w:color="auto"/>
      </w:divBdr>
    </w:div>
    <w:div w:id="1727600909">
      <w:bodyDiv w:val="1"/>
      <w:marLeft w:val="0"/>
      <w:marRight w:val="0"/>
      <w:marTop w:val="0"/>
      <w:marBottom w:val="0"/>
      <w:divBdr>
        <w:top w:val="none" w:sz="0" w:space="0" w:color="auto"/>
        <w:left w:val="none" w:sz="0" w:space="0" w:color="auto"/>
        <w:bottom w:val="none" w:sz="0" w:space="0" w:color="auto"/>
        <w:right w:val="none" w:sz="0" w:space="0" w:color="auto"/>
      </w:divBdr>
    </w:div>
    <w:div w:id="1732003611">
      <w:bodyDiv w:val="1"/>
      <w:marLeft w:val="0"/>
      <w:marRight w:val="0"/>
      <w:marTop w:val="0"/>
      <w:marBottom w:val="0"/>
      <w:divBdr>
        <w:top w:val="none" w:sz="0" w:space="0" w:color="auto"/>
        <w:left w:val="none" w:sz="0" w:space="0" w:color="auto"/>
        <w:bottom w:val="none" w:sz="0" w:space="0" w:color="auto"/>
        <w:right w:val="none" w:sz="0" w:space="0" w:color="auto"/>
      </w:divBdr>
    </w:div>
    <w:div w:id="1738278990">
      <w:bodyDiv w:val="1"/>
      <w:marLeft w:val="0"/>
      <w:marRight w:val="0"/>
      <w:marTop w:val="0"/>
      <w:marBottom w:val="0"/>
      <w:divBdr>
        <w:top w:val="none" w:sz="0" w:space="0" w:color="auto"/>
        <w:left w:val="none" w:sz="0" w:space="0" w:color="auto"/>
        <w:bottom w:val="none" w:sz="0" w:space="0" w:color="auto"/>
        <w:right w:val="none" w:sz="0" w:space="0" w:color="auto"/>
      </w:divBdr>
    </w:div>
    <w:div w:id="1738434811">
      <w:bodyDiv w:val="1"/>
      <w:marLeft w:val="0"/>
      <w:marRight w:val="0"/>
      <w:marTop w:val="0"/>
      <w:marBottom w:val="0"/>
      <w:divBdr>
        <w:top w:val="none" w:sz="0" w:space="0" w:color="auto"/>
        <w:left w:val="none" w:sz="0" w:space="0" w:color="auto"/>
        <w:bottom w:val="none" w:sz="0" w:space="0" w:color="auto"/>
        <w:right w:val="none" w:sz="0" w:space="0" w:color="auto"/>
      </w:divBdr>
    </w:div>
    <w:div w:id="1743789544">
      <w:bodyDiv w:val="1"/>
      <w:marLeft w:val="0"/>
      <w:marRight w:val="0"/>
      <w:marTop w:val="0"/>
      <w:marBottom w:val="0"/>
      <w:divBdr>
        <w:top w:val="none" w:sz="0" w:space="0" w:color="auto"/>
        <w:left w:val="none" w:sz="0" w:space="0" w:color="auto"/>
        <w:bottom w:val="none" w:sz="0" w:space="0" w:color="auto"/>
        <w:right w:val="none" w:sz="0" w:space="0" w:color="auto"/>
      </w:divBdr>
    </w:div>
    <w:div w:id="1745570823">
      <w:bodyDiv w:val="1"/>
      <w:marLeft w:val="0"/>
      <w:marRight w:val="0"/>
      <w:marTop w:val="0"/>
      <w:marBottom w:val="0"/>
      <w:divBdr>
        <w:top w:val="none" w:sz="0" w:space="0" w:color="auto"/>
        <w:left w:val="none" w:sz="0" w:space="0" w:color="auto"/>
        <w:bottom w:val="none" w:sz="0" w:space="0" w:color="auto"/>
        <w:right w:val="none" w:sz="0" w:space="0" w:color="auto"/>
      </w:divBdr>
    </w:div>
    <w:div w:id="1745683287">
      <w:bodyDiv w:val="1"/>
      <w:marLeft w:val="0"/>
      <w:marRight w:val="0"/>
      <w:marTop w:val="0"/>
      <w:marBottom w:val="0"/>
      <w:divBdr>
        <w:top w:val="none" w:sz="0" w:space="0" w:color="auto"/>
        <w:left w:val="none" w:sz="0" w:space="0" w:color="auto"/>
        <w:bottom w:val="none" w:sz="0" w:space="0" w:color="auto"/>
        <w:right w:val="none" w:sz="0" w:space="0" w:color="auto"/>
      </w:divBdr>
    </w:div>
    <w:div w:id="1746494222">
      <w:bodyDiv w:val="1"/>
      <w:marLeft w:val="0"/>
      <w:marRight w:val="0"/>
      <w:marTop w:val="0"/>
      <w:marBottom w:val="0"/>
      <w:divBdr>
        <w:top w:val="none" w:sz="0" w:space="0" w:color="auto"/>
        <w:left w:val="none" w:sz="0" w:space="0" w:color="auto"/>
        <w:bottom w:val="none" w:sz="0" w:space="0" w:color="auto"/>
        <w:right w:val="none" w:sz="0" w:space="0" w:color="auto"/>
      </w:divBdr>
    </w:div>
    <w:div w:id="1750885483">
      <w:bodyDiv w:val="1"/>
      <w:marLeft w:val="0"/>
      <w:marRight w:val="0"/>
      <w:marTop w:val="0"/>
      <w:marBottom w:val="0"/>
      <w:divBdr>
        <w:top w:val="none" w:sz="0" w:space="0" w:color="auto"/>
        <w:left w:val="none" w:sz="0" w:space="0" w:color="auto"/>
        <w:bottom w:val="none" w:sz="0" w:space="0" w:color="auto"/>
        <w:right w:val="none" w:sz="0" w:space="0" w:color="auto"/>
      </w:divBdr>
    </w:div>
    <w:div w:id="1752657737">
      <w:bodyDiv w:val="1"/>
      <w:marLeft w:val="0"/>
      <w:marRight w:val="0"/>
      <w:marTop w:val="0"/>
      <w:marBottom w:val="0"/>
      <w:divBdr>
        <w:top w:val="none" w:sz="0" w:space="0" w:color="auto"/>
        <w:left w:val="none" w:sz="0" w:space="0" w:color="auto"/>
        <w:bottom w:val="none" w:sz="0" w:space="0" w:color="auto"/>
        <w:right w:val="none" w:sz="0" w:space="0" w:color="auto"/>
      </w:divBdr>
    </w:div>
    <w:div w:id="1754357500">
      <w:bodyDiv w:val="1"/>
      <w:marLeft w:val="0"/>
      <w:marRight w:val="0"/>
      <w:marTop w:val="0"/>
      <w:marBottom w:val="0"/>
      <w:divBdr>
        <w:top w:val="none" w:sz="0" w:space="0" w:color="auto"/>
        <w:left w:val="none" w:sz="0" w:space="0" w:color="auto"/>
        <w:bottom w:val="none" w:sz="0" w:space="0" w:color="auto"/>
        <w:right w:val="none" w:sz="0" w:space="0" w:color="auto"/>
      </w:divBdr>
    </w:div>
    <w:div w:id="1755711369">
      <w:bodyDiv w:val="1"/>
      <w:marLeft w:val="0"/>
      <w:marRight w:val="0"/>
      <w:marTop w:val="0"/>
      <w:marBottom w:val="0"/>
      <w:divBdr>
        <w:top w:val="none" w:sz="0" w:space="0" w:color="auto"/>
        <w:left w:val="none" w:sz="0" w:space="0" w:color="auto"/>
        <w:bottom w:val="none" w:sz="0" w:space="0" w:color="auto"/>
        <w:right w:val="none" w:sz="0" w:space="0" w:color="auto"/>
      </w:divBdr>
    </w:div>
    <w:div w:id="1757021980">
      <w:bodyDiv w:val="1"/>
      <w:marLeft w:val="0"/>
      <w:marRight w:val="0"/>
      <w:marTop w:val="0"/>
      <w:marBottom w:val="0"/>
      <w:divBdr>
        <w:top w:val="none" w:sz="0" w:space="0" w:color="auto"/>
        <w:left w:val="none" w:sz="0" w:space="0" w:color="auto"/>
        <w:bottom w:val="none" w:sz="0" w:space="0" w:color="auto"/>
        <w:right w:val="none" w:sz="0" w:space="0" w:color="auto"/>
      </w:divBdr>
    </w:div>
    <w:div w:id="1757242078">
      <w:bodyDiv w:val="1"/>
      <w:marLeft w:val="0"/>
      <w:marRight w:val="0"/>
      <w:marTop w:val="0"/>
      <w:marBottom w:val="0"/>
      <w:divBdr>
        <w:top w:val="none" w:sz="0" w:space="0" w:color="auto"/>
        <w:left w:val="none" w:sz="0" w:space="0" w:color="auto"/>
        <w:bottom w:val="none" w:sz="0" w:space="0" w:color="auto"/>
        <w:right w:val="none" w:sz="0" w:space="0" w:color="auto"/>
      </w:divBdr>
    </w:div>
    <w:div w:id="1761178806">
      <w:bodyDiv w:val="1"/>
      <w:marLeft w:val="0"/>
      <w:marRight w:val="0"/>
      <w:marTop w:val="0"/>
      <w:marBottom w:val="0"/>
      <w:divBdr>
        <w:top w:val="none" w:sz="0" w:space="0" w:color="auto"/>
        <w:left w:val="none" w:sz="0" w:space="0" w:color="auto"/>
        <w:bottom w:val="none" w:sz="0" w:space="0" w:color="auto"/>
        <w:right w:val="none" w:sz="0" w:space="0" w:color="auto"/>
      </w:divBdr>
    </w:div>
    <w:div w:id="1764447120">
      <w:bodyDiv w:val="1"/>
      <w:marLeft w:val="0"/>
      <w:marRight w:val="0"/>
      <w:marTop w:val="0"/>
      <w:marBottom w:val="0"/>
      <w:divBdr>
        <w:top w:val="none" w:sz="0" w:space="0" w:color="auto"/>
        <w:left w:val="none" w:sz="0" w:space="0" w:color="auto"/>
        <w:bottom w:val="none" w:sz="0" w:space="0" w:color="auto"/>
        <w:right w:val="none" w:sz="0" w:space="0" w:color="auto"/>
      </w:divBdr>
    </w:div>
    <w:div w:id="1769234089">
      <w:bodyDiv w:val="1"/>
      <w:marLeft w:val="0"/>
      <w:marRight w:val="0"/>
      <w:marTop w:val="0"/>
      <w:marBottom w:val="0"/>
      <w:divBdr>
        <w:top w:val="none" w:sz="0" w:space="0" w:color="auto"/>
        <w:left w:val="none" w:sz="0" w:space="0" w:color="auto"/>
        <w:bottom w:val="none" w:sz="0" w:space="0" w:color="auto"/>
        <w:right w:val="none" w:sz="0" w:space="0" w:color="auto"/>
      </w:divBdr>
    </w:div>
    <w:div w:id="1769695096">
      <w:bodyDiv w:val="1"/>
      <w:marLeft w:val="0"/>
      <w:marRight w:val="0"/>
      <w:marTop w:val="0"/>
      <w:marBottom w:val="0"/>
      <w:divBdr>
        <w:top w:val="none" w:sz="0" w:space="0" w:color="auto"/>
        <w:left w:val="none" w:sz="0" w:space="0" w:color="auto"/>
        <w:bottom w:val="none" w:sz="0" w:space="0" w:color="auto"/>
        <w:right w:val="none" w:sz="0" w:space="0" w:color="auto"/>
      </w:divBdr>
    </w:div>
    <w:div w:id="1769739572">
      <w:bodyDiv w:val="1"/>
      <w:marLeft w:val="0"/>
      <w:marRight w:val="0"/>
      <w:marTop w:val="0"/>
      <w:marBottom w:val="0"/>
      <w:divBdr>
        <w:top w:val="none" w:sz="0" w:space="0" w:color="auto"/>
        <w:left w:val="none" w:sz="0" w:space="0" w:color="auto"/>
        <w:bottom w:val="none" w:sz="0" w:space="0" w:color="auto"/>
        <w:right w:val="none" w:sz="0" w:space="0" w:color="auto"/>
      </w:divBdr>
    </w:div>
    <w:div w:id="1776710214">
      <w:bodyDiv w:val="1"/>
      <w:marLeft w:val="0"/>
      <w:marRight w:val="0"/>
      <w:marTop w:val="0"/>
      <w:marBottom w:val="0"/>
      <w:divBdr>
        <w:top w:val="none" w:sz="0" w:space="0" w:color="auto"/>
        <w:left w:val="none" w:sz="0" w:space="0" w:color="auto"/>
        <w:bottom w:val="none" w:sz="0" w:space="0" w:color="auto"/>
        <w:right w:val="none" w:sz="0" w:space="0" w:color="auto"/>
      </w:divBdr>
    </w:div>
    <w:div w:id="1780755226">
      <w:bodyDiv w:val="1"/>
      <w:marLeft w:val="0"/>
      <w:marRight w:val="0"/>
      <w:marTop w:val="0"/>
      <w:marBottom w:val="0"/>
      <w:divBdr>
        <w:top w:val="none" w:sz="0" w:space="0" w:color="auto"/>
        <w:left w:val="none" w:sz="0" w:space="0" w:color="auto"/>
        <w:bottom w:val="none" w:sz="0" w:space="0" w:color="auto"/>
        <w:right w:val="none" w:sz="0" w:space="0" w:color="auto"/>
      </w:divBdr>
    </w:div>
    <w:div w:id="1783841209">
      <w:bodyDiv w:val="1"/>
      <w:marLeft w:val="0"/>
      <w:marRight w:val="0"/>
      <w:marTop w:val="0"/>
      <w:marBottom w:val="0"/>
      <w:divBdr>
        <w:top w:val="none" w:sz="0" w:space="0" w:color="auto"/>
        <w:left w:val="none" w:sz="0" w:space="0" w:color="auto"/>
        <w:bottom w:val="none" w:sz="0" w:space="0" w:color="auto"/>
        <w:right w:val="none" w:sz="0" w:space="0" w:color="auto"/>
      </w:divBdr>
    </w:div>
    <w:div w:id="1787965478">
      <w:bodyDiv w:val="1"/>
      <w:marLeft w:val="0"/>
      <w:marRight w:val="0"/>
      <w:marTop w:val="0"/>
      <w:marBottom w:val="0"/>
      <w:divBdr>
        <w:top w:val="none" w:sz="0" w:space="0" w:color="auto"/>
        <w:left w:val="none" w:sz="0" w:space="0" w:color="auto"/>
        <w:bottom w:val="none" w:sz="0" w:space="0" w:color="auto"/>
        <w:right w:val="none" w:sz="0" w:space="0" w:color="auto"/>
      </w:divBdr>
    </w:div>
    <w:div w:id="1793359203">
      <w:bodyDiv w:val="1"/>
      <w:marLeft w:val="0"/>
      <w:marRight w:val="0"/>
      <w:marTop w:val="0"/>
      <w:marBottom w:val="0"/>
      <w:divBdr>
        <w:top w:val="none" w:sz="0" w:space="0" w:color="auto"/>
        <w:left w:val="none" w:sz="0" w:space="0" w:color="auto"/>
        <w:bottom w:val="none" w:sz="0" w:space="0" w:color="auto"/>
        <w:right w:val="none" w:sz="0" w:space="0" w:color="auto"/>
      </w:divBdr>
    </w:div>
    <w:div w:id="1795636664">
      <w:bodyDiv w:val="1"/>
      <w:marLeft w:val="0"/>
      <w:marRight w:val="0"/>
      <w:marTop w:val="0"/>
      <w:marBottom w:val="0"/>
      <w:divBdr>
        <w:top w:val="none" w:sz="0" w:space="0" w:color="auto"/>
        <w:left w:val="none" w:sz="0" w:space="0" w:color="auto"/>
        <w:bottom w:val="none" w:sz="0" w:space="0" w:color="auto"/>
        <w:right w:val="none" w:sz="0" w:space="0" w:color="auto"/>
      </w:divBdr>
    </w:div>
    <w:div w:id="1799227533">
      <w:bodyDiv w:val="1"/>
      <w:marLeft w:val="0"/>
      <w:marRight w:val="0"/>
      <w:marTop w:val="0"/>
      <w:marBottom w:val="0"/>
      <w:divBdr>
        <w:top w:val="none" w:sz="0" w:space="0" w:color="auto"/>
        <w:left w:val="none" w:sz="0" w:space="0" w:color="auto"/>
        <w:bottom w:val="none" w:sz="0" w:space="0" w:color="auto"/>
        <w:right w:val="none" w:sz="0" w:space="0" w:color="auto"/>
      </w:divBdr>
    </w:div>
    <w:div w:id="1810395174">
      <w:bodyDiv w:val="1"/>
      <w:marLeft w:val="0"/>
      <w:marRight w:val="0"/>
      <w:marTop w:val="0"/>
      <w:marBottom w:val="0"/>
      <w:divBdr>
        <w:top w:val="none" w:sz="0" w:space="0" w:color="auto"/>
        <w:left w:val="none" w:sz="0" w:space="0" w:color="auto"/>
        <w:bottom w:val="none" w:sz="0" w:space="0" w:color="auto"/>
        <w:right w:val="none" w:sz="0" w:space="0" w:color="auto"/>
      </w:divBdr>
    </w:div>
    <w:div w:id="1818764218">
      <w:bodyDiv w:val="1"/>
      <w:marLeft w:val="0"/>
      <w:marRight w:val="0"/>
      <w:marTop w:val="0"/>
      <w:marBottom w:val="0"/>
      <w:divBdr>
        <w:top w:val="none" w:sz="0" w:space="0" w:color="auto"/>
        <w:left w:val="none" w:sz="0" w:space="0" w:color="auto"/>
        <w:bottom w:val="none" w:sz="0" w:space="0" w:color="auto"/>
        <w:right w:val="none" w:sz="0" w:space="0" w:color="auto"/>
      </w:divBdr>
    </w:div>
    <w:div w:id="1819689780">
      <w:bodyDiv w:val="1"/>
      <w:marLeft w:val="0"/>
      <w:marRight w:val="0"/>
      <w:marTop w:val="0"/>
      <w:marBottom w:val="0"/>
      <w:divBdr>
        <w:top w:val="none" w:sz="0" w:space="0" w:color="auto"/>
        <w:left w:val="none" w:sz="0" w:space="0" w:color="auto"/>
        <w:bottom w:val="none" w:sz="0" w:space="0" w:color="auto"/>
        <w:right w:val="none" w:sz="0" w:space="0" w:color="auto"/>
      </w:divBdr>
    </w:div>
    <w:div w:id="1827282042">
      <w:bodyDiv w:val="1"/>
      <w:marLeft w:val="0"/>
      <w:marRight w:val="0"/>
      <w:marTop w:val="0"/>
      <w:marBottom w:val="0"/>
      <w:divBdr>
        <w:top w:val="none" w:sz="0" w:space="0" w:color="auto"/>
        <w:left w:val="none" w:sz="0" w:space="0" w:color="auto"/>
        <w:bottom w:val="none" w:sz="0" w:space="0" w:color="auto"/>
        <w:right w:val="none" w:sz="0" w:space="0" w:color="auto"/>
      </w:divBdr>
    </w:div>
    <w:div w:id="1834179008">
      <w:bodyDiv w:val="1"/>
      <w:marLeft w:val="0"/>
      <w:marRight w:val="0"/>
      <w:marTop w:val="0"/>
      <w:marBottom w:val="0"/>
      <w:divBdr>
        <w:top w:val="none" w:sz="0" w:space="0" w:color="auto"/>
        <w:left w:val="none" w:sz="0" w:space="0" w:color="auto"/>
        <w:bottom w:val="none" w:sz="0" w:space="0" w:color="auto"/>
        <w:right w:val="none" w:sz="0" w:space="0" w:color="auto"/>
      </w:divBdr>
    </w:div>
    <w:div w:id="1836844567">
      <w:bodyDiv w:val="1"/>
      <w:marLeft w:val="0"/>
      <w:marRight w:val="0"/>
      <w:marTop w:val="0"/>
      <w:marBottom w:val="0"/>
      <w:divBdr>
        <w:top w:val="none" w:sz="0" w:space="0" w:color="auto"/>
        <w:left w:val="none" w:sz="0" w:space="0" w:color="auto"/>
        <w:bottom w:val="none" w:sz="0" w:space="0" w:color="auto"/>
        <w:right w:val="none" w:sz="0" w:space="0" w:color="auto"/>
      </w:divBdr>
    </w:div>
    <w:div w:id="1841118810">
      <w:bodyDiv w:val="1"/>
      <w:marLeft w:val="0"/>
      <w:marRight w:val="0"/>
      <w:marTop w:val="0"/>
      <w:marBottom w:val="0"/>
      <w:divBdr>
        <w:top w:val="none" w:sz="0" w:space="0" w:color="auto"/>
        <w:left w:val="none" w:sz="0" w:space="0" w:color="auto"/>
        <w:bottom w:val="none" w:sz="0" w:space="0" w:color="auto"/>
        <w:right w:val="none" w:sz="0" w:space="0" w:color="auto"/>
      </w:divBdr>
    </w:div>
    <w:div w:id="1841693926">
      <w:bodyDiv w:val="1"/>
      <w:marLeft w:val="0"/>
      <w:marRight w:val="0"/>
      <w:marTop w:val="0"/>
      <w:marBottom w:val="0"/>
      <w:divBdr>
        <w:top w:val="none" w:sz="0" w:space="0" w:color="auto"/>
        <w:left w:val="none" w:sz="0" w:space="0" w:color="auto"/>
        <w:bottom w:val="none" w:sz="0" w:space="0" w:color="auto"/>
        <w:right w:val="none" w:sz="0" w:space="0" w:color="auto"/>
      </w:divBdr>
    </w:div>
    <w:div w:id="1842499069">
      <w:bodyDiv w:val="1"/>
      <w:marLeft w:val="0"/>
      <w:marRight w:val="0"/>
      <w:marTop w:val="0"/>
      <w:marBottom w:val="0"/>
      <w:divBdr>
        <w:top w:val="none" w:sz="0" w:space="0" w:color="auto"/>
        <w:left w:val="none" w:sz="0" w:space="0" w:color="auto"/>
        <w:bottom w:val="none" w:sz="0" w:space="0" w:color="auto"/>
        <w:right w:val="none" w:sz="0" w:space="0" w:color="auto"/>
      </w:divBdr>
    </w:div>
    <w:div w:id="1852210254">
      <w:bodyDiv w:val="1"/>
      <w:marLeft w:val="0"/>
      <w:marRight w:val="0"/>
      <w:marTop w:val="0"/>
      <w:marBottom w:val="0"/>
      <w:divBdr>
        <w:top w:val="none" w:sz="0" w:space="0" w:color="auto"/>
        <w:left w:val="none" w:sz="0" w:space="0" w:color="auto"/>
        <w:bottom w:val="none" w:sz="0" w:space="0" w:color="auto"/>
        <w:right w:val="none" w:sz="0" w:space="0" w:color="auto"/>
      </w:divBdr>
    </w:div>
    <w:div w:id="1852455582">
      <w:bodyDiv w:val="1"/>
      <w:marLeft w:val="0"/>
      <w:marRight w:val="0"/>
      <w:marTop w:val="0"/>
      <w:marBottom w:val="0"/>
      <w:divBdr>
        <w:top w:val="none" w:sz="0" w:space="0" w:color="auto"/>
        <w:left w:val="none" w:sz="0" w:space="0" w:color="auto"/>
        <w:bottom w:val="none" w:sz="0" w:space="0" w:color="auto"/>
        <w:right w:val="none" w:sz="0" w:space="0" w:color="auto"/>
      </w:divBdr>
    </w:div>
    <w:div w:id="1867328834">
      <w:bodyDiv w:val="1"/>
      <w:marLeft w:val="0"/>
      <w:marRight w:val="0"/>
      <w:marTop w:val="0"/>
      <w:marBottom w:val="0"/>
      <w:divBdr>
        <w:top w:val="none" w:sz="0" w:space="0" w:color="auto"/>
        <w:left w:val="none" w:sz="0" w:space="0" w:color="auto"/>
        <w:bottom w:val="none" w:sz="0" w:space="0" w:color="auto"/>
        <w:right w:val="none" w:sz="0" w:space="0" w:color="auto"/>
      </w:divBdr>
    </w:div>
    <w:div w:id="1867670176">
      <w:bodyDiv w:val="1"/>
      <w:marLeft w:val="0"/>
      <w:marRight w:val="0"/>
      <w:marTop w:val="0"/>
      <w:marBottom w:val="0"/>
      <w:divBdr>
        <w:top w:val="none" w:sz="0" w:space="0" w:color="auto"/>
        <w:left w:val="none" w:sz="0" w:space="0" w:color="auto"/>
        <w:bottom w:val="none" w:sz="0" w:space="0" w:color="auto"/>
        <w:right w:val="none" w:sz="0" w:space="0" w:color="auto"/>
      </w:divBdr>
    </w:div>
    <w:div w:id="1867983935">
      <w:bodyDiv w:val="1"/>
      <w:marLeft w:val="0"/>
      <w:marRight w:val="0"/>
      <w:marTop w:val="0"/>
      <w:marBottom w:val="0"/>
      <w:divBdr>
        <w:top w:val="none" w:sz="0" w:space="0" w:color="auto"/>
        <w:left w:val="none" w:sz="0" w:space="0" w:color="auto"/>
        <w:bottom w:val="none" w:sz="0" w:space="0" w:color="auto"/>
        <w:right w:val="none" w:sz="0" w:space="0" w:color="auto"/>
      </w:divBdr>
    </w:div>
    <w:div w:id="1871917273">
      <w:bodyDiv w:val="1"/>
      <w:marLeft w:val="0"/>
      <w:marRight w:val="0"/>
      <w:marTop w:val="0"/>
      <w:marBottom w:val="0"/>
      <w:divBdr>
        <w:top w:val="none" w:sz="0" w:space="0" w:color="auto"/>
        <w:left w:val="none" w:sz="0" w:space="0" w:color="auto"/>
        <w:bottom w:val="none" w:sz="0" w:space="0" w:color="auto"/>
        <w:right w:val="none" w:sz="0" w:space="0" w:color="auto"/>
      </w:divBdr>
    </w:div>
    <w:div w:id="1874925319">
      <w:bodyDiv w:val="1"/>
      <w:marLeft w:val="0"/>
      <w:marRight w:val="0"/>
      <w:marTop w:val="0"/>
      <w:marBottom w:val="0"/>
      <w:divBdr>
        <w:top w:val="none" w:sz="0" w:space="0" w:color="auto"/>
        <w:left w:val="none" w:sz="0" w:space="0" w:color="auto"/>
        <w:bottom w:val="none" w:sz="0" w:space="0" w:color="auto"/>
        <w:right w:val="none" w:sz="0" w:space="0" w:color="auto"/>
      </w:divBdr>
    </w:div>
    <w:div w:id="1877086761">
      <w:bodyDiv w:val="1"/>
      <w:marLeft w:val="0"/>
      <w:marRight w:val="0"/>
      <w:marTop w:val="0"/>
      <w:marBottom w:val="0"/>
      <w:divBdr>
        <w:top w:val="none" w:sz="0" w:space="0" w:color="auto"/>
        <w:left w:val="none" w:sz="0" w:space="0" w:color="auto"/>
        <w:bottom w:val="none" w:sz="0" w:space="0" w:color="auto"/>
        <w:right w:val="none" w:sz="0" w:space="0" w:color="auto"/>
      </w:divBdr>
    </w:div>
    <w:div w:id="1883635862">
      <w:bodyDiv w:val="1"/>
      <w:marLeft w:val="0"/>
      <w:marRight w:val="0"/>
      <w:marTop w:val="0"/>
      <w:marBottom w:val="0"/>
      <w:divBdr>
        <w:top w:val="none" w:sz="0" w:space="0" w:color="auto"/>
        <w:left w:val="none" w:sz="0" w:space="0" w:color="auto"/>
        <w:bottom w:val="none" w:sz="0" w:space="0" w:color="auto"/>
        <w:right w:val="none" w:sz="0" w:space="0" w:color="auto"/>
      </w:divBdr>
    </w:div>
    <w:div w:id="1891458059">
      <w:bodyDiv w:val="1"/>
      <w:marLeft w:val="0"/>
      <w:marRight w:val="0"/>
      <w:marTop w:val="0"/>
      <w:marBottom w:val="0"/>
      <w:divBdr>
        <w:top w:val="none" w:sz="0" w:space="0" w:color="auto"/>
        <w:left w:val="none" w:sz="0" w:space="0" w:color="auto"/>
        <w:bottom w:val="none" w:sz="0" w:space="0" w:color="auto"/>
        <w:right w:val="none" w:sz="0" w:space="0" w:color="auto"/>
      </w:divBdr>
    </w:div>
    <w:div w:id="1893343864">
      <w:bodyDiv w:val="1"/>
      <w:marLeft w:val="0"/>
      <w:marRight w:val="0"/>
      <w:marTop w:val="0"/>
      <w:marBottom w:val="0"/>
      <w:divBdr>
        <w:top w:val="none" w:sz="0" w:space="0" w:color="auto"/>
        <w:left w:val="none" w:sz="0" w:space="0" w:color="auto"/>
        <w:bottom w:val="none" w:sz="0" w:space="0" w:color="auto"/>
        <w:right w:val="none" w:sz="0" w:space="0" w:color="auto"/>
      </w:divBdr>
    </w:div>
    <w:div w:id="1894461707">
      <w:bodyDiv w:val="1"/>
      <w:marLeft w:val="0"/>
      <w:marRight w:val="0"/>
      <w:marTop w:val="0"/>
      <w:marBottom w:val="0"/>
      <w:divBdr>
        <w:top w:val="none" w:sz="0" w:space="0" w:color="auto"/>
        <w:left w:val="none" w:sz="0" w:space="0" w:color="auto"/>
        <w:bottom w:val="none" w:sz="0" w:space="0" w:color="auto"/>
        <w:right w:val="none" w:sz="0" w:space="0" w:color="auto"/>
      </w:divBdr>
    </w:div>
    <w:div w:id="1898709042">
      <w:bodyDiv w:val="1"/>
      <w:marLeft w:val="0"/>
      <w:marRight w:val="0"/>
      <w:marTop w:val="0"/>
      <w:marBottom w:val="0"/>
      <w:divBdr>
        <w:top w:val="none" w:sz="0" w:space="0" w:color="auto"/>
        <w:left w:val="none" w:sz="0" w:space="0" w:color="auto"/>
        <w:bottom w:val="none" w:sz="0" w:space="0" w:color="auto"/>
        <w:right w:val="none" w:sz="0" w:space="0" w:color="auto"/>
      </w:divBdr>
    </w:div>
    <w:div w:id="1899122977">
      <w:bodyDiv w:val="1"/>
      <w:marLeft w:val="0"/>
      <w:marRight w:val="0"/>
      <w:marTop w:val="0"/>
      <w:marBottom w:val="0"/>
      <w:divBdr>
        <w:top w:val="none" w:sz="0" w:space="0" w:color="auto"/>
        <w:left w:val="none" w:sz="0" w:space="0" w:color="auto"/>
        <w:bottom w:val="none" w:sz="0" w:space="0" w:color="auto"/>
        <w:right w:val="none" w:sz="0" w:space="0" w:color="auto"/>
      </w:divBdr>
    </w:div>
    <w:div w:id="1900047370">
      <w:bodyDiv w:val="1"/>
      <w:marLeft w:val="0"/>
      <w:marRight w:val="0"/>
      <w:marTop w:val="0"/>
      <w:marBottom w:val="0"/>
      <w:divBdr>
        <w:top w:val="none" w:sz="0" w:space="0" w:color="auto"/>
        <w:left w:val="none" w:sz="0" w:space="0" w:color="auto"/>
        <w:bottom w:val="none" w:sz="0" w:space="0" w:color="auto"/>
        <w:right w:val="none" w:sz="0" w:space="0" w:color="auto"/>
      </w:divBdr>
    </w:div>
    <w:div w:id="1901667725">
      <w:bodyDiv w:val="1"/>
      <w:marLeft w:val="0"/>
      <w:marRight w:val="0"/>
      <w:marTop w:val="0"/>
      <w:marBottom w:val="0"/>
      <w:divBdr>
        <w:top w:val="none" w:sz="0" w:space="0" w:color="auto"/>
        <w:left w:val="none" w:sz="0" w:space="0" w:color="auto"/>
        <w:bottom w:val="none" w:sz="0" w:space="0" w:color="auto"/>
        <w:right w:val="none" w:sz="0" w:space="0" w:color="auto"/>
      </w:divBdr>
    </w:div>
    <w:div w:id="1904414429">
      <w:bodyDiv w:val="1"/>
      <w:marLeft w:val="0"/>
      <w:marRight w:val="0"/>
      <w:marTop w:val="0"/>
      <w:marBottom w:val="0"/>
      <w:divBdr>
        <w:top w:val="none" w:sz="0" w:space="0" w:color="auto"/>
        <w:left w:val="none" w:sz="0" w:space="0" w:color="auto"/>
        <w:bottom w:val="none" w:sz="0" w:space="0" w:color="auto"/>
        <w:right w:val="none" w:sz="0" w:space="0" w:color="auto"/>
      </w:divBdr>
    </w:div>
    <w:div w:id="1906988887">
      <w:bodyDiv w:val="1"/>
      <w:marLeft w:val="0"/>
      <w:marRight w:val="0"/>
      <w:marTop w:val="0"/>
      <w:marBottom w:val="0"/>
      <w:divBdr>
        <w:top w:val="none" w:sz="0" w:space="0" w:color="auto"/>
        <w:left w:val="none" w:sz="0" w:space="0" w:color="auto"/>
        <w:bottom w:val="none" w:sz="0" w:space="0" w:color="auto"/>
        <w:right w:val="none" w:sz="0" w:space="0" w:color="auto"/>
      </w:divBdr>
    </w:div>
    <w:div w:id="1920170566">
      <w:bodyDiv w:val="1"/>
      <w:marLeft w:val="0"/>
      <w:marRight w:val="0"/>
      <w:marTop w:val="0"/>
      <w:marBottom w:val="0"/>
      <w:divBdr>
        <w:top w:val="none" w:sz="0" w:space="0" w:color="auto"/>
        <w:left w:val="none" w:sz="0" w:space="0" w:color="auto"/>
        <w:bottom w:val="none" w:sz="0" w:space="0" w:color="auto"/>
        <w:right w:val="none" w:sz="0" w:space="0" w:color="auto"/>
      </w:divBdr>
    </w:div>
    <w:div w:id="1924945526">
      <w:bodyDiv w:val="1"/>
      <w:marLeft w:val="0"/>
      <w:marRight w:val="0"/>
      <w:marTop w:val="0"/>
      <w:marBottom w:val="0"/>
      <w:divBdr>
        <w:top w:val="none" w:sz="0" w:space="0" w:color="auto"/>
        <w:left w:val="none" w:sz="0" w:space="0" w:color="auto"/>
        <w:bottom w:val="none" w:sz="0" w:space="0" w:color="auto"/>
        <w:right w:val="none" w:sz="0" w:space="0" w:color="auto"/>
      </w:divBdr>
    </w:div>
    <w:div w:id="1937899753">
      <w:bodyDiv w:val="1"/>
      <w:marLeft w:val="0"/>
      <w:marRight w:val="0"/>
      <w:marTop w:val="0"/>
      <w:marBottom w:val="0"/>
      <w:divBdr>
        <w:top w:val="none" w:sz="0" w:space="0" w:color="auto"/>
        <w:left w:val="none" w:sz="0" w:space="0" w:color="auto"/>
        <w:bottom w:val="none" w:sz="0" w:space="0" w:color="auto"/>
        <w:right w:val="none" w:sz="0" w:space="0" w:color="auto"/>
      </w:divBdr>
    </w:div>
    <w:div w:id="1938711439">
      <w:bodyDiv w:val="1"/>
      <w:marLeft w:val="0"/>
      <w:marRight w:val="0"/>
      <w:marTop w:val="0"/>
      <w:marBottom w:val="0"/>
      <w:divBdr>
        <w:top w:val="none" w:sz="0" w:space="0" w:color="auto"/>
        <w:left w:val="none" w:sz="0" w:space="0" w:color="auto"/>
        <w:bottom w:val="none" w:sz="0" w:space="0" w:color="auto"/>
        <w:right w:val="none" w:sz="0" w:space="0" w:color="auto"/>
      </w:divBdr>
    </w:div>
    <w:div w:id="1944216544">
      <w:bodyDiv w:val="1"/>
      <w:marLeft w:val="0"/>
      <w:marRight w:val="0"/>
      <w:marTop w:val="0"/>
      <w:marBottom w:val="0"/>
      <w:divBdr>
        <w:top w:val="none" w:sz="0" w:space="0" w:color="auto"/>
        <w:left w:val="none" w:sz="0" w:space="0" w:color="auto"/>
        <w:bottom w:val="none" w:sz="0" w:space="0" w:color="auto"/>
        <w:right w:val="none" w:sz="0" w:space="0" w:color="auto"/>
      </w:divBdr>
    </w:div>
    <w:div w:id="1948808193">
      <w:bodyDiv w:val="1"/>
      <w:marLeft w:val="0"/>
      <w:marRight w:val="0"/>
      <w:marTop w:val="0"/>
      <w:marBottom w:val="0"/>
      <w:divBdr>
        <w:top w:val="none" w:sz="0" w:space="0" w:color="auto"/>
        <w:left w:val="none" w:sz="0" w:space="0" w:color="auto"/>
        <w:bottom w:val="none" w:sz="0" w:space="0" w:color="auto"/>
        <w:right w:val="none" w:sz="0" w:space="0" w:color="auto"/>
      </w:divBdr>
    </w:div>
    <w:div w:id="1950552108">
      <w:bodyDiv w:val="1"/>
      <w:marLeft w:val="0"/>
      <w:marRight w:val="0"/>
      <w:marTop w:val="0"/>
      <w:marBottom w:val="0"/>
      <w:divBdr>
        <w:top w:val="none" w:sz="0" w:space="0" w:color="auto"/>
        <w:left w:val="none" w:sz="0" w:space="0" w:color="auto"/>
        <w:bottom w:val="none" w:sz="0" w:space="0" w:color="auto"/>
        <w:right w:val="none" w:sz="0" w:space="0" w:color="auto"/>
      </w:divBdr>
    </w:div>
    <w:div w:id="1954241256">
      <w:bodyDiv w:val="1"/>
      <w:marLeft w:val="0"/>
      <w:marRight w:val="0"/>
      <w:marTop w:val="0"/>
      <w:marBottom w:val="0"/>
      <w:divBdr>
        <w:top w:val="none" w:sz="0" w:space="0" w:color="auto"/>
        <w:left w:val="none" w:sz="0" w:space="0" w:color="auto"/>
        <w:bottom w:val="none" w:sz="0" w:space="0" w:color="auto"/>
        <w:right w:val="none" w:sz="0" w:space="0" w:color="auto"/>
      </w:divBdr>
    </w:div>
    <w:div w:id="1965648551">
      <w:bodyDiv w:val="1"/>
      <w:marLeft w:val="0"/>
      <w:marRight w:val="0"/>
      <w:marTop w:val="0"/>
      <w:marBottom w:val="0"/>
      <w:divBdr>
        <w:top w:val="none" w:sz="0" w:space="0" w:color="auto"/>
        <w:left w:val="none" w:sz="0" w:space="0" w:color="auto"/>
        <w:bottom w:val="none" w:sz="0" w:space="0" w:color="auto"/>
        <w:right w:val="none" w:sz="0" w:space="0" w:color="auto"/>
      </w:divBdr>
    </w:div>
    <w:div w:id="1972978994">
      <w:bodyDiv w:val="1"/>
      <w:marLeft w:val="0"/>
      <w:marRight w:val="0"/>
      <w:marTop w:val="0"/>
      <w:marBottom w:val="0"/>
      <w:divBdr>
        <w:top w:val="none" w:sz="0" w:space="0" w:color="auto"/>
        <w:left w:val="none" w:sz="0" w:space="0" w:color="auto"/>
        <w:bottom w:val="none" w:sz="0" w:space="0" w:color="auto"/>
        <w:right w:val="none" w:sz="0" w:space="0" w:color="auto"/>
      </w:divBdr>
    </w:div>
    <w:div w:id="1973712802">
      <w:bodyDiv w:val="1"/>
      <w:marLeft w:val="0"/>
      <w:marRight w:val="0"/>
      <w:marTop w:val="0"/>
      <w:marBottom w:val="0"/>
      <w:divBdr>
        <w:top w:val="none" w:sz="0" w:space="0" w:color="auto"/>
        <w:left w:val="none" w:sz="0" w:space="0" w:color="auto"/>
        <w:bottom w:val="none" w:sz="0" w:space="0" w:color="auto"/>
        <w:right w:val="none" w:sz="0" w:space="0" w:color="auto"/>
      </w:divBdr>
    </w:div>
    <w:div w:id="1983845997">
      <w:bodyDiv w:val="1"/>
      <w:marLeft w:val="0"/>
      <w:marRight w:val="0"/>
      <w:marTop w:val="0"/>
      <w:marBottom w:val="0"/>
      <w:divBdr>
        <w:top w:val="none" w:sz="0" w:space="0" w:color="auto"/>
        <w:left w:val="none" w:sz="0" w:space="0" w:color="auto"/>
        <w:bottom w:val="none" w:sz="0" w:space="0" w:color="auto"/>
        <w:right w:val="none" w:sz="0" w:space="0" w:color="auto"/>
      </w:divBdr>
    </w:div>
    <w:div w:id="1986615958">
      <w:bodyDiv w:val="1"/>
      <w:marLeft w:val="0"/>
      <w:marRight w:val="0"/>
      <w:marTop w:val="0"/>
      <w:marBottom w:val="0"/>
      <w:divBdr>
        <w:top w:val="none" w:sz="0" w:space="0" w:color="auto"/>
        <w:left w:val="none" w:sz="0" w:space="0" w:color="auto"/>
        <w:bottom w:val="none" w:sz="0" w:space="0" w:color="auto"/>
        <w:right w:val="none" w:sz="0" w:space="0" w:color="auto"/>
      </w:divBdr>
    </w:div>
    <w:div w:id="1992169642">
      <w:bodyDiv w:val="1"/>
      <w:marLeft w:val="0"/>
      <w:marRight w:val="0"/>
      <w:marTop w:val="0"/>
      <w:marBottom w:val="0"/>
      <w:divBdr>
        <w:top w:val="none" w:sz="0" w:space="0" w:color="auto"/>
        <w:left w:val="none" w:sz="0" w:space="0" w:color="auto"/>
        <w:bottom w:val="none" w:sz="0" w:space="0" w:color="auto"/>
        <w:right w:val="none" w:sz="0" w:space="0" w:color="auto"/>
      </w:divBdr>
    </w:div>
    <w:div w:id="1994526354">
      <w:bodyDiv w:val="1"/>
      <w:marLeft w:val="0"/>
      <w:marRight w:val="0"/>
      <w:marTop w:val="0"/>
      <w:marBottom w:val="0"/>
      <w:divBdr>
        <w:top w:val="none" w:sz="0" w:space="0" w:color="auto"/>
        <w:left w:val="none" w:sz="0" w:space="0" w:color="auto"/>
        <w:bottom w:val="none" w:sz="0" w:space="0" w:color="auto"/>
        <w:right w:val="none" w:sz="0" w:space="0" w:color="auto"/>
      </w:divBdr>
    </w:div>
    <w:div w:id="1997612065">
      <w:bodyDiv w:val="1"/>
      <w:marLeft w:val="0"/>
      <w:marRight w:val="0"/>
      <w:marTop w:val="0"/>
      <w:marBottom w:val="0"/>
      <w:divBdr>
        <w:top w:val="none" w:sz="0" w:space="0" w:color="auto"/>
        <w:left w:val="none" w:sz="0" w:space="0" w:color="auto"/>
        <w:bottom w:val="none" w:sz="0" w:space="0" w:color="auto"/>
        <w:right w:val="none" w:sz="0" w:space="0" w:color="auto"/>
      </w:divBdr>
    </w:div>
    <w:div w:id="1998725376">
      <w:bodyDiv w:val="1"/>
      <w:marLeft w:val="0"/>
      <w:marRight w:val="0"/>
      <w:marTop w:val="0"/>
      <w:marBottom w:val="0"/>
      <w:divBdr>
        <w:top w:val="none" w:sz="0" w:space="0" w:color="auto"/>
        <w:left w:val="none" w:sz="0" w:space="0" w:color="auto"/>
        <w:bottom w:val="none" w:sz="0" w:space="0" w:color="auto"/>
        <w:right w:val="none" w:sz="0" w:space="0" w:color="auto"/>
      </w:divBdr>
    </w:div>
    <w:div w:id="2001234366">
      <w:bodyDiv w:val="1"/>
      <w:marLeft w:val="0"/>
      <w:marRight w:val="0"/>
      <w:marTop w:val="0"/>
      <w:marBottom w:val="0"/>
      <w:divBdr>
        <w:top w:val="none" w:sz="0" w:space="0" w:color="auto"/>
        <w:left w:val="none" w:sz="0" w:space="0" w:color="auto"/>
        <w:bottom w:val="none" w:sz="0" w:space="0" w:color="auto"/>
        <w:right w:val="none" w:sz="0" w:space="0" w:color="auto"/>
      </w:divBdr>
    </w:div>
    <w:div w:id="2001349075">
      <w:bodyDiv w:val="1"/>
      <w:marLeft w:val="0"/>
      <w:marRight w:val="0"/>
      <w:marTop w:val="0"/>
      <w:marBottom w:val="0"/>
      <w:divBdr>
        <w:top w:val="none" w:sz="0" w:space="0" w:color="auto"/>
        <w:left w:val="none" w:sz="0" w:space="0" w:color="auto"/>
        <w:bottom w:val="none" w:sz="0" w:space="0" w:color="auto"/>
        <w:right w:val="none" w:sz="0" w:space="0" w:color="auto"/>
      </w:divBdr>
    </w:div>
    <w:div w:id="2003048337">
      <w:bodyDiv w:val="1"/>
      <w:marLeft w:val="0"/>
      <w:marRight w:val="0"/>
      <w:marTop w:val="0"/>
      <w:marBottom w:val="0"/>
      <w:divBdr>
        <w:top w:val="none" w:sz="0" w:space="0" w:color="auto"/>
        <w:left w:val="none" w:sz="0" w:space="0" w:color="auto"/>
        <w:bottom w:val="none" w:sz="0" w:space="0" w:color="auto"/>
        <w:right w:val="none" w:sz="0" w:space="0" w:color="auto"/>
      </w:divBdr>
    </w:div>
    <w:div w:id="2003851690">
      <w:bodyDiv w:val="1"/>
      <w:marLeft w:val="0"/>
      <w:marRight w:val="0"/>
      <w:marTop w:val="0"/>
      <w:marBottom w:val="0"/>
      <w:divBdr>
        <w:top w:val="none" w:sz="0" w:space="0" w:color="auto"/>
        <w:left w:val="none" w:sz="0" w:space="0" w:color="auto"/>
        <w:bottom w:val="none" w:sz="0" w:space="0" w:color="auto"/>
        <w:right w:val="none" w:sz="0" w:space="0" w:color="auto"/>
      </w:divBdr>
    </w:div>
    <w:div w:id="2005670656">
      <w:bodyDiv w:val="1"/>
      <w:marLeft w:val="0"/>
      <w:marRight w:val="0"/>
      <w:marTop w:val="0"/>
      <w:marBottom w:val="0"/>
      <w:divBdr>
        <w:top w:val="none" w:sz="0" w:space="0" w:color="auto"/>
        <w:left w:val="none" w:sz="0" w:space="0" w:color="auto"/>
        <w:bottom w:val="none" w:sz="0" w:space="0" w:color="auto"/>
        <w:right w:val="none" w:sz="0" w:space="0" w:color="auto"/>
      </w:divBdr>
    </w:div>
    <w:div w:id="2006737873">
      <w:bodyDiv w:val="1"/>
      <w:marLeft w:val="0"/>
      <w:marRight w:val="0"/>
      <w:marTop w:val="0"/>
      <w:marBottom w:val="0"/>
      <w:divBdr>
        <w:top w:val="none" w:sz="0" w:space="0" w:color="auto"/>
        <w:left w:val="none" w:sz="0" w:space="0" w:color="auto"/>
        <w:bottom w:val="none" w:sz="0" w:space="0" w:color="auto"/>
        <w:right w:val="none" w:sz="0" w:space="0" w:color="auto"/>
      </w:divBdr>
    </w:div>
    <w:div w:id="2007516616">
      <w:bodyDiv w:val="1"/>
      <w:marLeft w:val="0"/>
      <w:marRight w:val="0"/>
      <w:marTop w:val="0"/>
      <w:marBottom w:val="0"/>
      <w:divBdr>
        <w:top w:val="none" w:sz="0" w:space="0" w:color="auto"/>
        <w:left w:val="none" w:sz="0" w:space="0" w:color="auto"/>
        <w:bottom w:val="none" w:sz="0" w:space="0" w:color="auto"/>
        <w:right w:val="none" w:sz="0" w:space="0" w:color="auto"/>
      </w:divBdr>
    </w:div>
    <w:div w:id="2012752571">
      <w:bodyDiv w:val="1"/>
      <w:marLeft w:val="0"/>
      <w:marRight w:val="0"/>
      <w:marTop w:val="0"/>
      <w:marBottom w:val="0"/>
      <w:divBdr>
        <w:top w:val="none" w:sz="0" w:space="0" w:color="auto"/>
        <w:left w:val="none" w:sz="0" w:space="0" w:color="auto"/>
        <w:bottom w:val="none" w:sz="0" w:space="0" w:color="auto"/>
        <w:right w:val="none" w:sz="0" w:space="0" w:color="auto"/>
      </w:divBdr>
    </w:div>
    <w:div w:id="2020889462">
      <w:bodyDiv w:val="1"/>
      <w:marLeft w:val="0"/>
      <w:marRight w:val="0"/>
      <w:marTop w:val="0"/>
      <w:marBottom w:val="0"/>
      <w:divBdr>
        <w:top w:val="none" w:sz="0" w:space="0" w:color="auto"/>
        <w:left w:val="none" w:sz="0" w:space="0" w:color="auto"/>
        <w:bottom w:val="none" w:sz="0" w:space="0" w:color="auto"/>
        <w:right w:val="none" w:sz="0" w:space="0" w:color="auto"/>
      </w:divBdr>
    </w:div>
    <w:div w:id="2031375173">
      <w:bodyDiv w:val="1"/>
      <w:marLeft w:val="0"/>
      <w:marRight w:val="0"/>
      <w:marTop w:val="0"/>
      <w:marBottom w:val="0"/>
      <w:divBdr>
        <w:top w:val="none" w:sz="0" w:space="0" w:color="auto"/>
        <w:left w:val="none" w:sz="0" w:space="0" w:color="auto"/>
        <w:bottom w:val="none" w:sz="0" w:space="0" w:color="auto"/>
        <w:right w:val="none" w:sz="0" w:space="0" w:color="auto"/>
      </w:divBdr>
    </w:div>
    <w:div w:id="2034072496">
      <w:bodyDiv w:val="1"/>
      <w:marLeft w:val="0"/>
      <w:marRight w:val="0"/>
      <w:marTop w:val="0"/>
      <w:marBottom w:val="0"/>
      <w:divBdr>
        <w:top w:val="none" w:sz="0" w:space="0" w:color="auto"/>
        <w:left w:val="none" w:sz="0" w:space="0" w:color="auto"/>
        <w:bottom w:val="none" w:sz="0" w:space="0" w:color="auto"/>
        <w:right w:val="none" w:sz="0" w:space="0" w:color="auto"/>
      </w:divBdr>
    </w:div>
    <w:div w:id="2036035016">
      <w:bodyDiv w:val="1"/>
      <w:marLeft w:val="0"/>
      <w:marRight w:val="0"/>
      <w:marTop w:val="0"/>
      <w:marBottom w:val="0"/>
      <w:divBdr>
        <w:top w:val="none" w:sz="0" w:space="0" w:color="auto"/>
        <w:left w:val="none" w:sz="0" w:space="0" w:color="auto"/>
        <w:bottom w:val="none" w:sz="0" w:space="0" w:color="auto"/>
        <w:right w:val="none" w:sz="0" w:space="0" w:color="auto"/>
      </w:divBdr>
    </w:div>
    <w:div w:id="2045599167">
      <w:bodyDiv w:val="1"/>
      <w:marLeft w:val="0"/>
      <w:marRight w:val="0"/>
      <w:marTop w:val="0"/>
      <w:marBottom w:val="0"/>
      <w:divBdr>
        <w:top w:val="none" w:sz="0" w:space="0" w:color="auto"/>
        <w:left w:val="none" w:sz="0" w:space="0" w:color="auto"/>
        <w:bottom w:val="none" w:sz="0" w:space="0" w:color="auto"/>
        <w:right w:val="none" w:sz="0" w:space="0" w:color="auto"/>
      </w:divBdr>
    </w:div>
    <w:div w:id="2046323652">
      <w:bodyDiv w:val="1"/>
      <w:marLeft w:val="0"/>
      <w:marRight w:val="0"/>
      <w:marTop w:val="0"/>
      <w:marBottom w:val="0"/>
      <w:divBdr>
        <w:top w:val="none" w:sz="0" w:space="0" w:color="auto"/>
        <w:left w:val="none" w:sz="0" w:space="0" w:color="auto"/>
        <w:bottom w:val="none" w:sz="0" w:space="0" w:color="auto"/>
        <w:right w:val="none" w:sz="0" w:space="0" w:color="auto"/>
      </w:divBdr>
      <w:divsChild>
        <w:div w:id="1377703013">
          <w:marLeft w:val="0"/>
          <w:marRight w:val="0"/>
          <w:marTop w:val="0"/>
          <w:marBottom w:val="0"/>
          <w:divBdr>
            <w:top w:val="none" w:sz="0" w:space="0" w:color="auto"/>
            <w:left w:val="none" w:sz="0" w:space="0" w:color="auto"/>
            <w:bottom w:val="none" w:sz="0" w:space="0" w:color="auto"/>
            <w:right w:val="none" w:sz="0" w:space="0" w:color="auto"/>
          </w:divBdr>
        </w:div>
      </w:divsChild>
    </w:div>
    <w:div w:id="2050497550">
      <w:bodyDiv w:val="1"/>
      <w:marLeft w:val="0"/>
      <w:marRight w:val="0"/>
      <w:marTop w:val="0"/>
      <w:marBottom w:val="0"/>
      <w:divBdr>
        <w:top w:val="none" w:sz="0" w:space="0" w:color="auto"/>
        <w:left w:val="none" w:sz="0" w:space="0" w:color="auto"/>
        <w:bottom w:val="none" w:sz="0" w:space="0" w:color="auto"/>
        <w:right w:val="none" w:sz="0" w:space="0" w:color="auto"/>
      </w:divBdr>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55960695">
      <w:bodyDiv w:val="1"/>
      <w:marLeft w:val="0"/>
      <w:marRight w:val="0"/>
      <w:marTop w:val="0"/>
      <w:marBottom w:val="0"/>
      <w:divBdr>
        <w:top w:val="none" w:sz="0" w:space="0" w:color="auto"/>
        <w:left w:val="none" w:sz="0" w:space="0" w:color="auto"/>
        <w:bottom w:val="none" w:sz="0" w:space="0" w:color="auto"/>
        <w:right w:val="none" w:sz="0" w:space="0" w:color="auto"/>
      </w:divBdr>
    </w:div>
    <w:div w:id="2057966702">
      <w:bodyDiv w:val="1"/>
      <w:marLeft w:val="0"/>
      <w:marRight w:val="0"/>
      <w:marTop w:val="0"/>
      <w:marBottom w:val="0"/>
      <w:divBdr>
        <w:top w:val="none" w:sz="0" w:space="0" w:color="auto"/>
        <w:left w:val="none" w:sz="0" w:space="0" w:color="auto"/>
        <w:bottom w:val="none" w:sz="0" w:space="0" w:color="auto"/>
        <w:right w:val="none" w:sz="0" w:space="0" w:color="auto"/>
      </w:divBdr>
    </w:div>
    <w:div w:id="2060276886">
      <w:bodyDiv w:val="1"/>
      <w:marLeft w:val="0"/>
      <w:marRight w:val="0"/>
      <w:marTop w:val="0"/>
      <w:marBottom w:val="0"/>
      <w:divBdr>
        <w:top w:val="none" w:sz="0" w:space="0" w:color="auto"/>
        <w:left w:val="none" w:sz="0" w:space="0" w:color="auto"/>
        <w:bottom w:val="none" w:sz="0" w:space="0" w:color="auto"/>
        <w:right w:val="none" w:sz="0" w:space="0" w:color="auto"/>
      </w:divBdr>
    </w:div>
    <w:div w:id="2063097980">
      <w:bodyDiv w:val="1"/>
      <w:marLeft w:val="0"/>
      <w:marRight w:val="0"/>
      <w:marTop w:val="0"/>
      <w:marBottom w:val="0"/>
      <w:divBdr>
        <w:top w:val="none" w:sz="0" w:space="0" w:color="auto"/>
        <w:left w:val="none" w:sz="0" w:space="0" w:color="auto"/>
        <w:bottom w:val="none" w:sz="0" w:space="0" w:color="auto"/>
        <w:right w:val="none" w:sz="0" w:space="0" w:color="auto"/>
      </w:divBdr>
    </w:div>
    <w:div w:id="2064479638">
      <w:bodyDiv w:val="1"/>
      <w:marLeft w:val="0"/>
      <w:marRight w:val="0"/>
      <w:marTop w:val="0"/>
      <w:marBottom w:val="0"/>
      <w:divBdr>
        <w:top w:val="none" w:sz="0" w:space="0" w:color="auto"/>
        <w:left w:val="none" w:sz="0" w:space="0" w:color="auto"/>
        <w:bottom w:val="none" w:sz="0" w:space="0" w:color="auto"/>
        <w:right w:val="none" w:sz="0" w:space="0" w:color="auto"/>
      </w:divBdr>
    </w:div>
    <w:div w:id="2068457998">
      <w:bodyDiv w:val="1"/>
      <w:marLeft w:val="0"/>
      <w:marRight w:val="0"/>
      <w:marTop w:val="0"/>
      <w:marBottom w:val="0"/>
      <w:divBdr>
        <w:top w:val="none" w:sz="0" w:space="0" w:color="auto"/>
        <w:left w:val="none" w:sz="0" w:space="0" w:color="auto"/>
        <w:bottom w:val="none" w:sz="0" w:space="0" w:color="auto"/>
        <w:right w:val="none" w:sz="0" w:space="0" w:color="auto"/>
      </w:divBdr>
    </w:div>
    <w:div w:id="2075817008">
      <w:bodyDiv w:val="1"/>
      <w:marLeft w:val="0"/>
      <w:marRight w:val="0"/>
      <w:marTop w:val="0"/>
      <w:marBottom w:val="0"/>
      <w:divBdr>
        <w:top w:val="none" w:sz="0" w:space="0" w:color="auto"/>
        <w:left w:val="none" w:sz="0" w:space="0" w:color="auto"/>
        <w:bottom w:val="none" w:sz="0" w:space="0" w:color="auto"/>
        <w:right w:val="none" w:sz="0" w:space="0" w:color="auto"/>
      </w:divBdr>
    </w:div>
    <w:div w:id="2078550654">
      <w:bodyDiv w:val="1"/>
      <w:marLeft w:val="0"/>
      <w:marRight w:val="0"/>
      <w:marTop w:val="0"/>
      <w:marBottom w:val="0"/>
      <w:divBdr>
        <w:top w:val="none" w:sz="0" w:space="0" w:color="auto"/>
        <w:left w:val="none" w:sz="0" w:space="0" w:color="auto"/>
        <w:bottom w:val="none" w:sz="0" w:space="0" w:color="auto"/>
        <w:right w:val="none" w:sz="0" w:space="0" w:color="auto"/>
      </w:divBdr>
    </w:div>
    <w:div w:id="2079547482">
      <w:bodyDiv w:val="1"/>
      <w:marLeft w:val="0"/>
      <w:marRight w:val="0"/>
      <w:marTop w:val="0"/>
      <w:marBottom w:val="0"/>
      <w:divBdr>
        <w:top w:val="none" w:sz="0" w:space="0" w:color="auto"/>
        <w:left w:val="none" w:sz="0" w:space="0" w:color="auto"/>
        <w:bottom w:val="none" w:sz="0" w:space="0" w:color="auto"/>
        <w:right w:val="none" w:sz="0" w:space="0" w:color="auto"/>
      </w:divBdr>
    </w:div>
    <w:div w:id="2085570329">
      <w:bodyDiv w:val="1"/>
      <w:marLeft w:val="0"/>
      <w:marRight w:val="0"/>
      <w:marTop w:val="0"/>
      <w:marBottom w:val="0"/>
      <w:divBdr>
        <w:top w:val="none" w:sz="0" w:space="0" w:color="auto"/>
        <w:left w:val="none" w:sz="0" w:space="0" w:color="auto"/>
        <w:bottom w:val="none" w:sz="0" w:space="0" w:color="auto"/>
        <w:right w:val="none" w:sz="0" w:space="0" w:color="auto"/>
      </w:divBdr>
    </w:div>
    <w:div w:id="2087723881">
      <w:bodyDiv w:val="1"/>
      <w:marLeft w:val="0"/>
      <w:marRight w:val="0"/>
      <w:marTop w:val="0"/>
      <w:marBottom w:val="0"/>
      <w:divBdr>
        <w:top w:val="none" w:sz="0" w:space="0" w:color="auto"/>
        <w:left w:val="none" w:sz="0" w:space="0" w:color="auto"/>
        <w:bottom w:val="none" w:sz="0" w:space="0" w:color="auto"/>
        <w:right w:val="none" w:sz="0" w:space="0" w:color="auto"/>
      </w:divBdr>
    </w:div>
    <w:div w:id="2094663956">
      <w:bodyDiv w:val="1"/>
      <w:marLeft w:val="0"/>
      <w:marRight w:val="0"/>
      <w:marTop w:val="0"/>
      <w:marBottom w:val="0"/>
      <w:divBdr>
        <w:top w:val="none" w:sz="0" w:space="0" w:color="auto"/>
        <w:left w:val="none" w:sz="0" w:space="0" w:color="auto"/>
        <w:bottom w:val="none" w:sz="0" w:space="0" w:color="auto"/>
        <w:right w:val="none" w:sz="0" w:space="0" w:color="auto"/>
      </w:divBdr>
    </w:div>
    <w:div w:id="2103184306">
      <w:bodyDiv w:val="1"/>
      <w:marLeft w:val="0"/>
      <w:marRight w:val="0"/>
      <w:marTop w:val="0"/>
      <w:marBottom w:val="0"/>
      <w:divBdr>
        <w:top w:val="none" w:sz="0" w:space="0" w:color="auto"/>
        <w:left w:val="none" w:sz="0" w:space="0" w:color="auto"/>
        <w:bottom w:val="none" w:sz="0" w:space="0" w:color="auto"/>
        <w:right w:val="none" w:sz="0" w:space="0" w:color="auto"/>
      </w:divBdr>
    </w:div>
    <w:div w:id="2107574983">
      <w:bodyDiv w:val="1"/>
      <w:marLeft w:val="0"/>
      <w:marRight w:val="0"/>
      <w:marTop w:val="0"/>
      <w:marBottom w:val="0"/>
      <w:divBdr>
        <w:top w:val="none" w:sz="0" w:space="0" w:color="auto"/>
        <w:left w:val="none" w:sz="0" w:space="0" w:color="auto"/>
        <w:bottom w:val="none" w:sz="0" w:space="0" w:color="auto"/>
        <w:right w:val="none" w:sz="0" w:space="0" w:color="auto"/>
      </w:divBdr>
    </w:div>
    <w:div w:id="2114202107">
      <w:bodyDiv w:val="1"/>
      <w:marLeft w:val="0"/>
      <w:marRight w:val="0"/>
      <w:marTop w:val="0"/>
      <w:marBottom w:val="0"/>
      <w:divBdr>
        <w:top w:val="none" w:sz="0" w:space="0" w:color="auto"/>
        <w:left w:val="none" w:sz="0" w:space="0" w:color="auto"/>
        <w:bottom w:val="none" w:sz="0" w:space="0" w:color="auto"/>
        <w:right w:val="none" w:sz="0" w:space="0" w:color="auto"/>
      </w:divBdr>
    </w:div>
    <w:div w:id="2118137865">
      <w:bodyDiv w:val="1"/>
      <w:marLeft w:val="0"/>
      <w:marRight w:val="0"/>
      <w:marTop w:val="0"/>
      <w:marBottom w:val="0"/>
      <w:divBdr>
        <w:top w:val="none" w:sz="0" w:space="0" w:color="auto"/>
        <w:left w:val="none" w:sz="0" w:space="0" w:color="auto"/>
        <w:bottom w:val="none" w:sz="0" w:space="0" w:color="auto"/>
        <w:right w:val="none" w:sz="0" w:space="0" w:color="auto"/>
      </w:divBdr>
    </w:div>
    <w:div w:id="2119447787">
      <w:bodyDiv w:val="1"/>
      <w:marLeft w:val="0"/>
      <w:marRight w:val="0"/>
      <w:marTop w:val="0"/>
      <w:marBottom w:val="0"/>
      <w:divBdr>
        <w:top w:val="none" w:sz="0" w:space="0" w:color="auto"/>
        <w:left w:val="none" w:sz="0" w:space="0" w:color="auto"/>
        <w:bottom w:val="none" w:sz="0" w:space="0" w:color="auto"/>
        <w:right w:val="none" w:sz="0" w:space="0" w:color="auto"/>
      </w:divBdr>
    </w:div>
    <w:div w:id="2120568540">
      <w:bodyDiv w:val="1"/>
      <w:marLeft w:val="0"/>
      <w:marRight w:val="0"/>
      <w:marTop w:val="0"/>
      <w:marBottom w:val="0"/>
      <w:divBdr>
        <w:top w:val="none" w:sz="0" w:space="0" w:color="auto"/>
        <w:left w:val="none" w:sz="0" w:space="0" w:color="auto"/>
        <w:bottom w:val="none" w:sz="0" w:space="0" w:color="auto"/>
        <w:right w:val="none" w:sz="0" w:space="0" w:color="auto"/>
      </w:divBdr>
    </w:div>
    <w:div w:id="2124228062">
      <w:bodyDiv w:val="1"/>
      <w:marLeft w:val="0"/>
      <w:marRight w:val="0"/>
      <w:marTop w:val="0"/>
      <w:marBottom w:val="0"/>
      <w:divBdr>
        <w:top w:val="none" w:sz="0" w:space="0" w:color="auto"/>
        <w:left w:val="none" w:sz="0" w:space="0" w:color="auto"/>
        <w:bottom w:val="none" w:sz="0" w:space="0" w:color="auto"/>
        <w:right w:val="none" w:sz="0" w:space="0" w:color="auto"/>
      </w:divBdr>
    </w:div>
    <w:div w:id="214303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995d14-4505-490b-a2a8-e36e202c5fcc" xsi:nil="true"/>
    <lcf76f155ced4ddcb4097134ff3c332f xmlns="7cd55d9e-5ab1-47fa-b0f5-e525702eac26">
      <Terms xmlns="http://schemas.microsoft.com/office/infopath/2007/PartnerControls"/>
    </lcf76f155ced4ddcb4097134ff3c332f>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D202D0C4175E44A9B5E38D1693CF06" ma:contentTypeVersion="19" ma:contentTypeDescription="Create a new document." ma:contentTypeScope="" ma:versionID="4ed439b77e37fee9fbaf53104fdcc37f">
  <xsd:schema xmlns:xsd="http://www.w3.org/2001/XMLSchema" xmlns:xs="http://www.w3.org/2001/XMLSchema" xmlns:p="http://schemas.microsoft.com/office/2006/metadata/properties" xmlns:ns2="41995d14-4505-490b-a2a8-e36e202c5fcc" xmlns:ns3="7cd55d9e-5ab1-47fa-b0f5-e525702eac26" xmlns:ns4="http://schemas.microsoft.com/sharepoint/v4" targetNamespace="http://schemas.microsoft.com/office/2006/metadata/properties" ma:root="true" ma:fieldsID="e7823c77f6bdc15369ff0b1e52d4f938" ns2:_="" ns3:_="" ns4:_="">
    <xsd:import namespace="41995d14-4505-490b-a2a8-e36e202c5fcc"/>
    <xsd:import namespace="7cd55d9e-5ab1-47fa-b0f5-e525702eac26"/>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95d14-4505-490b-a2a8-e36e202c5f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18265e-dd52-4d2f-beea-1ad65d822033}" ma:internalName="TaxCatchAll" ma:showField="CatchAllData" ma:web="41995d14-4505-490b-a2a8-e36e202c5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55d9e-5ab1-47fa-b0f5-e525702eac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5e83fc-d1f5-43a2-bbd2-58974d7321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9306B-EA12-4646-9692-DDB7B5251DEC}">
  <ds:schemaRefs>
    <ds:schemaRef ds:uri="http://schemas.microsoft.com/office/2006/metadata/properties"/>
    <ds:schemaRef ds:uri="http://schemas.microsoft.com/office/infopath/2007/PartnerControls"/>
    <ds:schemaRef ds:uri="41995d14-4505-490b-a2a8-e36e202c5fcc"/>
    <ds:schemaRef ds:uri="7cd55d9e-5ab1-47fa-b0f5-e525702eac26"/>
  </ds:schemaRefs>
</ds:datastoreItem>
</file>

<file path=customXml/itemProps2.xml><?xml version="1.0" encoding="utf-8"?>
<ds:datastoreItem xmlns:ds="http://schemas.openxmlformats.org/officeDocument/2006/customXml" ds:itemID="{7FCD0A4A-3626-4006-8F1E-3B327733CE67}"/>
</file>

<file path=customXml/itemProps3.xml><?xml version="1.0" encoding="utf-8"?>
<ds:datastoreItem xmlns:ds="http://schemas.openxmlformats.org/officeDocument/2006/customXml" ds:itemID="{35101398-B9E6-4981-ABE3-7E88C087474D}">
  <ds:schemaRefs>
    <ds:schemaRef ds:uri="http://schemas.microsoft.com/sharepoint/v3/contenttype/forms"/>
  </ds:schemaRefs>
</ds:datastoreItem>
</file>

<file path=customXml/itemProps4.xml><?xml version="1.0" encoding="utf-8"?>
<ds:datastoreItem xmlns:ds="http://schemas.openxmlformats.org/officeDocument/2006/customXml" ds:itemID="{AECC75B9-8CFB-4605-AF19-1ED4FE40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7553</Words>
  <Characters>41704</Characters>
  <Application>Microsoft Office Word</Application>
  <DocSecurity>0</DocSecurity>
  <Lines>1976</Lines>
  <Paragraphs>1245</Paragraphs>
  <ScaleCrop>false</ScaleCrop>
  <HeadingPairs>
    <vt:vector size="2" baseType="variant">
      <vt:variant>
        <vt:lpstr>Title</vt:lpstr>
      </vt:variant>
      <vt:variant>
        <vt:i4>1</vt:i4>
      </vt:variant>
    </vt:vector>
  </HeadingPairs>
  <TitlesOfParts>
    <vt:vector size="1" baseType="lpstr">
      <vt:lpstr>Quad Interim FS</vt:lpstr>
    </vt:vector>
  </TitlesOfParts>
  <Company>Andrew R. Williams</Company>
  <LinksUpToDate>false</LinksUpToDate>
  <CharactersWithSpaces>52279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Quad Interim FS</dc:title>
  <dc:subject/>
  <dc:creator>KR</dc:creator>
  <cp:keywords/>
  <dc:description/>
  <cp:lastModifiedBy>Helen Andaya</cp:lastModifiedBy>
  <cp:revision>7</cp:revision>
  <cp:lastPrinted>2024-01-30T19:57:00Z</cp:lastPrinted>
  <dcterms:created xsi:type="dcterms:W3CDTF">2024-02-22T21:13:00Z</dcterms:created>
  <dcterms:modified xsi:type="dcterms:W3CDTF">2024-02-22T21:17:00Z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0x0101005FD202D0C4175E44A9B5E38D1693CF06</vt:lpwstr>
  </property>
  <property fmtid="{D5CDD505-2E9C-101B-9397-08002B2CF9AE}" pid="3" name="MediaServiceImageTags">
    <vt:lpwstr/>
  </property>
  <property fmtid="{D5CDD505-2E9C-101B-9397-08002B2CF9AE}" pid="4" name="GrammarlyDocumentId">
    <vt:lpwstr>74108205390eb89f3f91c86ba227452b4ebb9c87813c972b5c39f229c9c0b990</vt:lpwstr>
  </property>
</Properties>
</file>